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3E15" w:rsidRPr="00BA099B" w:rsidRDefault="00063E15" w:rsidP="008314D1">
      <w:pPr>
        <w:pStyle w:val="Title"/>
        <w:pBdr>
          <w:bottom w:val="double" w:sz="6" w:space="0" w:color="auto"/>
        </w:pBdr>
      </w:pPr>
      <w:r w:rsidRPr="00BA099B">
        <w:t>М И Н И С Т Е Р С Т В О   Н А   Ф И Н А Н С И Т Е</w:t>
      </w:r>
    </w:p>
    <w:p w:rsidR="005F7245" w:rsidRPr="00BA099B" w:rsidRDefault="005F7245" w:rsidP="00063E15">
      <w:pPr>
        <w:rPr>
          <w:sz w:val="16"/>
          <w:szCs w:val="16"/>
        </w:rPr>
      </w:pPr>
    </w:p>
    <w:p w:rsidR="0019151C" w:rsidRDefault="0019151C" w:rsidP="0019151C"/>
    <w:p w:rsidR="00E10331" w:rsidRPr="00BA099B" w:rsidRDefault="00E10331" w:rsidP="0019151C"/>
    <w:p w:rsidR="00E9260C" w:rsidRPr="00BA099B" w:rsidRDefault="00E9260C" w:rsidP="009B536C">
      <w:pPr>
        <w:pStyle w:val="Heading1"/>
        <w:rPr>
          <w:sz w:val="24"/>
        </w:rPr>
      </w:pPr>
      <w:r w:rsidRPr="00BA099B">
        <w:rPr>
          <w:sz w:val="24"/>
        </w:rPr>
        <w:t>ИНФОРМАЦИЯ</w:t>
      </w:r>
    </w:p>
    <w:p w:rsidR="00E9260C" w:rsidRPr="00BA099B" w:rsidRDefault="00E9260C" w:rsidP="009B536C">
      <w:pPr>
        <w:jc w:val="center"/>
        <w:rPr>
          <w:b/>
          <w:bCs/>
        </w:rPr>
      </w:pPr>
      <w:r w:rsidRPr="00BA099B">
        <w:rPr>
          <w:b/>
          <w:bCs/>
        </w:rPr>
        <w:t xml:space="preserve">ЗА </w:t>
      </w:r>
      <w:r w:rsidR="004E7BF8" w:rsidRPr="00BA099B">
        <w:rPr>
          <w:b/>
          <w:bCs/>
        </w:rPr>
        <w:t xml:space="preserve">КАСОВОТО </w:t>
      </w:r>
      <w:r w:rsidRPr="00BA099B">
        <w:rPr>
          <w:b/>
          <w:bCs/>
        </w:rPr>
        <w:t xml:space="preserve">ИЗПЪЛНЕНИЕ НА </w:t>
      </w:r>
      <w:r w:rsidR="004E7BF8" w:rsidRPr="00BA099B">
        <w:rPr>
          <w:b/>
          <w:bCs/>
        </w:rPr>
        <w:t>ДЪРЖАВНИЯ</w:t>
      </w:r>
      <w:r w:rsidRPr="00BA099B">
        <w:rPr>
          <w:b/>
          <w:bCs/>
        </w:rPr>
        <w:t xml:space="preserve"> БЮДЖЕТ</w:t>
      </w:r>
      <w:r w:rsidR="004E7BF8" w:rsidRPr="00BA099B">
        <w:rPr>
          <w:b/>
          <w:bCs/>
        </w:rPr>
        <w:t xml:space="preserve"> И НА ОСНОВНИТЕ ПОКАЗАТЕЛИ НА КОНСОЛИДИРАНАТА ФИСКАЛНА ПРОГРАМА </w:t>
      </w:r>
    </w:p>
    <w:p w:rsidR="003F47AB" w:rsidRPr="00BA099B" w:rsidRDefault="003F47AB" w:rsidP="003F47AB">
      <w:pPr>
        <w:jc w:val="center"/>
        <w:rPr>
          <w:b/>
          <w:bCs/>
        </w:rPr>
      </w:pPr>
      <w:r w:rsidRPr="00BA099B">
        <w:rPr>
          <w:b/>
          <w:bCs/>
        </w:rPr>
        <w:t xml:space="preserve">ЗА </w:t>
      </w:r>
      <w:r w:rsidR="00DB65C2" w:rsidRPr="00BA099B">
        <w:rPr>
          <w:b/>
          <w:bCs/>
        </w:rPr>
        <w:t xml:space="preserve">ПЪРВОТО ТРИМЕСЕЧИЕ </w:t>
      </w:r>
      <w:r w:rsidRPr="00BA099B">
        <w:rPr>
          <w:b/>
          <w:bCs/>
        </w:rPr>
        <w:t>НА 20</w:t>
      </w:r>
      <w:r w:rsidR="006D5D56" w:rsidRPr="00030658">
        <w:rPr>
          <w:b/>
          <w:bCs/>
        </w:rPr>
        <w:t>2</w:t>
      </w:r>
      <w:r w:rsidR="00151757" w:rsidRPr="00411FD7">
        <w:rPr>
          <w:b/>
          <w:bCs/>
        </w:rPr>
        <w:t>2</w:t>
      </w:r>
      <w:r w:rsidRPr="00BA099B">
        <w:rPr>
          <w:b/>
          <w:bCs/>
        </w:rPr>
        <w:t xml:space="preserve"> ГОДИНА</w:t>
      </w:r>
    </w:p>
    <w:p w:rsidR="00430A35" w:rsidRDefault="00430A35" w:rsidP="003A06C5">
      <w:pPr>
        <w:rPr>
          <w:b/>
          <w:bCs/>
        </w:rPr>
      </w:pPr>
    </w:p>
    <w:p w:rsidR="00E10331" w:rsidRDefault="00E10331" w:rsidP="003A06C5">
      <w:pPr>
        <w:rPr>
          <w:b/>
          <w:bCs/>
        </w:rPr>
      </w:pPr>
    </w:p>
    <w:p w:rsidR="00E10331" w:rsidRPr="00151757" w:rsidRDefault="00E10331" w:rsidP="003A06C5">
      <w:pPr>
        <w:rPr>
          <w:b/>
          <w:bCs/>
          <w:color w:val="548DD4" w:themeColor="text2" w:themeTint="99"/>
        </w:rPr>
      </w:pPr>
    </w:p>
    <w:p w:rsidR="00521531" w:rsidRPr="00446778" w:rsidRDefault="00521531" w:rsidP="00446778">
      <w:pPr>
        <w:keepNext/>
        <w:keepLines/>
        <w:spacing w:before="40"/>
        <w:jc w:val="both"/>
        <w:outlineLvl w:val="2"/>
        <w:rPr>
          <w:b/>
          <w:u w:val="single"/>
          <w:lang w:eastAsia="bg-BG"/>
        </w:rPr>
      </w:pPr>
      <w:r w:rsidRPr="00B5703E">
        <w:rPr>
          <w:b/>
          <w:u w:val="single"/>
          <w:lang w:eastAsia="bg-BG"/>
        </w:rPr>
        <w:t xml:space="preserve">Априлски </w:t>
      </w:r>
      <w:proofErr w:type="spellStart"/>
      <w:r w:rsidRPr="00B5703E">
        <w:rPr>
          <w:b/>
          <w:u w:val="single"/>
          <w:lang w:eastAsia="bg-BG"/>
        </w:rPr>
        <w:t>Нотификационни</w:t>
      </w:r>
      <w:proofErr w:type="spellEnd"/>
      <w:r w:rsidRPr="00B5703E">
        <w:rPr>
          <w:b/>
          <w:u w:val="single"/>
          <w:lang w:eastAsia="bg-BG"/>
        </w:rPr>
        <w:t xml:space="preserve"> таблици за дефицита и дълга на България</w:t>
      </w:r>
    </w:p>
    <w:p w:rsidR="00521531" w:rsidRPr="00E5710B" w:rsidRDefault="00521531" w:rsidP="00521531">
      <w:pPr>
        <w:spacing w:before="120" w:after="120"/>
        <w:jc w:val="both"/>
        <w:rPr>
          <w:color w:val="000000" w:themeColor="text1"/>
        </w:rPr>
      </w:pPr>
      <w:r w:rsidRPr="00E5710B">
        <w:rPr>
          <w:color w:val="000000" w:themeColor="text1"/>
        </w:rPr>
        <w:t xml:space="preserve">Съгласно априлските </w:t>
      </w:r>
      <w:proofErr w:type="spellStart"/>
      <w:r w:rsidRPr="00E5710B">
        <w:rPr>
          <w:color w:val="000000" w:themeColor="text1"/>
        </w:rPr>
        <w:t>Нотификационни</w:t>
      </w:r>
      <w:proofErr w:type="spellEnd"/>
      <w:r w:rsidRPr="00E5710B">
        <w:rPr>
          <w:color w:val="000000" w:themeColor="text1"/>
        </w:rPr>
        <w:t xml:space="preserve"> таблици за дефицита и дълга на България салдото на сектор „Държавно управление“ за 20</w:t>
      </w:r>
      <w:r>
        <w:rPr>
          <w:color w:val="000000" w:themeColor="text1"/>
        </w:rPr>
        <w:t>21</w:t>
      </w:r>
      <w:r w:rsidRPr="00E5710B">
        <w:rPr>
          <w:color w:val="000000" w:themeColor="text1"/>
        </w:rPr>
        <w:t xml:space="preserve"> г. е </w:t>
      </w:r>
      <w:r>
        <w:rPr>
          <w:color w:val="000000" w:themeColor="text1"/>
        </w:rPr>
        <w:t>отрицателно</w:t>
      </w:r>
      <w:r w:rsidRPr="00E5710B">
        <w:rPr>
          <w:color w:val="000000" w:themeColor="text1"/>
        </w:rPr>
        <w:t xml:space="preserve"> в размер на </w:t>
      </w:r>
      <w:r>
        <w:rPr>
          <w:color w:val="000000" w:themeColor="text1"/>
        </w:rPr>
        <w:t>4,1</w:t>
      </w:r>
      <w:r w:rsidRPr="00E5710B">
        <w:rPr>
          <w:color w:val="000000" w:themeColor="text1"/>
        </w:rPr>
        <w:t xml:space="preserve"> % от БВП. </w:t>
      </w:r>
      <w:r>
        <w:t xml:space="preserve">Общо петнадесет държавни членки, включително България, отчитат дефицит над референтната стойност от 3 на сто от БВП през 2021 г., като следва да се отбележи, че Европейската комисия одобри прилагането на </w:t>
      </w:r>
      <w:r w:rsidRPr="00DB3FAA">
        <w:rPr>
          <w:color w:val="000000" w:themeColor="text1"/>
        </w:rPr>
        <w:t>Обща предпазна клауза на Пакта за стабилност и растеж</w:t>
      </w:r>
      <w:r>
        <w:rPr>
          <w:color w:val="000000" w:themeColor="text1"/>
        </w:rPr>
        <w:t xml:space="preserve"> да продължи и през 2021 г.</w:t>
      </w:r>
      <w:r w:rsidRPr="00DB3FAA">
        <w:rPr>
          <w:color w:val="000000" w:themeColor="text1"/>
        </w:rPr>
        <w:t xml:space="preserve"> </w:t>
      </w:r>
      <w:r>
        <w:rPr>
          <w:color w:val="000000" w:themeColor="text1"/>
        </w:rPr>
        <w:t>Това позволи</w:t>
      </w:r>
      <w:r w:rsidRPr="00DB3FAA">
        <w:rPr>
          <w:color w:val="000000" w:themeColor="text1"/>
        </w:rPr>
        <w:t xml:space="preserve"> на държавите</w:t>
      </w:r>
      <w:r w:rsidR="003B46C7">
        <w:rPr>
          <w:color w:val="000000" w:themeColor="text1"/>
        </w:rPr>
        <w:t xml:space="preserve"> </w:t>
      </w:r>
      <w:r w:rsidRPr="00DB3FAA">
        <w:rPr>
          <w:color w:val="000000" w:themeColor="text1"/>
        </w:rPr>
        <w:t xml:space="preserve">членки да предприемат мерки за справяне с разпространението на COVID-19, като се отклонят </w:t>
      </w:r>
      <w:r>
        <w:rPr>
          <w:color w:val="000000" w:themeColor="text1"/>
        </w:rPr>
        <w:t xml:space="preserve">временно </w:t>
      </w:r>
      <w:r w:rsidRPr="00DB3FAA">
        <w:rPr>
          <w:color w:val="000000" w:themeColor="text1"/>
        </w:rPr>
        <w:t>от фискалните правила, които обикновено се прилагат в рамките на европейската фискална рамка.</w:t>
      </w:r>
    </w:p>
    <w:p w:rsidR="00521531" w:rsidRPr="00DB657F" w:rsidRDefault="00521531" w:rsidP="00521531">
      <w:pPr>
        <w:spacing w:after="120"/>
        <w:jc w:val="both"/>
        <w:rPr>
          <w:color w:val="31849B" w:themeColor="accent5" w:themeShade="BF"/>
        </w:rPr>
      </w:pPr>
      <w:r w:rsidRPr="001E4243">
        <w:rPr>
          <w:color w:val="000000" w:themeColor="text1"/>
        </w:rPr>
        <w:t>На база на публикуваните в края на април данни на Евростат за дефицита и дълга на държавите</w:t>
      </w:r>
      <w:r w:rsidRPr="00D40081">
        <w:rPr>
          <w:color w:val="000000" w:themeColor="text1"/>
        </w:rPr>
        <w:t xml:space="preserve"> </w:t>
      </w:r>
      <w:r w:rsidRPr="001E4243">
        <w:rPr>
          <w:color w:val="000000" w:themeColor="text1"/>
        </w:rPr>
        <w:t>членки през 20</w:t>
      </w:r>
      <w:r>
        <w:rPr>
          <w:color w:val="000000" w:themeColor="text1"/>
        </w:rPr>
        <w:t>21</w:t>
      </w:r>
      <w:r w:rsidRPr="001E4243">
        <w:rPr>
          <w:color w:val="000000" w:themeColor="text1"/>
        </w:rPr>
        <w:t xml:space="preserve"> г. се отчита </w:t>
      </w:r>
      <w:r>
        <w:rPr>
          <w:color w:val="000000" w:themeColor="text1"/>
        </w:rPr>
        <w:t xml:space="preserve">подобрение по отношение на осреднените стойности за дефицита и дълга на държавите от </w:t>
      </w:r>
      <w:r w:rsidRPr="001E4243">
        <w:rPr>
          <w:color w:val="000000" w:themeColor="text1"/>
        </w:rPr>
        <w:t>ЕС. Осреднената стойност на дефицита за държавите</w:t>
      </w:r>
      <w:r>
        <w:rPr>
          <w:color w:val="000000" w:themeColor="text1"/>
        </w:rPr>
        <w:t xml:space="preserve"> </w:t>
      </w:r>
      <w:r w:rsidRPr="001E4243">
        <w:rPr>
          <w:color w:val="000000" w:themeColor="text1"/>
        </w:rPr>
        <w:t>членки на ЕС за 20</w:t>
      </w:r>
      <w:r>
        <w:rPr>
          <w:color w:val="000000" w:themeColor="text1"/>
        </w:rPr>
        <w:t>21</w:t>
      </w:r>
      <w:r w:rsidRPr="001E4243">
        <w:rPr>
          <w:color w:val="000000" w:themeColor="text1"/>
        </w:rPr>
        <w:t xml:space="preserve"> г. се равнява на </w:t>
      </w:r>
      <w:r>
        <w:rPr>
          <w:color w:val="000000" w:themeColor="text1"/>
        </w:rPr>
        <w:t xml:space="preserve">4,7 % от БВП </w:t>
      </w:r>
      <w:r w:rsidR="003B46C7">
        <w:rPr>
          <w:color w:val="000000" w:themeColor="text1"/>
        </w:rPr>
        <w:t>при</w:t>
      </w:r>
      <w:r w:rsidRPr="001E4243">
        <w:rPr>
          <w:color w:val="000000" w:themeColor="text1"/>
        </w:rPr>
        <w:t xml:space="preserve"> </w:t>
      </w:r>
      <w:r>
        <w:rPr>
          <w:color w:val="000000" w:themeColor="text1"/>
        </w:rPr>
        <w:t>отчетен дефицит в размер на 6,8 </w:t>
      </w:r>
      <w:r w:rsidRPr="001E4243">
        <w:rPr>
          <w:color w:val="000000" w:themeColor="text1"/>
        </w:rPr>
        <w:t>% от БВП за 20</w:t>
      </w:r>
      <w:r>
        <w:rPr>
          <w:color w:val="000000" w:themeColor="text1"/>
        </w:rPr>
        <w:t>20</w:t>
      </w:r>
      <w:r w:rsidRPr="001E4243">
        <w:rPr>
          <w:color w:val="000000" w:themeColor="text1"/>
        </w:rPr>
        <w:t xml:space="preserve"> г.</w:t>
      </w:r>
      <w:r>
        <w:rPr>
          <w:color w:val="000000" w:themeColor="text1"/>
        </w:rPr>
        <w:t xml:space="preserve">, но все още значително надвишава нивото на показателя за 2019 г. - 0,6 % от БВП, преди избухването на пандемията от </w:t>
      </w:r>
      <w:r>
        <w:rPr>
          <w:color w:val="000000" w:themeColor="text1"/>
          <w:lang w:val="en-US"/>
        </w:rPr>
        <w:t>COVID</w:t>
      </w:r>
      <w:r w:rsidRPr="003B46C7">
        <w:rPr>
          <w:color w:val="000000" w:themeColor="text1"/>
        </w:rPr>
        <w:t>-19</w:t>
      </w:r>
      <w:r>
        <w:rPr>
          <w:color w:val="000000" w:themeColor="text1"/>
        </w:rPr>
        <w:t xml:space="preserve">. За страните от еврозоната осреднената стойност на дефицита на сектор „Държавно управление“ за 2021 г. възлиза на  5,1 % от БВП за 2021 г. </w:t>
      </w:r>
      <w:r w:rsidR="003B46C7">
        <w:rPr>
          <w:color w:val="000000" w:themeColor="text1"/>
        </w:rPr>
        <w:t>при</w:t>
      </w:r>
      <w:r>
        <w:rPr>
          <w:color w:val="000000" w:themeColor="text1"/>
        </w:rPr>
        <w:t xml:space="preserve"> 7,1</w:t>
      </w:r>
      <w:r w:rsidRPr="001E4243">
        <w:rPr>
          <w:color w:val="000000" w:themeColor="text1"/>
        </w:rPr>
        <w:t xml:space="preserve"> % от БВП за 20</w:t>
      </w:r>
      <w:r>
        <w:rPr>
          <w:color w:val="000000" w:themeColor="text1"/>
        </w:rPr>
        <w:t>20</w:t>
      </w:r>
      <w:r w:rsidRPr="001E4243">
        <w:rPr>
          <w:color w:val="000000" w:themeColor="text1"/>
        </w:rPr>
        <w:t xml:space="preserve"> г. </w:t>
      </w:r>
    </w:p>
    <w:p w:rsidR="00521531" w:rsidRDefault="00521531" w:rsidP="00521531">
      <w:pPr>
        <w:spacing w:after="120"/>
        <w:jc w:val="both"/>
        <w:rPr>
          <w:color w:val="000000" w:themeColor="text1"/>
        </w:rPr>
      </w:pPr>
      <w:r w:rsidRPr="00E5710B">
        <w:rPr>
          <w:color w:val="000000" w:themeColor="text1"/>
        </w:rPr>
        <w:t xml:space="preserve">По отношение на дълга, България </w:t>
      </w:r>
      <w:r>
        <w:rPr>
          <w:color w:val="000000" w:themeColor="text1"/>
        </w:rPr>
        <w:t>е трета</w:t>
      </w:r>
      <w:r w:rsidRPr="00E5710B">
        <w:rPr>
          <w:color w:val="000000" w:themeColor="text1"/>
        </w:rPr>
        <w:t xml:space="preserve"> след Естония</w:t>
      </w:r>
      <w:r>
        <w:rPr>
          <w:color w:val="000000" w:themeColor="text1"/>
        </w:rPr>
        <w:t xml:space="preserve"> и Люксембург</w:t>
      </w:r>
      <w:r w:rsidRPr="00E5710B">
        <w:rPr>
          <w:color w:val="000000" w:themeColor="text1"/>
        </w:rPr>
        <w:t>, с най-нисък дълг на сектор „Държавно управление“ в ЕС за 20</w:t>
      </w:r>
      <w:r>
        <w:rPr>
          <w:color w:val="000000" w:themeColor="text1"/>
        </w:rPr>
        <w:t>2</w:t>
      </w:r>
      <w:r w:rsidR="003B46C7">
        <w:rPr>
          <w:color w:val="000000" w:themeColor="text1"/>
        </w:rPr>
        <w:t>1</w:t>
      </w:r>
      <w:r w:rsidRPr="00E5710B">
        <w:rPr>
          <w:color w:val="000000" w:themeColor="text1"/>
        </w:rPr>
        <w:t xml:space="preserve"> г. </w:t>
      </w:r>
      <w:r w:rsidRPr="00D40081">
        <w:rPr>
          <w:color w:val="000000" w:themeColor="text1"/>
        </w:rPr>
        <w:t xml:space="preserve">– </w:t>
      </w:r>
      <w:r w:rsidRPr="00E5710B">
        <w:rPr>
          <w:color w:val="000000" w:themeColor="text1"/>
        </w:rPr>
        <w:t>2</w:t>
      </w:r>
      <w:r>
        <w:rPr>
          <w:color w:val="000000" w:themeColor="text1"/>
        </w:rPr>
        <w:t>5,1 % от БВП</w:t>
      </w:r>
      <w:r w:rsidRPr="00E5710B">
        <w:rPr>
          <w:color w:val="000000" w:themeColor="text1"/>
        </w:rPr>
        <w:t xml:space="preserve">. </w:t>
      </w:r>
      <w:r w:rsidR="00F93EC8" w:rsidRPr="00F93EC8">
        <w:rPr>
          <w:rFonts w:eastAsia="Μοντέρνα"/>
          <w:lang w:eastAsia="bg-BG"/>
        </w:rPr>
        <w:t>Четиринадесет</w:t>
      </w:r>
      <w:r w:rsidRPr="001E4243">
        <w:rPr>
          <w:color w:val="000000" w:themeColor="text1"/>
        </w:rPr>
        <w:t xml:space="preserve"> държави</w:t>
      </w:r>
      <w:r w:rsidRPr="00D40081">
        <w:rPr>
          <w:color w:val="000000" w:themeColor="text1"/>
        </w:rPr>
        <w:t xml:space="preserve"> </w:t>
      </w:r>
      <w:r w:rsidRPr="001E4243">
        <w:rPr>
          <w:color w:val="000000" w:themeColor="text1"/>
        </w:rPr>
        <w:t xml:space="preserve">членки надвишават референтната стойност от 60 % от БВП в Пакта за стабилност и растеж, като средно за ЕС дългът </w:t>
      </w:r>
      <w:r>
        <w:rPr>
          <w:color w:val="000000" w:themeColor="text1"/>
        </w:rPr>
        <w:t>се свива с 1,9 пр. п. на годишна база до 88,1</w:t>
      </w:r>
      <w:r w:rsidRPr="001E4243">
        <w:rPr>
          <w:color w:val="000000" w:themeColor="text1"/>
        </w:rPr>
        <w:t> % от БВП за 20</w:t>
      </w:r>
      <w:r>
        <w:rPr>
          <w:color w:val="000000" w:themeColor="text1"/>
        </w:rPr>
        <w:t>21</w:t>
      </w:r>
      <w:r w:rsidRPr="001E4243">
        <w:rPr>
          <w:color w:val="000000" w:themeColor="text1"/>
        </w:rPr>
        <w:t xml:space="preserve"> година. </w:t>
      </w:r>
    </w:p>
    <w:p w:rsidR="00521531" w:rsidRPr="00446778" w:rsidRDefault="00521531" w:rsidP="00446778">
      <w:pPr>
        <w:keepNext/>
        <w:keepLines/>
        <w:spacing w:before="40"/>
        <w:jc w:val="both"/>
        <w:outlineLvl w:val="2"/>
        <w:rPr>
          <w:b/>
          <w:u w:val="single"/>
          <w:lang w:eastAsia="bg-BG"/>
        </w:rPr>
      </w:pPr>
      <w:r w:rsidRPr="00446778">
        <w:rPr>
          <w:b/>
          <w:u w:val="single"/>
          <w:lang w:eastAsia="bg-BG"/>
        </w:rPr>
        <w:t>Развитие на икономическата среда</w:t>
      </w:r>
    </w:p>
    <w:p w:rsidR="00521531" w:rsidRDefault="00521531" w:rsidP="00521531">
      <w:pPr>
        <w:spacing w:before="120" w:after="120"/>
        <w:jc w:val="both"/>
      </w:pPr>
      <w:r>
        <w:t>През първите два месеца на 2022 г. индикаторът за бизнес климата в страната се повиши спрямо края на 2021 г. Подобрението се дължеше основно на промишлеността и търговията на дребно. През януари и февруари</w:t>
      </w:r>
      <w:r w:rsidRPr="00880C9A">
        <w:t xml:space="preserve"> </w:t>
      </w:r>
      <w:r>
        <w:t xml:space="preserve">промишленото производство също отбеляза нарастване, </w:t>
      </w:r>
      <w:r w:rsidRPr="00314685">
        <w:t>воден</w:t>
      </w:r>
      <w:r>
        <w:t>о</w:t>
      </w:r>
      <w:r w:rsidRPr="00314685">
        <w:t xml:space="preserve"> от производство и разпределение на електрическа и топлоенергия и газ, производство на машини и оборудване. </w:t>
      </w:r>
      <w:r>
        <w:t xml:space="preserve">С оглед на новата ситуация с войната в Украйна, през март </w:t>
      </w:r>
      <w:r w:rsidRPr="00E61FB8">
        <w:t xml:space="preserve">показателите за бизнес </w:t>
      </w:r>
      <w:r>
        <w:t xml:space="preserve">климата отчетоха понижение </w:t>
      </w:r>
      <w:r w:rsidRPr="00BE33E5">
        <w:t>на фона на влошените очаквания за бизнес състоянието на предприятията от промишлеността, услугите и търговията на дребно</w:t>
      </w:r>
      <w:r>
        <w:t>. Показателя</w:t>
      </w:r>
      <w:r w:rsidR="005D051A">
        <w:t>т</w:t>
      </w:r>
      <w:r>
        <w:t xml:space="preserve"> за потребителското доверие се влоши през февруари и март. </w:t>
      </w:r>
    </w:p>
    <w:p w:rsidR="00521531" w:rsidRDefault="00521531" w:rsidP="00521531">
      <w:pPr>
        <w:spacing w:before="120" w:after="120"/>
        <w:jc w:val="both"/>
      </w:pPr>
      <w:r w:rsidRPr="00781507">
        <w:t>През първите три мес</w:t>
      </w:r>
      <w:r>
        <w:t xml:space="preserve">еца на 2022 г. се наблюдаваше </w:t>
      </w:r>
      <w:r w:rsidRPr="00781507">
        <w:t>традиционната за този сезон динамика на регистрираните безработни. След като през януари техният брой се повиши спрямо края на 2021 г., през февруари и март броят им намал</w:t>
      </w:r>
      <w:r>
        <w:t xml:space="preserve">я и в края на март достигна </w:t>
      </w:r>
      <w:r w:rsidRPr="004E6D33">
        <w:t>155 863 души</w:t>
      </w:r>
      <w:r>
        <w:t>. К</w:t>
      </w:r>
      <w:r w:rsidRPr="004E6D33">
        <w:t>оефициент</w:t>
      </w:r>
      <w:r>
        <w:t>ът</w:t>
      </w:r>
      <w:r w:rsidRPr="004E6D33">
        <w:t xml:space="preserve"> на безработица</w:t>
      </w:r>
      <w:r>
        <w:rPr>
          <w:rStyle w:val="FootnoteReference"/>
        </w:rPr>
        <w:footnoteReference w:id="2"/>
      </w:r>
      <w:r>
        <w:t xml:space="preserve"> намаля до 4,7 % през март при 4,8 % в края на 2021 г., за което допринесоха и краткосрочните програми за запазване на съществуващата заетост, чието действие бе продължено и през първите месеци на 2022 г. </w:t>
      </w:r>
      <w:r w:rsidRPr="00781507">
        <w:t>Работодателите отново изтъкват недостига на квалифицирана работна ръка като основна пречка пред развитието на техния бизнес, което е индикатор, че търсенето на труд ще се запази на високо равнище.</w:t>
      </w:r>
    </w:p>
    <w:p w:rsidR="00521531" w:rsidRPr="00E649A0" w:rsidRDefault="00521531" w:rsidP="00521531">
      <w:pPr>
        <w:spacing w:before="120" w:after="120"/>
        <w:jc w:val="both"/>
        <w:rPr>
          <w:highlight w:val="yellow"/>
        </w:rPr>
      </w:pPr>
      <w:r w:rsidRPr="00F416C0">
        <w:t>От началото на 2021 г. годишният темп на инфлация в страната следва тенденция на ускорение, която продължи и през първото тримесечие на 2022 г. Според ХИПЦ годишната инфлация през м</w:t>
      </w:r>
      <w:r>
        <w:t>арт 2022 г. достигна 10,</w:t>
      </w:r>
      <w:r w:rsidRPr="00F416C0">
        <w:t>5</w:t>
      </w:r>
      <w:r>
        <w:t xml:space="preserve"> </w:t>
      </w:r>
      <w:r w:rsidRPr="00F416C0">
        <w:t xml:space="preserve">% с принос от всички основни компоненти на индекса. Основният </w:t>
      </w:r>
      <w:r w:rsidRPr="00F416C0">
        <w:lastRenderedPageBreak/>
        <w:t xml:space="preserve">фактор с </w:t>
      </w:r>
      <w:proofErr w:type="spellStart"/>
      <w:r w:rsidRPr="00F416C0">
        <w:t>проинфлационно</w:t>
      </w:r>
      <w:proofErr w:type="spellEnd"/>
      <w:r w:rsidRPr="00F416C0">
        <w:t xml:space="preserve"> влияние бе ускореното поскъпване на суровините на световните пазари и най-вече на енергията и храните. Повишението на вътрешните цени на енергийните и хранителн</w:t>
      </w:r>
      <w:r>
        <w:t>ите стоки достигна съответно 27,8 % и 16,</w:t>
      </w:r>
      <w:r w:rsidRPr="00F416C0">
        <w:t>5</w:t>
      </w:r>
      <w:r>
        <w:t xml:space="preserve"> </w:t>
      </w:r>
      <w:r w:rsidRPr="00F416C0">
        <w:t>% на годишна база през март, като заедно формираха над 70</w:t>
      </w:r>
      <w:r>
        <w:t xml:space="preserve"> </w:t>
      </w:r>
      <w:r w:rsidRPr="00F416C0">
        <w:t>% от повишението на общия индекс. С оглед разгръщането не само на директните, но и на косвените ефекти от по-високите цени на енергоносителите, базиснат</w:t>
      </w:r>
      <w:r>
        <w:t>а инфлация</w:t>
      </w:r>
      <w:r>
        <w:rPr>
          <w:rStyle w:val="FootnoteReference"/>
        </w:rPr>
        <w:footnoteReference w:id="3"/>
      </w:r>
      <w:r>
        <w:t xml:space="preserve"> също се ускори до 7,</w:t>
      </w:r>
      <w:r w:rsidRPr="00F416C0">
        <w:t>3</w:t>
      </w:r>
      <w:r>
        <w:t xml:space="preserve"> </w:t>
      </w:r>
      <w:r w:rsidRPr="00F416C0">
        <w:t>% на годишна база.</w:t>
      </w:r>
    </w:p>
    <w:p w:rsidR="00521531" w:rsidRDefault="00521531" w:rsidP="00521531">
      <w:pPr>
        <w:spacing w:before="120" w:after="120"/>
        <w:jc w:val="both"/>
      </w:pPr>
      <w:r w:rsidRPr="00324B19">
        <w:t xml:space="preserve">Балансът на текущата сметка за </w:t>
      </w:r>
      <w:r>
        <w:t xml:space="preserve">първите два месеца на годината </w:t>
      </w:r>
      <w:r w:rsidRPr="00324B19">
        <w:t>бе отрицателен в размер на 0,3</w:t>
      </w:r>
      <w:r>
        <w:t xml:space="preserve"> % от прогнозния БВП</w:t>
      </w:r>
      <w:r w:rsidRPr="00324B19">
        <w:t>, при излишък от 0,4</w:t>
      </w:r>
      <w:r>
        <w:t xml:space="preserve"> </w:t>
      </w:r>
      <w:r w:rsidRPr="00324B19">
        <w:t>% за същия период на предходната година. Влошаването на салдото отразяваше основно търговията със стоки. Износът на стоки се повиши с 31,3 % през януари-февруари спрямо година по-рано, при 45,5 % по-висок внос. Двуцифрени растежи бяха отчетени при търговията както в рамките на ЕС, така и с трети страни, подкрепени от същественото нарастване на цените. Стоковата разбив</w:t>
      </w:r>
      <w:r>
        <w:t>ка показва, че извън ЕС водеща</w:t>
      </w:r>
      <w:r w:rsidRPr="00324B19">
        <w:t xml:space="preserve"> е групата на минералните горива, докато търговията с държави в Общността е по-балансирана с принос от полуготови продукти, </w:t>
      </w:r>
      <w:r>
        <w:t xml:space="preserve">енергийни стоки, </w:t>
      </w:r>
      <w:r w:rsidRPr="00324B19">
        <w:t>химически продукти и машини. При услугите бе отчетено продължаващо възстановяване на приходите от пътувания на чужденци в страната.</w:t>
      </w:r>
    </w:p>
    <w:p w:rsidR="00521531" w:rsidRDefault="00521531" w:rsidP="00521531">
      <w:pPr>
        <w:spacing w:before="120" w:after="120"/>
        <w:jc w:val="both"/>
      </w:pPr>
      <w:r w:rsidRPr="00FA2C9F">
        <w:t>Търсенето на заемн</w:t>
      </w:r>
      <w:r>
        <w:t xml:space="preserve">и ресурси в икономиката остана високо. През първото тримесечие </w:t>
      </w:r>
      <w:r w:rsidRPr="00FA2C9F">
        <w:t>кредит</w:t>
      </w:r>
      <w:r w:rsidR="00667DB3">
        <w:t>ът</w:t>
      </w:r>
      <w:r w:rsidRPr="00FA2C9F">
        <w:t xml:space="preserve"> за частния сектор продължи тенденцията </w:t>
      </w:r>
      <w:r>
        <w:t xml:space="preserve">си </w:t>
      </w:r>
      <w:r w:rsidRPr="00FA2C9F">
        <w:t>на уск</w:t>
      </w:r>
      <w:r>
        <w:t>орение от 2021 г. и годишното му нарастване беше 10,7 % в края на март спрямо 8,7 % в края на 2021 г</w:t>
      </w:r>
      <w:r w:rsidRPr="00BC7F28">
        <w:t>. Възходящото развитие се дължеше, какт</w:t>
      </w:r>
      <w:r>
        <w:t xml:space="preserve">о на кредитите за нефинансови </w:t>
      </w:r>
      <w:r w:rsidRPr="00BC7F28">
        <w:t xml:space="preserve">предприятия, </w:t>
      </w:r>
      <w:r>
        <w:t>така и на тези з</w:t>
      </w:r>
      <w:r w:rsidRPr="00BC7F28">
        <w:t>а домакинс</w:t>
      </w:r>
      <w:r>
        <w:t>твата, при които ускорението бе по-осезаемо, особено в сегмента на жилищното кредитиране. Г</w:t>
      </w:r>
      <w:r w:rsidRPr="007B09D3">
        <w:t>одишният растеж на кредита за нефинансови</w:t>
      </w:r>
      <w:r>
        <w:t>те</w:t>
      </w:r>
      <w:r w:rsidRPr="007B09D3">
        <w:t xml:space="preserve"> предприятия </w:t>
      </w:r>
      <w:r>
        <w:t xml:space="preserve">в края на март беше 7,9 % при 4,6 % в края на миналата година, за който допринесе и по-голямото ускорение при овърдрафта, докато лошите и преструктурирани кредити на нефинансовите предприятия продължиха да намаляват. При кредитите на домакинствата годишният растеж достигна 14,1 % в края на тримесечието, спрямо 13,4 % в края на 2021 г. Кредитите за покупка на жилища се </w:t>
      </w:r>
      <w:r w:rsidR="000666C0">
        <w:t xml:space="preserve">повишиха </w:t>
      </w:r>
      <w:r>
        <w:t>с 18</w:t>
      </w:r>
      <w:r w:rsidRPr="002959AE">
        <w:t>,</w:t>
      </w:r>
      <w:r>
        <w:t>3</w:t>
      </w:r>
      <w:r w:rsidRPr="002959AE">
        <w:t xml:space="preserve"> % </w:t>
      </w:r>
      <w:r>
        <w:t xml:space="preserve">на годишна база </w:t>
      </w:r>
      <w:r w:rsidRPr="002959AE">
        <w:t xml:space="preserve">при </w:t>
      </w:r>
      <w:r>
        <w:t>16,5 % в края на 2021</w:t>
      </w:r>
      <w:r w:rsidRPr="002959AE">
        <w:t xml:space="preserve"> г.</w:t>
      </w:r>
      <w:r>
        <w:t xml:space="preserve"> </w:t>
      </w:r>
    </w:p>
    <w:p w:rsidR="00521531" w:rsidRPr="00700093" w:rsidRDefault="00521531" w:rsidP="00521531">
      <w:pPr>
        <w:spacing w:before="120" w:after="120"/>
        <w:jc w:val="both"/>
      </w:pPr>
      <w:r w:rsidRPr="00700093">
        <w:t>По-високото търсене</w:t>
      </w:r>
      <w:r>
        <w:t xml:space="preserve"> на кредити за покупка на жилище</w:t>
      </w:r>
      <w:r w:rsidRPr="00700093">
        <w:t xml:space="preserve"> беше мотивирано от ниските номинални лихвени проценти, от една страна и отрицателната реална възвръщаемост по депозитите, от друга</w:t>
      </w:r>
      <w:r>
        <w:t>,</w:t>
      </w:r>
      <w:r w:rsidRPr="00700093">
        <w:t xml:space="preserve"> в среда на ускоряваща се инфлация и нарастващи цени на жилищата. </w:t>
      </w:r>
      <w:r>
        <w:t>Привлечените депозити на нефинансовите предприятия и домакинствата продължиха да нарастват с относително високи темпове при продължаваща несигурност</w:t>
      </w:r>
      <w:r w:rsidRPr="00F9071B">
        <w:t>,</w:t>
      </w:r>
      <w:r>
        <w:t xml:space="preserve"> като при домакинствата през първото тримесечие се наблюдаваше плавно забавяне. </w:t>
      </w:r>
    </w:p>
    <w:p w:rsidR="00521531" w:rsidRPr="005D051A" w:rsidRDefault="00521531" w:rsidP="00446778">
      <w:pPr>
        <w:keepNext/>
        <w:keepLines/>
        <w:spacing w:before="40"/>
        <w:jc w:val="both"/>
        <w:outlineLvl w:val="2"/>
        <w:rPr>
          <w:b/>
          <w:u w:val="single"/>
          <w:lang w:eastAsia="bg-BG"/>
        </w:rPr>
      </w:pPr>
      <w:r w:rsidRPr="005D051A">
        <w:rPr>
          <w:b/>
          <w:u w:val="single"/>
          <w:lang w:eastAsia="bg-BG"/>
        </w:rPr>
        <w:t>Основни акценти във връзка с текущото наблюдение на изпълнението на консолидираната фискална програма за първото тримесечие на 2022 г.</w:t>
      </w:r>
    </w:p>
    <w:p w:rsidR="00521531" w:rsidRPr="005D051A" w:rsidRDefault="00521531" w:rsidP="00521531">
      <w:pPr>
        <w:spacing w:after="120"/>
        <w:jc w:val="both"/>
        <w:rPr>
          <w:color w:val="000000" w:themeColor="text1"/>
          <w:sz w:val="12"/>
          <w:szCs w:val="12"/>
        </w:rPr>
      </w:pPr>
    </w:p>
    <w:p w:rsidR="00850A7B" w:rsidRPr="00850A7B" w:rsidRDefault="00850A7B" w:rsidP="00850A7B">
      <w:pPr>
        <w:spacing w:after="120"/>
        <w:jc w:val="both"/>
        <w:rPr>
          <w:color w:val="000000" w:themeColor="text1"/>
        </w:rPr>
      </w:pPr>
      <w:r w:rsidRPr="00850A7B">
        <w:rPr>
          <w:color w:val="000000" w:themeColor="text1"/>
        </w:rPr>
        <w:t xml:space="preserve">Отчитайки състоянието на икономиката и развитието на пандемията, сценарият в разчетите към ЗДБРБ за 2022 г. предвижда дефицит по КФП 4,1 % от БВП през 2022 г., след което в разчетите към Актуализираната средносрочна бюджетна прогноза 2022-2024 г. е предвидено дефицитът да се свие до 3,3 % от БВП през 2023 г. и 3,0 % от БВП за 2024 г. </w:t>
      </w:r>
    </w:p>
    <w:p w:rsidR="00850A7B" w:rsidRPr="00850A7B" w:rsidRDefault="00850A7B" w:rsidP="00850A7B">
      <w:pPr>
        <w:spacing w:after="120"/>
        <w:jc w:val="both"/>
        <w:rPr>
          <w:color w:val="000000" w:themeColor="text1"/>
        </w:rPr>
      </w:pPr>
      <w:r w:rsidRPr="00850A7B">
        <w:rPr>
          <w:color w:val="000000" w:themeColor="text1"/>
        </w:rPr>
        <w:t>Одобреният от Народното събрание през месец март ЗДБРБ за 2022 г., предвижда постепенно нормализиране на ситуацията с пандемията в България до средата на 2022 г., след което необходимостта от прилагане на повечето ограничителни мерки и мерки за подкрепа на бизнеса и уязвимите групи от населението поетапно да отпадне. В тази връзка е важно да се отбележи, че извънредната епидемична обстановка в страната вече е прекратена, считано от 01 април 2022 г., с което отпаднаха и основните ограничения за бизнеса, наложени поради пандемията. Това развитие до голяма степен съответства на заложения сценарий в разчетите към ЗДБРБ за 2022 г. при допускане за запазване на ниските нива на разпространение на вируса през третото и четвъртото тримесечие на годината.</w:t>
      </w:r>
    </w:p>
    <w:p w:rsidR="00521531" w:rsidRPr="005D051A" w:rsidRDefault="00521531" w:rsidP="00521531">
      <w:pPr>
        <w:spacing w:after="120"/>
        <w:jc w:val="both"/>
        <w:rPr>
          <w:color w:val="000000" w:themeColor="text1"/>
        </w:rPr>
      </w:pPr>
      <w:r w:rsidRPr="005D051A">
        <w:rPr>
          <w:color w:val="000000" w:themeColor="text1"/>
        </w:rPr>
        <w:lastRenderedPageBreak/>
        <w:t xml:space="preserve">Успешното управление на пандемията през 2022 г. ще позволи фокусът на водените политики да бъде насочен към ускоряване на икономическия растеж с акцент върху публичните инвестиции, иновациите, растежа и цялостния икономически напредък. В израз на този приоритет </w:t>
      </w:r>
      <w:r w:rsidR="00D808EE">
        <w:rPr>
          <w:color w:val="000000" w:themeColor="text1"/>
        </w:rPr>
        <w:t>в</w:t>
      </w:r>
      <w:r w:rsidRPr="005D051A">
        <w:rPr>
          <w:color w:val="000000" w:themeColor="text1"/>
        </w:rPr>
        <w:t xml:space="preserve"> държавния бюджет за 2022 г. е предвидено значително увеличение на капиталовите и инвестиционните разходи, което в краткосрочен план </w:t>
      </w:r>
      <w:r w:rsidR="00D808EE">
        <w:rPr>
          <w:color w:val="000000" w:themeColor="text1"/>
        </w:rPr>
        <w:t>ще доведе до</w:t>
      </w:r>
      <w:r w:rsidRPr="005D051A">
        <w:rPr>
          <w:color w:val="000000" w:themeColor="text1"/>
        </w:rPr>
        <w:t xml:space="preserve"> нарастване на планирания дефицит, но очакваните ефекти по линия на мултипликатора на инвестиционните разходи в средносрочен план значително ще надвиши временното влошаване на бюджетното салдо. </w:t>
      </w:r>
      <w:r w:rsidR="00D808EE" w:rsidRPr="005D051A">
        <w:rPr>
          <w:color w:val="000000" w:themeColor="text1"/>
        </w:rPr>
        <w:t>Акцент</w:t>
      </w:r>
      <w:r w:rsidRPr="005D051A">
        <w:rPr>
          <w:color w:val="000000" w:themeColor="text1"/>
        </w:rPr>
        <w:t xml:space="preserve"> на тази политика е създаването на условия за постигане на устойчиво интегрирано развитие на районите и общините в страната, подпомагане на икономическото и социално</w:t>
      </w:r>
      <w:r w:rsidR="00D808EE">
        <w:rPr>
          <w:color w:val="000000" w:themeColor="text1"/>
        </w:rPr>
        <w:t>то</w:t>
      </w:r>
      <w:r w:rsidRPr="005D051A">
        <w:rPr>
          <w:color w:val="000000" w:themeColor="text1"/>
        </w:rPr>
        <w:t xml:space="preserve"> развитие на трансграничните региони и намаляване на регионалните различия посредством подобряване на инфраструктурата в граничните райони, насърчаване на сътрудничеството между регионите, както и насърчаване на съвместното трансгранично сътрудничество и балансирано териториално развитие чрез укрепване на мрежата от градове-центрове, подобряване свързаността в районите и качеството на средата в населените места. Важна роля за постигане на тези цели има политиката в областта на транспорта, която е насочена към подобряване на свързаността чрез развитие на базисната транспортна инфраструктура, повишаване на качеството на предлаганите транспортни услуги и устойчивото развитие на транспорта. </w:t>
      </w:r>
    </w:p>
    <w:p w:rsidR="00521531" w:rsidRPr="005D051A" w:rsidRDefault="00521531" w:rsidP="00521531">
      <w:pPr>
        <w:spacing w:after="120"/>
        <w:jc w:val="both"/>
        <w:rPr>
          <w:color w:val="000000" w:themeColor="text1"/>
        </w:rPr>
      </w:pPr>
      <w:r w:rsidRPr="005D051A">
        <w:rPr>
          <w:color w:val="000000" w:themeColor="text1"/>
        </w:rPr>
        <w:t>От друга страна</w:t>
      </w:r>
      <w:r w:rsidR="00D808EE">
        <w:rPr>
          <w:color w:val="000000" w:themeColor="text1"/>
        </w:rPr>
        <w:t>,</w:t>
      </w:r>
      <w:r w:rsidRPr="005D051A">
        <w:rPr>
          <w:color w:val="000000" w:themeColor="text1"/>
        </w:rPr>
        <w:t xml:space="preserve"> към ефектите от пандемията върху икономиката след втората половина на </w:t>
      </w:r>
      <w:r w:rsidRPr="007B3369">
        <w:rPr>
          <w:color w:val="000000" w:themeColor="text1"/>
        </w:rPr>
        <w:t>2021 г. се добавиха и ефектите от значителното увеличение на цените на електроенергията</w:t>
      </w:r>
      <w:r w:rsidR="00D808EE" w:rsidRPr="007B3369">
        <w:rPr>
          <w:color w:val="000000" w:themeColor="text1"/>
        </w:rPr>
        <w:t>,</w:t>
      </w:r>
      <w:r w:rsidRPr="007B3369">
        <w:rPr>
          <w:color w:val="000000" w:themeColor="text1"/>
        </w:rPr>
        <w:t xml:space="preserve"> запазващи се устойчиво и до момента. Поради това се наложи, програмите за компенсиране на небитовите потребители на електрическа енергия и природен газ, прилагани през последното тримесечие на 2021 г., да бъдат доразвити и да продължат да се прилагат до края на месец април 2022 г. </w:t>
      </w:r>
      <w:r w:rsidR="007B3369" w:rsidRPr="007B3369">
        <w:rPr>
          <w:color w:val="000000" w:themeColor="text1"/>
        </w:rPr>
        <w:t>Удължаването на програмите е в рамките на разходните тавани по годишния закон за бюджета и като допълнителни разходи по бюджета на Фонда за гарантиране на сигурността на електроенергийната система, включително и за сметка на допълнителни приходи.</w:t>
      </w:r>
    </w:p>
    <w:p w:rsidR="007F3E5C" w:rsidRDefault="007F3E5C" w:rsidP="007F3E5C">
      <w:pPr>
        <w:spacing w:after="120"/>
        <w:jc w:val="both"/>
        <w:rPr>
          <w:color w:val="000000" w:themeColor="text1"/>
        </w:rPr>
      </w:pPr>
      <w:r w:rsidRPr="0000771D">
        <w:rPr>
          <w:color w:val="000000" w:themeColor="text1"/>
        </w:rPr>
        <w:t>С избухването на конфликта в Украйна в края на месец февруари 2022 г. към посоченото поскъпване на цената на електроенергията се добавиха и шоковете при пазарите на енергоносителите, основните суровини, металите и други. Скокът на цените и нарушените вериги за доставка са сериозен проблем както за производителите, така и за потребителите и представлява сериозна заплаха за продължаващото икономическо възстановяване след пандемията от COVID-19. Към тези развития следва да се добави и хуманитарния аспект на кризата, свързан с потока от бежанци. Отчитайки рисковете, произтичащи от избухването на войната в Украйна, и преките и косвените ефекти за бюджета от каналите, чрез които кризата оказва влияние върху икономиката и фиска, се търсят решения за минимизиране на негативните последствия за икономиката.</w:t>
      </w:r>
    </w:p>
    <w:p w:rsidR="00521531" w:rsidRPr="005D051A" w:rsidRDefault="00521531" w:rsidP="00521531">
      <w:pPr>
        <w:spacing w:after="120"/>
        <w:jc w:val="both"/>
        <w:rPr>
          <w:b/>
          <w:i/>
          <w:color w:val="000000" w:themeColor="text1"/>
          <w:u w:val="single"/>
        </w:rPr>
      </w:pPr>
      <w:r w:rsidRPr="005D051A">
        <w:rPr>
          <w:b/>
          <w:i/>
          <w:color w:val="000000" w:themeColor="text1"/>
          <w:u w:val="single"/>
        </w:rPr>
        <w:t xml:space="preserve">Бюджетно салдо по КФП </w:t>
      </w:r>
      <w:r w:rsidR="00C910DB">
        <w:rPr>
          <w:b/>
          <w:i/>
          <w:color w:val="000000" w:themeColor="text1"/>
          <w:u w:val="single"/>
        </w:rPr>
        <w:t>за</w:t>
      </w:r>
      <w:r w:rsidRPr="005D051A">
        <w:rPr>
          <w:b/>
          <w:i/>
          <w:color w:val="000000" w:themeColor="text1"/>
          <w:u w:val="single"/>
        </w:rPr>
        <w:t xml:space="preserve"> първото тримесечие на 2022 г.</w:t>
      </w:r>
    </w:p>
    <w:p w:rsidR="00654A03" w:rsidRPr="00654A03" w:rsidRDefault="00654A03" w:rsidP="00654A03">
      <w:pPr>
        <w:spacing w:after="120"/>
        <w:jc w:val="both"/>
        <w:rPr>
          <w:color w:val="000000" w:themeColor="text1"/>
        </w:rPr>
      </w:pPr>
      <w:r w:rsidRPr="00654A03">
        <w:rPr>
          <w:color w:val="000000" w:themeColor="text1"/>
        </w:rPr>
        <w:t xml:space="preserve">На база на данните от месечните отчети за касовото изпълнение на разпоредителите с бюджет за първото тримесечие на 2022 г. бюджетното салдо по КФП е близко до балансирано (излишък в размер на 0,2 от прогнозния БВП). Съпоставено със същия период на предходната година, се отчита подобрение на бюджетната позиция с 0,7 пр. п., което се дължи основно на продължаващото положително развитие при основните данъци и при приходите от осигурителни вноски, докато разходите са номинално близки до отчетените за същия период на 2021 г. На база на отчетните данни номиналният ръст на приходите спрямо същия период на предходната година е 9,1 на сто (което съответства на заложения годишен ръст в ЗДБРБ за 2022 г.), докато разходите по КФП, вкл. вноската в общия бюджет на ЕС, нарастват номинално с 0,9 на сто.  </w:t>
      </w:r>
    </w:p>
    <w:p w:rsidR="00521531" w:rsidRPr="005D051A" w:rsidRDefault="00521531" w:rsidP="00521531">
      <w:pPr>
        <w:spacing w:before="240"/>
        <w:jc w:val="both"/>
        <w:rPr>
          <w:b/>
          <w:i/>
          <w:color w:val="000000" w:themeColor="text1"/>
        </w:rPr>
      </w:pPr>
      <w:r w:rsidRPr="005D051A">
        <w:rPr>
          <w:b/>
          <w:i/>
          <w:color w:val="000000" w:themeColor="text1"/>
        </w:rPr>
        <w:t>Приходи</w:t>
      </w:r>
    </w:p>
    <w:p w:rsidR="005B3AF5" w:rsidRPr="005D051A" w:rsidRDefault="005B3AF5" w:rsidP="005B3AF5">
      <w:pPr>
        <w:autoSpaceDE w:val="0"/>
        <w:autoSpaceDN w:val="0"/>
        <w:adjustRightInd w:val="0"/>
        <w:spacing w:before="120"/>
        <w:jc w:val="both"/>
        <w:rPr>
          <w:noProof/>
          <w:color w:val="000000" w:themeColor="text1"/>
        </w:rPr>
      </w:pPr>
      <w:r w:rsidRPr="005D051A">
        <w:rPr>
          <w:noProof/>
          <w:color w:val="000000" w:themeColor="text1"/>
        </w:rPr>
        <w:t xml:space="preserve">Общо приходите, помощите и даренията по КФП за първото тримесечие на 2022 г. нарастват номинално с 1 млрд. лв. (9,1 на сто), като основнен двигател за това са данъчните и осигурителните приходи. Изпълнението спрямо заложените параметри с разчетите към ЗДБРБ </w:t>
      </w:r>
      <w:r w:rsidRPr="005D051A">
        <w:rPr>
          <w:noProof/>
          <w:color w:val="000000" w:themeColor="text1"/>
        </w:rPr>
        <w:lastRenderedPageBreak/>
        <w:t xml:space="preserve">за 2022 г. е 21,6 на сто, като следва да се има предвид, че с </w:t>
      </w:r>
      <w:r w:rsidRPr="005D051A">
        <w:rPr>
          <w:color w:val="000000" w:themeColor="text1"/>
        </w:rPr>
        <w:t>приетите законодателни промени в крайните срокове за подаване на годишната данъчна декларация за 2021 г. по Закона за корпоративното подоходно облагане (ЗКПО), както и за внасяне на корпоративния данък, данъка върху разходите, данъка върху приходите на бюджетните предприятия, както и на данъка върху дейността от опериране на кораби (от 31 март на 30 юни 2021 г.), част от постъпленията се изместват от края на първото тримесечие в края на второто тримесечие.</w:t>
      </w:r>
      <w:r w:rsidRPr="005D051A">
        <w:rPr>
          <w:noProof/>
          <w:color w:val="000000" w:themeColor="text1"/>
        </w:rPr>
        <w:t xml:space="preserve"> </w:t>
      </w:r>
      <w:r w:rsidRPr="00D2254A">
        <w:rPr>
          <w:noProof/>
          <w:color w:val="000000" w:themeColor="text1"/>
        </w:rPr>
        <w:t xml:space="preserve">В частта на приходите от преки данъци постъпленията остават </w:t>
      </w:r>
      <w:r>
        <w:rPr>
          <w:noProof/>
          <w:color w:val="000000" w:themeColor="text1"/>
        </w:rPr>
        <w:t>близки до</w:t>
      </w:r>
      <w:r w:rsidRPr="00D2254A">
        <w:rPr>
          <w:noProof/>
          <w:color w:val="000000" w:themeColor="text1"/>
        </w:rPr>
        <w:t xml:space="preserve"> нивата от предходната година</w:t>
      </w:r>
      <w:r>
        <w:rPr>
          <w:noProof/>
          <w:color w:val="000000" w:themeColor="text1"/>
        </w:rPr>
        <w:t>. Върху постъпленията от преки данъци влияние оказват</w:t>
      </w:r>
      <w:r w:rsidRPr="00D2254A">
        <w:rPr>
          <w:noProof/>
          <w:color w:val="000000" w:themeColor="text1"/>
        </w:rPr>
        <w:t xml:space="preserve"> от една страна, посочените променени срокове по ЗКПО, и от друга, ефектите върху постъпленията от ДДФЛ поради ползваното от правоимащите лица по-високо данъчно облекчение за 2021 г. по чл. 22в и чл. 22г</w:t>
      </w:r>
      <w:r>
        <w:rPr>
          <w:noProof/>
          <w:color w:val="000000" w:themeColor="text1"/>
        </w:rPr>
        <w:t xml:space="preserve"> </w:t>
      </w:r>
      <w:r w:rsidRPr="00D2254A">
        <w:rPr>
          <w:noProof/>
          <w:color w:val="000000" w:themeColor="text1"/>
        </w:rPr>
        <w:t xml:space="preserve">от ЗДДФЛ. Постъпленията от социално и здравно осигурителни вноски нарастват с 0,2 млрд. лв. (7,9 на сто), като ефектите от променения размер на максималния осигурителен доход, минималните осигурителни прагове, минималната работна заплата и други ще започнат да се проявяват след месец април, поради по-късното приемане на ЗДБРБ за 2022 г.  </w:t>
      </w:r>
      <w:r w:rsidRPr="005D051A">
        <w:rPr>
          <w:noProof/>
          <w:color w:val="000000" w:themeColor="text1"/>
        </w:rPr>
        <w:t>За разлика от първото полугодие на 2021 г., когато възстановяването при постъпленията от ДДС бе все още в начална фаза</w:t>
      </w:r>
      <w:r>
        <w:rPr>
          <w:noProof/>
          <w:color w:val="000000" w:themeColor="text1"/>
        </w:rPr>
        <w:t>,</w:t>
      </w:r>
      <w:r w:rsidRPr="005D051A">
        <w:rPr>
          <w:noProof/>
          <w:color w:val="000000" w:themeColor="text1"/>
        </w:rPr>
        <w:t xml:space="preserve"> през първото тримесечие на 2022 г. постъпленията </w:t>
      </w:r>
      <w:r>
        <w:rPr>
          <w:noProof/>
          <w:color w:val="000000" w:themeColor="text1"/>
        </w:rPr>
        <w:t xml:space="preserve">от косвени данъци </w:t>
      </w:r>
      <w:r w:rsidRPr="005D051A">
        <w:rPr>
          <w:noProof/>
          <w:color w:val="000000" w:themeColor="text1"/>
        </w:rPr>
        <w:t xml:space="preserve"> нарастват с около 0,8 млрд. лв. </w:t>
      </w:r>
      <w:r w:rsidRPr="008043E1">
        <w:rPr>
          <w:noProof/>
          <w:color w:val="000000" w:themeColor="text1"/>
        </w:rPr>
        <w:t xml:space="preserve">Нарастването на цените </w:t>
      </w:r>
      <w:r w:rsidRPr="005A1613">
        <w:rPr>
          <w:noProof/>
          <w:color w:val="000000" w:themeColor="text1"/>
        </w:rPr>
        <w:t xml:space="preserve">на енергоносителите и голяма част </w:t>
      </w:r>
      <w:r w:rsidRPr="008043E1">
        <w:rPr>
          <w:noProof/>
          <w:color w:val="000000" w:themeColor="text1"/>
        </w:rPr>
        <w:t>от суровините на международните пазари, промяната в курса на еврото спрямо щатския долар и други са сред основните фактори за ръста при постъпленията от ДДС от внос</w:t>
      </w:r>
      <w:r w:rsidRPr="005D051A">
        <w:rPr>
          <w:noProof/>
          <w:color w:val="000000" w:themeColor="text1"/>
        </w:rPr>
        <w:t>, докато приходите от ДДС от</w:t>
      </w:r>
      <w:r>
        <w:rPr>
          <w:noProof/>
          <w:color w:val="000000" w:themeColor="text1"/>
        </w:rPr>
        <w:t xml:space="preserve"> сделки в страната и</w:t>
      </w:r>
      <w:r w:rsidRPr="005D051A">
        <w:rPr>
          <w:noProof/>
          <w:color w:val="000000" w:themeColor="text1"/>
        </w:rPr>
        <w:t xml:space="preserve"> ВОП отч</w:t>
      </w:r>
      <w:r>
        <w:rPr>
          <w:noProof/>
          <w:color w:val="000000" w:themeColor="text1"/>
        </w:rPr>
        <w:t>и</w:t>
      </w:r>
      <w:r w:rsidRPr="005D051A">
        <w:rPr>
          <w:noProof/>
          <w:color w:val="000000" w:themeColor="text1"/>
        </w:rPr>
        <w:t xml:space="preserve">тат по-умерен ръст поради ръста </w:t>
      </w:r>
      <w:r w:rsidRPr="001C129D">
        <w:rPr>
          <w:noProof/>
          <w:color w:val="000000" w:themeColor="text1"/>
        </w:rPr>
        <w:t>на</w:t>
      </w:r>
      <w:r w:rsidRPr="005A1613">
        <w:rPr>
          <w:noProof/>
          <w:color w:val="000000" w:themeColor="text1"/>
        </w:rPr>
        <w:t xml:space="preserve"> възстановения данък </w:t>
      </w:r>
      <w:r w:rsidRPr="008D67E9">
        <w:rPr>
          <w:noProof/>
          <w:color w:val="000000" w:themeColor="text1"/>
          <w:lang w:val="ru-RU"/>
        </w:rPr>
        <w:t>(</w:t>
      </w:r>
      <w:r w:rsidRPr="005A1613">
        <w:rPr>
          <w:noProof/>
          <w:color w:val="000000" w:themeColor="text1"/>
        </w:rPr>
        <w:t>чрез прихващане от НАП и ефективно)</w:t>
      </w:r>
      <w:r w:rsidRPr="008D67E9">
        <w:rPr>
          <w:noProof/>
          <w:color w:val="000000" w:themeColor="text1"/>
          <w:lang w:val="ru-RU"/>
        </w:rPr>
        <w:t>,</w:t>
      </w:r>
      <w:r w:rsidRPr="005D051A">
        <w:rPr>
          <w:noProof/>
          <w:color w:val="000000" w:themeColor="text1"/>
        </w:rPr>
        <w:t xml:space="preserve"> </w:t>
      </w:r>
      <w:r w:rsidRPr="005A1613">
        <w:rPr>
          <w:noProof/>
          <w:color w:val="000000" w:themeColor="text1"/>
        </w:rPr>
        <w:t>ефектите върху потреблението от относително високата инфлация</w:t>
      </w:r>
      <w:r w:rsidRPr="005D051A">
        <w:rPr>
          <w:noProof/>
          <w:color w:val="000000" w:themeColor="text1"/>
        </w:rPr>
        <w:t xml:space="preserve"> и др. При акцизите ръстът </w:t>
      </w:r>
      <w:r>
        <w:rPr>
          <w:noProof/>
          <w:color w:val="000000" w:themeColor="text1"/>
        </w:rPr>
        <w:t xml:space="preserve">спрямо първо тримесечие на предходната година </w:t>
      </w:r>
      <w:r w:rsidRPr="005D051A">
        <w:rPr>
          <w:noProof/>
          <w:color w:val="000000" w:themeColor="text1"/>
        </w:rPr>
        <w:t>е</w:t>
      </w:r>
      <w:r>
        <w:rPr>
          <w:noProof/>
          <w:color w:val="000000" w:themeColor="text1"/>
        </w:rPr>
        <w:t xml:space="preserve"> </w:t>
      </w:r>
      <w:r w:rsidRPr="005D051A">
        <w:rPr>
          <w:noProof/>
          <w:color w:val="000000" w:themeColor="text1"/>
        </w:rPr>
        <w:t xml:space="preserve">4,8 на сто, което се дължи на </w:t>
      </w:r>
      <w:r>
        <w:rPr>
          <w:noProof/>
          <w:color w:val="000000" w:themeColor="text1"/>
        </w:rPr>
        <w:t>ръст</w:t>
      </w:r>
      <w:r w:rsidRPr="005A1613">
        <w:rPr>
          <w:noProof/>
          <w:color w:val="000000" w:themeColor="text1"/>
        </w:rPr>
        <w:t xml:space="preserve"> при потреблението на акцизни стоки</w:t>
      </w:r>
      <w:r w:rsidRPr="005D051A">
        <w:rPr>
          <w:noProof/>
          <w:color w:val="000000" w:themeColor="text1"/>
        </w:rPr>
        <w:t xml:space="preserve">. </w:t>
      </w:r>
    </w:p>
    <w:p w:rsidR="005B3AF5" w:rsidRPr="005D051A" w:rsidRDefault="005B3AF5" w:rsidP="005B3AF5">
      <w:pPr>
        <w:autoSpaceDE w:val="0"/>
        <w:autoSpaceDN w:val="0"/>
        <w:adjustRightInd w:val="0"/>
        <w:spacing w:before="120"/>
        <w:jc w:val="both"/>
        <w:rPr>
          <w:noProof/>
          <w:color w:val="8DB3E2" w:themeColor="text2" w:themeTint="66"/>
        </w:rPr>
      </w:pPr>
      <w:r w:rsidRPr="005D051A">
        <w:rPr>
          <w:noProof/>
          <w:color w:val="000000" w:themeColor="text1"/>
        </w:rPr>
        <w:t xml:space="preserve">На база на текущите параметри по изпълнението на данъчните и осигурителните приходи за първото тримесечие на годината може да се очаква, че разчетите при основните данъци в годишен план могат да бъдат изпълнени, но предвид ранния етап на изпълнението на бюджета и променените срокове по данъчния календар, както и в зависимост от развитието на ситуацията в Украйна, </w:t>
      </w:r>
      <w:r w:rsidRPr="005D051A">
        <w:rPr>
          <w:b/>
          <w:i/>
          <w:noProof/>
          <w:color w:val="000000" w:themeColor="text1"/>
        </w:rPr>
        <w:t>по-надежден анализ на очерталите се тенденции ще може да се направи на база на параметрите към полугодието на настоящата година</w:t>
      </w:r>
      <w:r w:rsidRPr="005D051A">
        <w:rPr>
          <w:noProof/>
          <w:color w:val="000000" w:themeColor="text1"/>
        </w:rPr>
        <w:t xml:space="preserve">. </w:t>
      </w:r>
    </w:p>
    <w:p w:rsidR="00521531" w:rsidRPr="005D051A" w:rsidRDefault="00521531" w:rsidP="00521531">
      <w:pPr>
        <w:spacing w:before="240"/>
        <w:jc w:val="both"/>
        <w:rPr>
          <w:b/>
          <w:i/>
          <w:color w:val="000000" w:themeColor="text1"/>
        </w:rPr>
      </w:pPr>
      <w:r w:rsidRPr="005D051A">
        <w:rPr>
          <w:b/>
          <w:i/>
          <w:color w:val="000000" w:themeColor="text1"/>
        </w:rPr>
        <w:t>Разходи</w:t>
      </w:r>
    </w:p>
    <w:p w:rsidR="00521531" w:rsidRPr="005D051A" w:rsidRDefault="00521531" w:rsidP="00521531">
      <w:pPr>
        <w:spacing w:before="120" w:after="120"/>
        <w:jc w:val="both"/>
        <w:rPr>
          <w:rFonts w:eastAsia="Calibri"/>
          <w:color w:val="000000" w:themeColor="text1"/>
        </w:rPr>
      </w:pPr>
      <w:r w:rsidRPr="005D051A">
        <w:rPr>
          <w:rFonts w:eastAsia="Calibri"/>
          <w:color w:val="000000" w:themeColor="text1"/>
        </w:rPr>
        <w:t>Разходите по КФП (вкл. вноската на Република България в бюджета на ЕС) към март 2022 г. нарастват номинално с 0,</w:t>
      </w:r>
      <w:r w:rsidR="00D2254A">
        <w:rPr>
          <w:rFonts w:eastAsia="Calibri"/>
          <w:color w:val="000000" w:themeColor="text1"/>
        </w:rPr>
        <w:t>1</w:t>
      </w:r>
      <w:r w:rsidRPr="005D051A">
        <w:rPr>
          <w:rFonts w:eastAsia="Calibri"/>
          <w:color w:val="000000" w:themeColor="text1"/>
        </w:rPr>
        <w:t xml:space="preserve"> млрд. лв. и представляват 19,</w:t>
      </w:r>
      <w:r w:rsidR="00B5581C">
        <w:rPr>
          <w:rFonts w:eastAsia="Calibri"/>
          <w:color w:val="000000" w:themeColor="text1"/>
        </w:rPr>
        <w:t>1</w:t>
      </w:r>
      <w:r w:rsidRPr="005D051A">
        <w:rPr>
          <w:rFonts w:eastAsia="Calibri"/>
          <w:color w:val="000000" w:themeColor="text1"/>
        </w:rPr>
        <w:t xml:space="preserve"> % от годишните разчети към ЗДБРБ за 2022 г. По-късното приемане на ЗДБРБ за 2022 г. и прилагането на хипотезата на чл. 87 на Закона за публичните финанси, съгласно която в случай че до началото на бюджетната година държавният бюджет не бъде приет от Народното събрание</w:t>
      </w:r>
      <w:r w:rsidR="00D2254A">
        <w:rPr>
          <w:rFonts w:eastAsia="Calibri"/>
          <w:color w:val="000000" w:themeColor="text1"/>
        </w:rPr>
        <w:t>,</w:t>
      </w:r>
      <w:r w:rsidRPr="005D051A">
        <w:rPr>
          <w:rFonts w:eastAsia="Calibri"/>
          <w:color w:val="000000" w:themeColor="text1"/>
        </w:rPr>
        <w:t xml:space="preserve"> извършването на разходите и предоставянето на трансфери е в размер не по-голям от размер</w:t>
      </w:r>
      <w:r w:rsidR="00006A56">
        <w:rPr>
          <w:rFonts w:eastAsia="Calibri"/>
          <w:color w:val="000000" w:themeColor="text1"/>
        </w:rPr>
        <w:t>а</w:t>
      </w:r>
      <w:r w:rsidRPr="005D051A">
        <w:rPr>
          <w:rFonts w:eastAsia="Calibri"/>
          <w:color w:val="000000" w:themeColor="text1"/>
        </w:rPr>
        <w:t xml:space="preserve"> </w:t>
      </w:r>
      <w:r w:rsidR="00006A56">
        <w:rPr>
          <w:rFonts w:eastAsia="Calibri"/>
          <w:color w:val="000000" w:themeColor="text1"/>
        </w:rPr>
        <w:t xml:space="preserve">им </w:t>
      </w:r>
      <w:r w:rsidRPr="005D051A">
        <w:rPr>
          <w:rFonts w:eastAsia="Calibri"/>
          <w:color w:val="000000" w:themeColor="text1"/>
        </w:rPr>
        <w:t xml:space="preserve">за същия период на предходната година, като се отчитат влезли в сила актове на Народното събрание и Министерския съвет, </w:t>
      </w:r>
      <w:r w:rsidRPr="005D051A">
        <w:rPr>
          <w:rFonts w:eastAsia="Calibri"/>
          <w:b/>
          <w:i/>
          <w:color w:val="000000" w:themeColor="text1"/>
        </w:rPr>
        <w:t>оказа задържащ ефект върху разходите</w:t>
      </w:r>
      <w:r w:rsidRPr="005D051A">
        <w:rPr>
          <w:rFonts w:eastAsia="Calibri"/>
          <w:color w:val="000000" w:themeColor="text1"/>
        </w:rPr>
        <w:t xml:space="preserve"> </w:t>
      </w:r>
      <w:r w:rsidR="00006A56">
        <w:rPr>
          <w:rFonts w:eastAsia="Calibri"/>
          <w:color w:val="000000" w:themeColor="text1"/>
        </w:rPr>
        <w:t xml:space="preserve">и </w:t>
      </w:r>
      <w:r w:rsidRPr="005D051A">
        <w:rPr>
          <w:rFonts w:eastAsia="Calibri"/>
          <w:color w:val="000000" w:themeColor="text1"/>
        </w:rPr>
        <w:t>наложи изместването на част от планираните разходи за месеците след като ЗДБРБ за 2022 г. бъде окончателно приет от Народното събрание. Това също така не позволи през периода да бъдат извърш</w:t>
      </w:r>
      <w:r w:rsidR="001E1857">
        <w:rPr>
          <w:rFonts w:eastAsia="Calibri"/>
          <w:color w:val="000000" w:themeColor="text1"/>
        </w:rPr>
        <w:t>е</w:t>
      </w:r>
      <w:r w:rsidRPr="005D051A">
        <w:rPr>
          <w:rFonts w:eastAsia="Calibri"/>
          <w:color w:val="000000" w:themeColor="text1"/>
        </w:rPr>
        <w:t>ни разходи по чл. 1, ал. 5 на ЗДБРБ за 202</w:t>
      </w:r>
      <w:r w:rsidR="001E1857">
        <w:rPr>
          <w:rFonts w:eastAsia="Calibri"/>
          <w:color w:val="000000" w:themeColor="text1"/>
        </w:rPr>
        <w:t>2</w:t>
      </w:r>
      <w:r w:rsidRPr="005D051A">
        <w:rPr>
          <w:rFonts w:eastAsia="Calibri"/>
          <w:color w:val="000000" w:themeColor="text1"/>
        </w:rPr>
        <w:t xml:space="preserve"> г. Поради тези причини изпълнението на разходите за първото тримесечие е относително ниско (19,</w:t>
      </w:r>
      <w:r w:rsidR="001E1857">
        <w:rPr>
          <w:rFonts w:eastAsia="Calibri"/>
          <w:color w:val="000000" w:themeColor="text1"/>
        </w:rPr>
        <w:t>1</w:t>
      </w:r>
      <w:r w:rsidRPr="005D051A">
        <w:rPr>
          <w:rFonts w:eastAsia="Calibri"/>
          <w:color w:val="000000" w:themeColor="text1"/>
        </w:rPr>
        <w:t xml:space="preserve"> на сто), като съпоставено с предходната година се отчита ръст от </w:t>
      </w:r>
      <w:r w:rsidR="001E1857">
        <w:rPr>
          <w:rFonts w:eastAsia="Calibri"/>
          <w:color w:val="000000" w:themeColor="text1"/>
        </w:rPr>
        <w:t>0,9</w:t>
      </w:r>
      <w:r w:rsidRPr="005D051A">
        <w:rPr>
          <w:rFonts w:eastAsia="Calibri"/>
          <w:color w:val="000000" w:themeColor="text1"/>
        </w:rPr>
        <w:t xml:space="preserve"> на сто. </w:t>
      </w:r>
    </w:p>
    <w:p w:rsidR="00521531" w:rsidRPr="005D051A" w:rsidRDefault="00521531" w:rsidP="00521531">
      <w:pPr>
        <w:pStyle w:val="ListParagraph"/>
        <w:spacing w:line="240" w:lineRule="auto"/>
        <w:ind w:left="0" w:firstLine="0"/>
        <w:contextualSpacing w:val="0"/>
        <w:rPr>
          <w:rFonts w:eastAsia="Calibri"/>
          <w:color w:val="000000" w:themeColor="text1"/>
        </w:rPr>
      </w:pPr>
      <w:r w:rsidRPr="005D051A">
        <w:rPr>
          <w:rFonts w:ascii="Times New Roman" w:eastAsia="Calibri" w:hAnsi="Times New Roman"/>
          <w:color w:val="000000" w:themeColor="text1"/>
          <w:szCs w:val="24"/>
        </w:rPr>
        <w:t>При отделните елементи на разходите</w:t>
      </w:r>
      <w:r w:rsidR="005214E2">
        <w:rPr>
          <w:rFonts w:ascii="Times New Roman" w:eastAsia="Calibri" w:hAnsi="Times New Roman"/>
          <w:color w:val="000000" w:themeColor="text1"/>
          <w:szCs w:val="24"/>
        </w:rPr>
        <w:t>,</w:t>
      </w:r>
      <w:r w:rsidRPr="005D051A">
        <w:rPr>
          <w:rFonts w:ascii="Times New Roman" w:eastAsia="Calibri" w:hAnsi="Times New Roman"/>
          <w:color w:val="000000" w:themeColor="text1"/>
          <w:szCs w:val="24"/>
        </w:rPr>
        <w:t xml:space="preserve"> съпоставено със същия период на предходната година</w:t>
      </w:r>
      <w:r w:rsidR="005214E2">
        <w:rPr>
          <w:rFonts w:ascii="Times New Roman" w:eastAsia="Calibri" w:hAnsi="Times New Roman"/>
          <w:color w:val="000000" w:themeColor="text1"/>
          <w:szCs w:val="24"/>
        </w:rPr>
        <w:t>,</w:t>
      </w:r>
      <w:r w:rsidRPr="005D051A">
        <w:rPr>
          <w:rFonts w:ascii="Times New Roman" w:eastAsia="Calibri" w:hAnsi="Times New Roman"/>
          <w:color w:val="000000" w:themeColor="text1"/>
          <w:szCs w:val="24"/>
        </w:rPr>
        <w:t xml:space="preserve"> най-значителен номинален ръст се отчита при социалните разходи (0,3 млрд. лв. или 5,7 на сто), </w:t>
      </w:r>
      <w:r w:rsidR="005214E2">
        <w:rPr>
          <w:rFonts w:ascii="Times New Roman" w:eastAsia="Calibri" w:hAnsi="Times New Roman"/>
          <w:color w:val="000000" w:themeColor="text1"/>
          <w:szCs w:val="24"/>
        </w:rPr>
        <w:t>гла</w:t>
      </w:r>
      <w:r w:rsidRPr="005D051A">
        <w:rPr>
          <w:rFonts w:ascii="Times New Roman" w:eastAsia="Calibri" w:hAnsi="Times New Roman"/>
          <w:color w:val="000000" w:themeColor="text1"/>
          <w:szCs w:val="24"/>
        </w:rPr>
        <w:t>вно в частта на разходите за пенсии (0,2 млрд. лв. или 7,1 на сто.). Основните мерки в пенсионната сфера</w:t>
      </w:r>
      <w:r w:rsidR="005214E2">
        <w:rPr>
          <w:rFonts w:ascii="Times New Roman" w:eastAsia="Calibri" w:hAnsi="Times New Roman"/>
          <w:color w:val="000000" w:themeColor="text1"/>
          <w:szCs w:val="24"/>
        </w:rPr>
        <w:t>,</w:t>
      </w:r>
      <w:r w:rsidRPr="005D051A">
        <w:rPr>
          <w:rFonts w:ascii="Times New Roman" w:eastAsia="Calibri" w:hAnsi="Times New Roman"/>
          <w:color w:val="000000" w:themeColor="text1"/>
          <w:szCs w:val="24"/>
        </w:rPr>
        <w:t xml:space="preserve"> действащи през първото тримесечие на 2022 г.</w:t>
      </w:r>
      <w:r w:rsidR="005214E2">
        <w:rPr>
          <w:rFonts w:ascii="Times New Roman" w:eastAsia="Calibri" w:hAnsi="Times New Roman"/>
          <w:color w:val="000000" w:themeColor="text1"/>
          <w:szCs w:val="24"/>
        </w:rPr>
        <w:t>,</w:t>
      </w:r>
      <w:r w:rsidRPr="005D051A">
        <w:rPr>
          <w:rFonts w:ascii="Times New Roman" w:eastAsia="Calibri" w:hAnsi="Times New Roman"/>
          <w:color w:val="000000" w:themeColor="text1"/>
          <w:szCs w:val="24"/>
        </w:rPr>
        <w:t xml:space="preserve"> влязоха в сила от 25 декември 2021 г., и включват увеличение на размера на минималната пенсия за осигурителен стаж и възраст от 300 лева на 370 лева, преизчисляване на всички пенсии чрез промяна в пенсионната формула и нарастването на тежестта на всяка година осигурителен стаж от 1.2 на сто на 1.35 на сто, както и увеличение на максималния размер на пенсията от 1440 на 1500 лева. Друг фактор, влияещ върху нарастването на разходите за пенсии</w:t>
      </w:r>
      <w:r w:rsidR="005214E2">
        <w:rPr>
          <w:rFonts w:ascii="Times New Roman" w:eastAsia="Calibri" w:hAnsi="Times New Roman"/>
          <w:color w:val="000000" w:themeColor="text1"/>
          <w:szCs w:val="24"/>
        </w:rPr>
        <w:t>,</w:t>
      </w:r>
      <w:r w:rsidRPr="005D051A">
        <w:rPr>
          <w:rFonts w:ascii="Times New Roman" w:eastAsia="Calibri" w:hAnsi="Times New Roman"/>
          <w:color w:val="000000" w:themeColor="text1"/>
          <w:szCs w:val="24"/>
        </w:rPr>
        <w:t xml:space="preserve"> е базов ефект от увеличението </w:t>
      </w:r>
      <w:r w:rsidRPr="005D051A">
        <w:rPr>
          <w:rFonts w:ascii="Times New Roman" w:eastAsia="Calibri" w:hAnsi="Times New Roman"/>
          <w:color w:val="000000" w:themeColor="text1"/>
          <w:szCs w:val="24"/>
        </w:rPr>
        <w:lastRenderedPageBreak/>
        <w:t xml:space="preserve">на пенсиите от 01 юли 2021 г. Здравноосигурителните разходи и разходите за субсидии също отчитат номинален ръст спрямо първото тримесечие на 2021 г. съответно от 2,6 и </w:t>
      </w:r>
      <w:r w:rsidR="005214E2">
        <w:rPr>
          <w:rFonts w:ascii="Times New Roman" w:eastAsia="Calibri" w:hAnsi="Times New Roman"/>
          <w:color w:val="000000" w:themeColor="text1"/>
          <w:szCs w:val="24"/>
        </w:rPr>
        <w:t>2,4</w:t>
      </w:r>
      <w:r w:rsidRPr="005D051A">
        <w:rPr>
          <w:rFonts w:ascii="Times New Roman" w:eastAsia="Calibri" w:hAnsi="Times New Roman"/>
          <w:color w:val="000000" w:themeColor="text1"/>
          <w:szCs w:val="24"/>
        </w:rPr>
        <w:t xml:space="preserve"> на сто, докато разходите за издръжка и капиталовите разходи са по-ниски. Разходите за персонал остават близки до отчетените за първото тримесечие на 2021 година.</w:t>
      </w:r>
    </w:p>
    <w:p w:rsidR="00521531" w:rsidRPr="005D051A" w:rsidRDefault="00521531" w:rsidP="00521531">
      <w:pPr>
        <w:spacing w:before="120" w:after="120"/>
        <w:jc w:val="both"/>
        <w:rPr>
          <w:rFonts w:eastAsia="Calibri"/>
          <w:color w:val="000000" w:themeColor="text1"/>
        </w:rPr>
      </w:pPr>
      <w:r w:rsidRPr="005D051A">
        <w:rPr>
          <w:rFonts w:eastAsia="Calibri"/>
          <w:color w:val="000000" w:themeColor="text1"/>
        </w:rPr>
        <w:t>За разлика от предходните вълни на пандемията</w:t>
      </w:r>
      <w:r w:rsidR="005214E2">
        <w:rPr>
          <w:rFonts w:eastAsia="Calibri"/>
          <w:color w:val="000000" w:themeColor="text1"/>
        </w:rPr>
        <w:t>,</w:t>
      </w:r>
      <w:r w:rsidRPr="005D051A">
        <w:rPr>
          <w:rFonts w:eastAsia="Calibri"/>
          <w:color w:val="000000" w:themeColor="text1"/>
        </w:rPr>
        <w:t xml:space="preserve"> новата вълна на варианта </w:t>
      </w:r>
      <w:proofErr w:type="spellStart"/>
      <w:r w:rsidRPr="005D051A">
        <w:rPr>
          <w:rFonts w:eastAsia="Calibri"/>
          <w:color w:val="000000" w:themeColor="text1"/>
        </w:rPr>
        <w:t>Омикро</w:t>
      </w:r>
      <w:r w:rsidR="00642E5B">
        <w:rPr>
          <w:rFonts w:eastAsia="Calibri"/>
          <w:color w:val="000000" w:themeColor="text1"/>
        </w:rPr>
        <w:t>н</w:t>
      </w:r>
      <w:proofErr w:type="spellEnd"/>
      <w:r w:rsidR="00642E5B">
        <w:rPr>
          <w:rFonts w:eastAsia="Calibri"/>
          <w:color w:val="000000" w:themeColor="text1"/>
        </w:rPr>
        <w:t xml:space="preserve"> премина без да се въвеждат силно</w:t>
      </w:r>
      <w:r w:rsidRPr="005D051A">
        <w:rPr>
          <w:rFonts w:eastAsia="Calibri"/>
          <w:color w:val="000000" w:themeColor="text1"/>
        </w:rPr>
        <w:t xml:space="preserve">-рестриктивните мерки за затваряне на бизнеси, като фокусът бе насочен </w:t>
      </w:r>
      <w:r w:rsidR="00CD5D72" w:rsidRPr="00CD5D72">
        <w:rPr>
          <w:rFonts w:eastAsia="Calibri"/>
          <w:color w:val="000000" w:themeColor="text1"/>
        </w:rPr>
        <w:t>не на национално а на регионално равнище</w:t>
      </w:r>
      <w:r w:rsidRPr="00CD5D72">
        <w:rPr>
          <w:rFonts w:eastAsia="Calibri"/>
          <w:color w:val="000000" w:themeColor="text1"/>
        </w:rPr>
        <w:t xml:space="preserve"> </w:t>
      </w:r>
      <w:r w:rsidRPr="005D051A">
        <w:rPr>
          <w:rFonts w:eastAsia="Calibri"/>
          <w:color w:val="000000" w:themeColor="text1"/>
        </w:rPr>
        <w:t>към по-меки мерки</w:t>
      </w:r>
      <w:r w:rsidR="005214E2">
        <w:rPr>
          <w:rFonts w:eastAsia="Calibri"/>
          <w:color w:val="000000" w:themeColor="text1"/>
        </w:rPr>
        <w:t>,</w:t>
      </w:r>
      <w:r w:rsidRPr="005D051A">
        <w:rPr>
          <w:rFonts w:eastAsia="Calibri"/>
          <w:color w:val="000000" w:themeColor="text1"/>
        </w:rPr>
        <w:t xml:space="preserve"> целящи недопускане на претоварване на здравната система. Друг важен приоритет бе </w:t>
      </w:r>
      <w:proofErr w:type="spellStart"/>
      <w:r w:rsidRPr="005D051A">
        <w:rPr>
          <w:rFonts w:eastAsia="Calibri"/>
          <w:color w:val="000000" w:themeColor="text1"/>
        </w:rPr>
        <w:t>промотирането</w:t>
      </w:r>
      <w:proofErr w:type="spellEnd"/>
      <w:r w:rsidRPr="005D051A">
        <w:rPr>
          <w:rFonts w:eastAsia="Calibri"/>
          <w:color w:val="000000" w:themeColor="text1"/>
        </w:rPr>
        <w:t xml:space="preserve"> и ускоряването на </w:t>
      </w:r>
      <w:proofErr w:type="spellStart"/>
      <w:r w:rsidRPr="005D051A">
        <w:rPr>
          <w:rFonts w:eastAsia="Calibri"/>
          <w:color w:val="000000" w:themeColor="text1"/>
        </w:rPr>
        <w:t>ваксинационната</w:t>
      </w:r>
      <w:proofErr w:type="spellEnd"/>
      <w:r w:rsidRPr="005D051A">
        <w:rPr>
          <w:rFonts w:eastAsia="Calibri"/>
          <w:color w:val="000000" w:themeColor="text1"/>
        </w:rPr>
        <w:t xml:space="preserve"> кампания, включително </w:t>
      </w:r>
      <w:r w:rsidR="005214E2">
        <w:rPr>
          <w:rFonts w:eastAsia="Calibri"/>
          <w:color w:val="000000" w:themeColor="text1"/>
        </w:rPr>
        <w:t xml:space="preserve">и </w:t>
      </w:r>
      <w:r w:rsidR="00AB5DEE">
        <w:rPr>
          <w:rFonts w:eastAsia="Calibri"/>
          <w:color w:val="000000" w:themeColor="text1"/>
        </w:rPr>
        <w:t>з</w:t>
      </w:r>
      <w:r w:rsidRPr="005D051A">
        <w:rPr>
          <w:rFonts w:eastAsia="Calibri"/>
          <w:color w:val="000000" w:themeColor="text1"/>
        </w:rPr>
        <w:t>а най-уязвимата група на възрастните хора. Прилагайки тази стратегия, въпреки многократно по-високия брой заразени в пика на пандемията, не се допусна запълване на ограничения брой легла в болничните заведения. По-меките мерки в България</w:t>
      </w:r>
      <w:r w:rsidR="003628B0">
        <w:rPr>
          <w:rFonts w:eastAsia="Calibri"/>
          <w:color w:val="000000" w:themeColor="text1"/>
        </w:rPr>
        <w:t>,</w:t>
      </w:r>
      <w:r w:rsidRPr="005D051A">
        <w:rPr>
          <w:rFonts w:eastAsia="Calibri"/>
          <w:color w:val="000000" w:themeColor="text1"/>
        </w:rPr>
        <w:t xml:space="preserve"> в сравнение с повечето страни в ЕС</w:t>
      </w:r>
      <w:r w:rsidR="003628B0">
        <w:rPr>
          <w:rFonts w:eastAsia="Calibri"/>
          <w:color w:val="000000" w:themeColor="text1"/>
        </w:rPr>
        <w:t>,</w:t>
      </w:r>
      <w:r w:rsidRPr="005D051A">
        <w:rPr>
          <w:rFonts w:eastAsia="Calibri"/>
          <w:color w:val="000000" w:themeColor="text1"/>
        </w:rPr>
        <w:t xml:space="preserve"> също така не засегнаха значително икономическата активност в страната, като един от най-засегнатите сектори от пандемията - туризм</w:t>
      </w:r>
      <w:r w:rsidR="003628B0">
        <w:rPr>
          <w:rFonts w:eastAsia="Calibri"/>
          <w:color w:val="000000" w:themeColor="text1"/>
        </w:rPr>
        <w:t>ът</w:t>
      </w:r>
      <w:r w:rsidRPr="005D051A">
        <w:rPr>
          <w:rFonts w:eastAsia="Calibri"/>
          <w:color w:val="000000" w:themeColor="text1"/>
        </w:rPr>
        <w:t xml:space="preserve"> отчете подобрение спрямо първото тримесечие на 2021 г. В допълнение</w:t>
      </w:r>
      <w:r w:rsidR="003628B0">
        <w:rPr>
          <w:rFonts w:eastAsia="Calibri"/>
          <w:color w:val="000000" w:themeColor="text1"/>
        </w:rPr>
        <w:t>,</w:t>
      </w:r>
      <w:r w:rsidRPr="005D051A">
        <w:rPr>
          <w:rFonts w:eastAsia="Calibri"/>
          <w:color w:val="000000" w:themeColor="text1"/>
        </w:rPr>
        <w:t xml:space="preserve"> продължи прилагането на мерките за подкрепа на персонала на първа линия в борбата със заразата, както и подкрепа за бизнеса и уязвимите групи от населението, като плащанията по мерките за периода януари-март 2022 г. са в размер на около 1,1 млрд. лв.</w:t>
      </w:r>
      <w:r w:rsidR="003628B0">
        <w:rPr>
          <w:rFonts w:eastAsia="Calibri"/>
          <w:color w:val="000000" w:themeColor="text1"/>
        </w:rPr>
        <w:t>, в т.ч.</w:t>
      </w:r>
      <w:r w:rsidRPr="005D051A">
        <w:rPr>
          <w:rFonts w:eastAsia="Calibri"/>
          <w:color w:val="000000" w:themeColor="text1"/>
        </w:rPr>
        <w:t xml:space="preserve"> </w:t>
      </w:r>
      <w:r w:rsidR="003628B0">
        <w:rPr>
          <w:rFonts w:eastAsia="Calibri"/>
          <w:color w:val="000000" w:themeColor="text1"/>
        </w:rPr>
        <w:t>0</w:t>
      </w:r>
      <w:r w:rsidRPr="005D051A">
        <w:rPr>
          <w:rFonts w:eastAsia="Calibri"/>
          <w:color w:val="000000" w:themeColor="text1"/>
        </w:rPr>
        <w:t>,6 млрд. лв.</w:t>
      </w:r>
      <w:r w:rsidR="003628B0">
        <w:rPr>
          <w:rFonts w:eastAsia="Calibri"/>
          <w:color w:val="000000" w:themeColor="text1"/>
        </w:rPr>
        <w:t xml:space="preserve">, изплатени от заделените в края на 2021 г. по сметките за чужди средства за еднократно изплащане на допълнителни </w:t>
      </w:r>
      <w:r w:rsidR="00895BF3">
        <w:rPr>
          <w:rFonts w:eastAsia="Calibri"/>
          <w:color w:val="000000" w:themeColor="text1"/>
        </w:rPr>
        <w:t>суми</w:t>
      </w:r>
      <w:r w:rsidR="003628B0">
        <w:rPr>
          <w:rFonts w:eastAsia="Calibri"/>
          <w:color w:val="000000" w:themeColor="text1"/>
        </w:rPr>
        <w:t xml:space="preserve"> </w:t>
      </w:r>
      <w:r w:rsidRPr="005D051A">
        <w:rPr>
          <w:rFonts w:eastAsia="Calibri"/>
          <w:color w:val="000000" w:themeColor="text1"/>
        </w:rPr>
        <w:t>към пенсиите на пенсионерите, субсидии по мярката 6</w:t>
      </w:r>
      <w:r w:rsidR="00E82815">
        <w:rPr>
          <w:rFonts w:eastAsia="Calibri"/>
          <w:color w:val="000000" w:themeColor="text1"/>
        </w:rPr>
        <w:t>0/40 и „Запази ме“ и други</w:t>
      </w:r>
      <w:r w:rsidRPr="005D051A">
        <w:rPr>
          <w:rFonts w:eastAsia="Calibri"/>
          <w:color w:val="000000" w:themeColor="text1"/>
        </w:rPr>
        <w:t>. И</w:t>
      </w:r>
      <w:r w:rsidRPr="005D051A">
        <w:rPr>
          <w:color w:val="000000" w:themeColor="text1"/>
        </w:rPr>
        <w:t>звънредната епидемична обстановка в страната бе прекратена, считано от 01 април 2022 г., с което отпаднаха и основните ограничения за бизнеса, наложени поради пандемията.</w:t>
      </w:r>
      <w:r w:rsidRPr="005D051A">
        <w:rPr>
          <w:rFonts w:eastAsia="Calibri"/>
          <w:color w:val="000000" w:themeColor="text1"/>
        </w:rPr>
        <w:t xml:space="preserve"> </w:t>
      </w:r>
    </w:p>
    <w:p w:rsidR="004A0E9E" w:rsidRPr="00DC023B" w:rsidRDefault="004A0E9E" w:rsidP="004A0E9E">
      <w:pPr>
        <w:spacing w:before="120" w:after="120"/>
        <w:jc w:val="both"/>
      </w:pPr>
      <w:r w:rsidRPr="00DC023B">
        <w:rPr>
          <w:rFonts w:eastAsia="Calibri"/>
        </w:rPr>
        <w:t xml:space="preserve">Освен борбата с пандемията във фокуса на водената политика бе и кризата, породена от високите цени на електроенергията. </w:t>
      </w:r>
      <w:r w:rsidRPr="00DC023B">
        <w:rPr>
          <w:lang w:eastAsia="zh-CN"/>
        </w:rPr>
        <w:t xml:space="preserve">С цел смекчаване на икономическите последици от внезапно настъпилата нестабилност на цените на електрическата енергия и природния газ, в края на 2021 г. бяха разработени </w:t>
      </w:r>
      <w:r w:rsidRPr="00DC023B">
        <w:t xml:space="preserve">Програма за компенсиране на небитовите крайни клиенти на електрическа енергия, Програма за компенсиране на операторите на електропреносната и на електроразпределителните мрежи за закупуване на количества електрическа енергия, </w:t>
      </w:r>
      <w:proofErr w:type="spellStart"/>
      <w:r w:rsidRPr="00DC023B">
        <w:t>потребена</w:t>
      </w:r>
      <w:proofErr w:type="spellEnd"/>
      <w:r w:rsidRPr="00DC023B">
        <w:t xml:space="preserve"> за технологични разходи, Програма за компенсиране на битови клиенти на природен газ и топлофикационни дружества, използващи като основно гориво природен газ с подпомагане с фиксирана сума на един </w:t>
      </w:r>
      <w:proofErr w:type="spellStart"/>
      <w:r w:rsidRPr="00DC023B">
        <w:t>MWh</w:t>
      </w:r>
      <w:proofErr w:type="spellEnd"/>
      <w:r w:rsidRPr="00DC023B">
        <w:t xml:space="preserve">, Програма за компенсиране на непредвидените разходи на дружествата от отрасъл ВиК за </w:t>
      </w:r>
      <w:proofErr w:type="spellStart"/>
      <w:r w:rsidRPr="00DC023B">
        <w:t>потребена</w:t>
      </w:r>
      <w:proofErr w:type="spellEnd"/>
      <w:r w:rsidRPr="00DC023B">
        <w:t xml:space="preserve"> електрическа енергия и Програма за подпомагане на студенти и докторанти, настанени в студентски общежития, стопанисвани от държавните висши училища и „Студентски столове и общежития“ ЕАД. С няколко решения на правителството тези програми бяха доразвити и на по-голямата част от тях действието им бе удължено до месец април 2022 г., а на Програмата за компенсиране на операторите на електропреносната и на електроразпределителните мрежи за закупуване на количества електрическа енергия, </w:t>
      </w:r>
      <w:proofErr w:type="spellStart"/>
      <w:r w:rsidRPr="00DC023B">
        <w:t>потребена</w:t>
      </w:r>
      <w:proofErr w:type="spellEnd"/>
      <w:r w:rsidRPr="00DC023B">
        <w:t xml:space="preserve"> за технологични разходи – до месец юни 2022 г. Програмата с най-голям обхват предвижда механизъм за подпомагане на небитови крайни клиенти чрез търговците на електрическа енергия, доставчиците от последна инстанция, производителите на електрическа енергия, продаващи директно на крайни небитови потребители, и оператора на организиран борсов пазар на електрическа енергия. Възползващите се от програмата небитови крайни клиенти са около 633 000, като те са подпомагани с фиксирана сума на един </w:t>
      </w:r>
      <w:proofErr w:type="spellStart"/>
      <w:r w:rsidRPr="00DC023B">
        <w:t>MWh</w:t>
      </w:r>
      <w:proofErr w:type="spellEnd"/>
      <w:r w:rsidRPr="00DC023B">
        <w:t xml:space="preserve"> чрез извършване на компенсация на базата на количествата активна електрическа енергия, върху която се начислява цена „задължение към обществото“. С компенсацията се намалява дължимата за плащане сума от небитовите крайни клиенти. Чрез програмите са подпомогнати всички небитови крайни клиенти, ВиК дружествата, операторите на електропреносната и на електроразпределителната мрежи и студентите и докторантите за справяне с последиците от съществените и неблагоприятните колебания на цените на електрическата енергия, както и потребителите на природен газ за многократното нарастване на цените на този вид гориво. В изпълнение на програмите разплатените средства през първото тримесечие на 2022 г. са в размер на 0,7 млрд. лв., включително 0,5 млрд. лв. разход от </w:t>
      </w:r>
      <w:r w:rsidRPr="001D29EA">
        <w:t>сметка</w:t>
      </w:r>
      <w:r w:rsidR="001D29EA" w:rsidRPr="001D29EA">
        <w:t xml:space="preserve"> на средствата заделени в сметки</w:t>
      </w:r>
      <w:r w:rsidRPr="001D29EA">
        <w:t xml:space="preserve"> за</w:t>
      </w:r>
      <w:r w:rsidRPr="00DC023B">
        <w:t xml:space="preserve"> чужди средства на Министерство на </w:t>
      </w:r>
      <w:r w:rsidRPr="00EC17E3">
        <w:t xml:space="preserve">енергетиката </w:t>
      </w:r>
      <w:r w:rsidR="00EC17E3" w:rsidRPr="00EC17E3">
        <w:t xml:space="preserve">в края на 2021 г. </w:t>
      </w:r>
      <w:r w:rsidRPr="00EC17E3">
        <w:t>в</w:t>
      </w:r>
      <w:r w:rsidRPr="00DC023B">
        <w:t xml:space="preserve"> изпълнение на Решение на Народното събрание за одобряване на допълнителни разходи и трансфери по </w:t>
      </w:r>
      <w:r w:rsidRPr="00DC023B">
        <w:lastRenderedPageBreak/>
        <w:t>държавния бюджет за 2021 г. за сметка на преизпълнението на данъчните приходи, одобрени за плащания през първото тримесечие на 2022 година.</w:t>
      </w:r>
    </w:p>
    <w:p w:rsidR="00836054" w:rsidRDefault="00CC2882" w:rsidP="00CC2882">
      <w:pPr>
        <w:spacing w:before="120" w:after="120"/>
        <w:jc w:val="both"/>
        <w:rPr>
          <w:rFonts w:eastAsia="Calibri"/>
          <w:color w:val="000000" w:themeColor="text1"/>
        </w:rPr>
      </w:pPr>
      <w:r w:rsidRPr="005D051A">
        <w:rPr>
          <w:rFonts w:eastAsia="Calibri"/>
          <w:color w:val="000000" w:themeColor="text1"/>
        </w:rPr>
        <w:t>Избухването на войната в Украйна доведе до нова криза, която не бе възможно да се прогнозира на етапа на планирането на бюджета за 2022 г. През първото тримесечие прякото и косвено</w:t>
      </w:r>
      <w:r>
        <w:rPr>
          <w:rFonts w:eastAsia="Calibri"/>
          <w:color w:val="000000" w:themeColor="text1"/>
        </w:rPr>
        <w:t>то</w:t>
      </w:r>
      <w:r w:rsidRPr="005D051A">
        <w:rPr>
          <w:rFonts w:eastAsia="Calibri"/>
          <w:color w:val="000000" w:themeColor="text1"/>
        </w:rPr>
        <w:t xml:space="preserve"> влияние върху приходната и разходната страна на бюджета все още не е ярко изразено. Ефектите в приходите и евентуалният </w:t>
      </w:r>
      <w:r>
        <w:rPr>
          <w:rFonts w:eastAsia="Calibri"/>
          <w:color w:val="000000" w:themeColor="text1"/>
        </w:rPr>
        <w:t>н</w:t>
      </w:r>
      <w:r w:rsidRPr="005D051A">
        <w:rPr>
          <w:rFonts w:eastAsia="Calibri"/>
          <w:color w:val="000000" w:themeColor="text1"/>
        </w:rPr>
        <w:t>атис</w:t>
      </w:r>
      <w:r>
        <w:rPr>
          <w:rFonts w:eastAsia="Calibri"/>
          <w:color w:val="000000" w:themeColor="text1"/>
        </w:rPr>
        <w:t>к</w:t>
      </w:r>
      <w:r w:rsidRPr="005D051A">
        <w:rPr>
          <w:rFonts w:eastAsia="Calibri"/>
          <w:color w:val="000000" w:themeColor="text1"/>
        </w:rPr>
        <w:t xml:space="preserve"> върху разходите се очаква да се проявят по</w:t>
      </w:r>
      <w:r>
        <w:rPr>
          <w:rFonts w:eastAsia="Calibri"/>
          <w:color w:val="000000" w:themeColor="text1"/>
        </w:rPr>
        <w:t>-</w:t>
      </w:r>
      <w:r w:rsidRPr="005D051A">
        <w:rPr>
          <w:rFonts w:eastAsia="Calibri"/>
          <w:color w:val="000000" w:themeColor="text1"/>
        </w:rPr>
        <w:t xml:space="preserve">силно през второто и третото тримесечие на годината, като за първото тримесечие </w:t>
      </w:r>
      <w:r>
        <w:rPr>
          <w:rFonts w:eastAsia="Calibri"/>
          <w:color w:val="000000" w:themeColor="text1"/>
        </w:rPr>
        <w:t>няма</w:t>
      </w:r>
      <w:r w:rsidRPr="005D051A">
        <w:rPr>
          <w:rFonts w:eastAsia="Calibri"/>
          <w:color w:val="000000" w:themeColor="text1"/>
        </w:rPr>
        <w:t xml:space="preserve"> одобрени допълнителни средства с акт на правителството по реда на чл. 110 на ЗДБРБ за 2022 г. за финансиране на дейности по оказване на незабавна хуманитарна помощ на живеещите в Украйна български граждани, включително и при необходимост от евакуация, както и за оказване на официална хуманитарна помощ на Украйна и разходи за справяне с последствията от военните действия. </w:t>
      </w:r>
      <w:r>
        <w:rPr>
          <w:rFonts w:eastAsia="Calibri"/>
          <w:color w:val="000000" w:themeColor="text1"/>
        </w:rPr>
        <w:t>Р</w:t>
      </w:r>
      <w:r w:rsidRPr="005D051A">
        <w:rPr>
          <w:rFonts w:eastAsia="Calibri"/>
          <w:color w:val="000000" w:themeColor="text1"/>
        </w:rPr>
        <w:t>азходи</w:t>
      </w:r>
      <w:r>
        <w:rPr>
          <w:rFonts w:eastAsia="Calibri"/>
          <w:color w:val="000000" w:themeColor="text1"/>
        </w:rPr>
        <w:t>те</w:t>
      </w:r>
      <w:r w:rsidRPr="005D051A">
        <w:rPr>
          <w:rFonts w:eastAsia="Calibri"/>
          <w:color w:val="000000" w:themeColor="text1"/>
        </w:rPr>
        <w:t xml:space="preserve">, свързани с военната криза в Украйна за периода от 24 февруари до 31 март са извършени и отчетени от първостепенните разпоредители с бюджет в рамките на одобрените им бюджети със ЗДБРБ за 2022 г. </w:t>
      </w:r>
    </w:p>
    <w:p w:rsidR="00CC2882" w:rsidRPr="005D051A" w:rsidRDefault="00CC2882" w:rsidP="00CC2882">
      <w:pPr>
        <w:spacing w:before="120" w:after="120"/>
        <w:jc w:val="both"/>
        <w:rPr>
          <w:rFonts w:eastAsia="Calibri"/>
          <w:color w:val="000000" w:themeColor="text1"/>
        </w:rPr>
      </w:pPr>
      <w:r w:rsidRPr="005D051A">
        <w:rPr>
          <w:rFonts w:eastAsia="Calibri"/>
          <w:color w:val="000000" w:themeColor="text1"/>
        </w:rPr>
        <w:t>В началото на месец март с Решение № 145</w:t>
      </w:r>
      <w:r>
        <w:rPr>
          <w:rFonts w:eastAsia="Calibri"/>
          <w:color w:val="000000" w:themeColor="text1"/>
        </w:rPr>
        <w:t xml:space="preserve"> на</w:t>
      </w:r>
      <w:r w:rsidRPr="005D051A">
        <w:rPr>
          <w:rFonts w:eastAsia="Calibri"/>
          <w:color w:val="000000" w:themeColor="text1"/>
        </w:rPr>
        <w:t xml:space="preserve"> Министерския </w:t>
      </w:r>
      <w:r>
        <w:rPr>
          <w:rFonts w:eastAsia="Calibri"/>
          <w:color w:val="000000" w:themeColor="text1"/>
        </w:rPr>
        <w:t>съвет бе одобрена</w:t>
      </w:r>
      <w:r w:rsidRPr="005D051A">
        <w:rPr>
          <w:rFonts w:eastAsia="Calibri"/>
          <w:color w:val="000000" w:themeColor="text1"/>
        </w:rPr>
        <w:t xml:space="preserve"> Програма за ползване на хуманитарна помощ за лица, търсещи временна закрила в Република България вследствие на военните действия в Република Украйна, която по-късно бе изменена и допълнена с Решение № 181 от 30 март 2022 г. и Решение № 239 от 15 април 2022 г. на Министерския съвет. Програмата се администрира от Министерството на туризма, като</w:t>
      </w:r>
      <w:r w:rsidR="00453531">
        <w:rPr>
          <w:rFonts w:eastAsia="Calibri"/>
          <w:color w:val="000000" w:themeColor="text1"/>
        </w:rPr>
        <w:t xml:space="preserve"> разходите по програмата се предвижда да</w:t>
      </w:r>
      <w:r w:rsidRPr="005D051A">
        <w:rPr>
          <w:rFonts w:eastAsia="Calibri"/>
          <w:color w:val="000000" w:themeColor="text1"/>
        </w:rPr>
        <w:t xml:space="preserve"> се финансира</w:t>
      </w:r>
      <w:r w:rsidR="00453531">
        <w:rPr>
          <w:rFonts w:eastAsia="Calibri"/>
          <w:color w:val="000000" w:themeColor="text1"/>
        </w:rPr>
        <w:t>т</w:t>
      </w:r>
      <w:r w:rsidRPr="005D051A">
        <w:rPr>
          <w:rFonts w:eastAsia="Calibri"/>
          <w:color w:val="000000" w:themeColor="text1"/>
        </w:rPr>
        <w:t xml:space="preserve"> от инструменти на Европейския съюз и/или от държавния бюджет по реда на ЗПФ и ЗДБРБ за 2022 г. Помощта се изплаща от Министерството на туризма на категоризирани или регистрирани места за настаняване, вписани в Националния туристически регистър</w:t>
      </w:r>
      <w:r>
        <w:rPr>
          <w:rFonts w:eastAsia="Calibri"/>
          <w:color w:val="000000" w:themeColor="text1"/>
        </w:rPr>
        <w:t>,</w:t>
      </w:r>
      <w:r w:rsidRPr="005D051A">
        <w:rPr>
          <w:rFonts w:eastAsia="Calibri"/>
          <w:color w:val="000000" w:themeColor="text1"/>
        </w:rPr>
        <w:t xml:space="preserve"> и на обектите, вписани в създадения за целите на изпълнението на програмата Регистър на местата за подслон</w:t>
      </w:r>
      <w:r>
        <w:rPr>
          <w:rFonts w:eastAsia="Calibri"/>
          <w:color w:val="000000" w:themeColor="text1"/>
        </w:rPr>
        <w:t>,</w:t>
      </w:r>
      <w:r w:rsidRPr="005D051A">
        <w:rPr>
          <w:rFonts w:eastAsia="Calibri"/>
          <w:color w:val="000000" w:themeColor="text1"/>
        </w:rPr>
        <w:t xml:space="preserve"> на три отчетни периода. Хуманитарната помощ е в общ размер на 43,60 лв. с вкл. ДДС на едно лице за нощувка и </w:t>
      </w:r>
      <w:proofErr w:type="spellStart"/>
      <w:r w:rsidRPr="005D051A">
        <w:rPr>
          <w:rFonts w:eastAsia="Calibri"/>
          <w:color w:val="000000" w:themeColor="text1"/>
        </w:rPr>
        <w:t>храноден</w:t>
      </w:r>
      <w:proofErr w:type="spellEnd"/>
      <w:r w:rsidRPr="005D051A">
        <w:rPr>
          <w:rFonts w:eastAsia="Calibri"/>
          <w:color w:val="000000" w:themeColor="text1"/>
        </w:rPr>
        <w:t xml:space="preserve"> (закуска, обяд и вечеря), в т. ч. туристически данък и транспортиране, когато е извършено. Средствата по Програмата се предоставят на три отчетни периода, след като бъде извършена проверка от комисия за съответствие с критериите за изплащане на хуманитарните средства съгласно изискванията на Програмата. Към настоящия момент Програмата обхваща периода от 24 февруари 2022 г. до 31 май 2022 г. Първите плащания към местата за настаняване</w:t>
      </w:r>
      <w:r>
        <w:rPr>
          <w:rFonts w:eastAsia="Calibri"/>
          <w:color w:val="000000" w:themeColor="text1"/>
        </w:rPr>
        <w:t>,</w:t>
      </w:r>
      <w:r w:rsidRPr="005D051A">
        <w:rPr>
          <w:rFonts w:eastAsia="Calibri"/>
          <w:color w:val="000000" w:themeColor="text1"/>
        </w:rPr>
        <w:t xml:space="preserve"> кандидатствали по програмата</w:t>
      </w:r>
      <w:r>
        <w:rPr>
          <w:rFonts w:eastAsia="Calibri"/>
          <w:color w:val="000000" w:themeColor="text1"/>
        </w:rPr>
        <w:t>,</w:t>
      </w:r>
      <w:r w:rsidRPr="005D051A">
        <w:rPr>
          <w:rFonts w:eastAsia="Calibri"/>
          <w:color w:val="000000" w:themeColor="text1"/>
        </w:rPr>
        <w:t xml:space="preserve"> бяха извършени от Министерството на туризма през месец април и се очаква да продължат и през следващите месеци. </w:t>
      </w:r>
      <w:r w:rsidRPr="00B23E91">
        <w:rPr>
          <w:rFonts w:eastAsia="Calibri"/>
          <w:color w:val="000000" w:themeColor="text1"/>
        </w:rPr>
        <w:t>С приети от Народното събрание промени в Закона за здравното осигуряване на чуждите граждани с временна закрила бе осигурен достъп до здравни грижи, като размерът на здравните осигуровки на база доход и периодът на осигуряване ще бъдат приети с акт на Министерския съвет. Освен</w:t>
      </w:r>
      <w:r w:rsidRPr="005D051A">
        <w:rPr>
          <w:rFonts w:eastAsia="Calibri"/>
          <w:color w:val="000000" w:themeColor="text1"/>
        </w:rPr>
        <w:t xml:space="preserve"> това</w:t>
      </w:r>
      <w:r>
        <w:rPr>
          <w:rFonts w:eastAsia="Calibri"/>
          <w:color w:val="000000" w:themeColor="text1"/>
        </w:rPr>
        <w:t>,</w:t>
      </w:r>
      <w:r w:rsidRPr="005D051A">
        <w:rPr>
          <w:rFonts w:eastAsia="Calibri"/>
          <w:color w:val="000000" w:themeColor="text1"/>
        </w:rPr>
        <w:t xml:space="preserve"> с Решение № 129 на Министерския съвет от 9 март 2022 г., в сила от 24 февруари 2022 г., пътните превозни средства от Република Украйна</w:t>
      </w:r>
      <w:r>
        <w:rPr>
          <w:rFonts w:eastAsia="Calibri"/>
          <w:color w:val="000000" w:themeColor="text1"/>
        </w:rPr>
        <w:t>,</w:t>
      </w:r>
      <w:r w:rsidRPr="005D051A">
        <w:rPr>
          <w:rFonts w:eastAsia="Calibri"/>
          <w:color w:val="000000" w:themeColor="text1"/>
        </w:rPr>
        <w:t xml:space="preserve"> независимо от тяхната категория и технически характеристики</w:t>
      </w:r>
      <w:r>
        <w:rPr>
          <w:rFonts w:eastAsia="Calibri"/>
          <w:color w:val="000000" w:themeColor="text1"/>
        </w:rPr>
        <w:t>,</w:t>
      </w:r>
      <w:r w:rsidRPr="005D051A">
        <w:rPr>
          <w:rFonts w:eastAsia="Calibri"/>
          <w:color w:val="000000" w:themeColor="text1"/>
        </w:rPr>
        <w:t xml:space="preserve"> са освободени от заплащане на пътни такси по Закона за пътищата, с цел осъществяване на хуманитарна помощ или съставляващи конвои, предназначени за оказване на хуманитарна или медицинска помощ. Поради спецификите на Програмата и предвидените контролни механизми</w:t>
      </w:r>
      <w:r>
        <w:rPr>
          <w:rFonts w:eastAsia="Calibri"/>
          <w:color w:val="000000" w:themeColor="text1"/>
        </w:rPr>
        <w:t>,</w:t>
      </w:r>
      <w:r w:rsidRPr="005D051A">
        <w:rPr>
          <w:rFonts w:eastAsia="Calibri"/>
          <w:color w:val="000000" w:themeColor="text1"/>
        </w:rPr>
        <w:t xml:space="preserve"> през първото тримесечие на годината няма отчетени разходи за изпълнение на заложените мерки, </w:t>
      </w:r>
      <w:r>
        <w:rPr>
          <w:rFonts w:eastAsia="Calibri"/>
          <w:color w:val="000000" w:themeColor="text1"/>
        </w:rPr>
        <w:t>като</w:t>
      </w:r>
      <w:r w:rsidRPr="005D051A">
        <w:rPr>
          <w:rFonts w:eastAsia="Calibri"/>
          <w:color w:val="000000" w:themeColor="text1"/>
        </w:rPr>
        <w:t xml:space="preserve"> се очаква разходите да бъдат реализирани през второто и третото тримесечие на 2022 г.</w:t>
      </w:r>
      <w:r w:rsidRPr="005D051A">
        <w:rPr>
          <w:rFonts w:eastAsia="Calibri"/>
          <w:color w:val="000000" w:themeColor="text1"/>
          <w:highlight w:val="yellow"/>
        </w:rPr>
        <w:t xml:space="preserve"> </w:t>
      </w:r>
    </w:p>
    <w:p w:rsidR="001953AC" w:rsidRPr="00B872C1" w:rsidRDefault="001953AC" w:rsidP="001953AC">
      <w:pPr>
        <w:keepNext/>
        <w:keepLines/>
        <w:spacing w:before="40"/>
        <w:jc w:val="both"/>
        <w:outlineLvl w:val="2"/>
        <w:rPr>
          <w:b/>
          <w:u w:val="single"/>
          <w:lang w:eastAsia="bg-BG"/>
        </w:rPr>
      </w:pPr>
      <w:r w:rsidRPr="00B872C1">
        <w:rPr>
          <w:b/>
          <w:u w:val="single"/>
          <w:lang w:eastAsia="bg-BG"/>
        </w:rPr>
        <w:t>Информация за ефектите в приходите и разходите от мерките за борба с COVID-19 и преодоляване на социално-икономическите последствия от пандемията</w:t>
      </w:r>
    </w:p>
    <w:p w:rsidR="001953AC" w:rsidRPr="00B872C1" w:rsidRDefault="001953AC" w:rsidP="001953AC">
      <w:pPr>
        <w:rPr>
          <w:color w:val="984806"/>
          <w:lang w:eastAsia="bg-BG"/>
        </w:rPr>
      </w:pPr>
    </w:p>
    <w:p w:rsidR="001953AC" w:rsidRPr="00CB5722" w:rsidRDefault="001953AC" w:rsidP="001953AC">
      <w:pPr>
        <w:spacing w:after="120"/>
        <w:ind w:right="-43"/>
        <w:jc w:val="both"/>
        <w:rPr>
          <w:b/>
          <w:i/>
          <w:lang w:eastAsia="bg-BG"/>
        </w:rPr>
      </w:pPr>
      <w:r w:rsidRPr="00CB5722">
        <w:rPr>
          <w:b/>
          <w:i/>
          <w:lang w:eastAsia="bg-BG"/>
        </w:rPr>
        <w:t xml:space="preserve">Мерки в частта на приходите           </w:t>
      </w:r>
    </w:p>
    <w:p w:rsidR="001953AC" w:rsidRPr="00AE3D96" w:rsidRDefault="001953AC" w:rsidP="001953AC">
      <w:pPr>
        <w:spacing w:after="120"/>
        <w:ind w:right="-43"/>
        <w:jc w:val="both"/>
        <w:rPr>
          <w:lang w:eastAsia="bg-BG"/>
        </w:rPr>
      </w:pPr>
      <w:r w:rsidRPr="00AE3D96">
        <w:rPr>
          <w:lang w:eastAsia="bg-BG"/>
        </w:rPr>
        <w:t>Приетите през предходните години</w:t>
      </w:r>
      <w:r w:rsidRPr="00AE3D96">
        <w:rPr>
          <w:lang w:val="ru-RU" w:eastAsia="bg-BG"/>
        </w:rPr>
        <w:t xml:space="preserve"> </w:t>
      </w:r>
      <w:r w:rsidRPr="00AE3D96">
        <w:rPr>
          <w:lang w:eastAsia="bg-BG"/>
        </w:rPr>
        <w:t>мерки, свързани с прилагане на намалена ставка за ДДС на определени стоки и услуги от 20% на 9%, прилагане на освобождаване от облагане с мита и ДДС върху вноса на стоки от медицински характер и увеличаване на размера на данъчните облекчения за деца (чл. 22в и чл. 22г от ЗДДФЛ) за придобитите доходи ще продължат да се прилагат до 31.12.2022 година. Също така ще продължат да се прилагат и мерките, свързани с промените в ЗДДС (</w:t>
      </w:r>
      <w:proofErr w:type="spellStart"/>
      <w:r w:rsidRPr="00AE3D96">
        <w:rPr>
          <w:lang w:eastAsia="bg-BG"/>
        </w:rPr>
        <w:t>обн</w:t>
      </w:r>
      <w:proofErr w:type="spellEnd"/>
      <w:r w:rsidRPr="00AE3D96">
        <w:rPr>
          <w:lang w:eastAsia="bg-BG"/>
        </w:rPr>
        <w:t xml:space="preserve">. ДВ, бр. 107 от 18.12.2020 г.) за облагане с нулева ставка на доставките </w:t>
      </w:r>
      <w:r w:rsidRPr="00AE3D96">
        <w:rPr>
          <w:lang w:eastAsia="bg-BG"/>
        </w:rPr>
        <w:lastRenderedPageBreak/>
        <w:t xml:space="preserve">на ваксини срещу COVID-19 и услугите, пряко свързани с тези ваксини, както и на медицински изделия за инвитро диагностика на COVID-19 и услугите, пряко свързани с тези изделия, с място на изпълнение на територията на страната. Това данъчно третиране се прилага и по отношение на </w:t>
      </w:r>
      <w:proofErr w:type="spellStart"/>
      <w:r w:rsidRPr="00AE3D96">
        <w:rPr>
          <w:lang w:eastAsia="bg-BG"/>
        </w:rPr>
        <w:t>вътреобщностните</w:t>
      </w:r>
      <w:proofErr w:type="spellEnd"/>
      <w:r w:rsidRPr="00AE3D96">
        <w:rPr>
          <w:lang w:eastAsia="bg-BG"/>
        </w:rPr>
        <w:t xml:space="preserve"> придобивания с място на изпълнение на територията на страната на тези стоки. </w:t>
      </w:r>
    </w:p>
    <w:p w:rsidR="001953AC" w:rsidRPr="00CB5722" w:rsidRDefault="001953AC" w:rsidP="001953AC">
      <w:pPr>
        <w:spacing w:after="120"/>
        <w:ind w:right="-43"/>
        <w:jc w:val="both"/>
        <w:rPr>
          <w:lang w:eastAsia="bg-BG"/>
        </w:rPr>
      </w:pPr>
      <w:r w:rsidRPr="00AE3D96">
        <w:rPr>
          <w:lang w:eastAsia="bg-BG"/>
        </w:rPr>
        <w:t xml:space="preserve">По прогнозни данни на приходните агенции ефектът от действието на мерките </w:t>
      </w:r>
      <w:r w:rsidR="00F93EC8">
        <w:rPr>
          <w:lang w:eastAsia="bg-BG"/>
        </w:rPr>
        <w:t xml:space="preserve">за цялата 2022  г. </w:t>
      </w:r>
      <w:r w:rsidRPr="00AE3D96">
        <w:rPr>
          <w:lang w:eastAsia="bg-BG"/>
        </w:rPr>
        <w:t xml:space="preserve">се оценява на </w:t>
      </w:r>
      <w:r w:rsidRPr="00AE3D96">
        <w:rPr>
          <w:b/>
          <w:lang w:eastAsia="bg-BG"/>
        </w:rPr>
        <w:t>около 495,3 млн. лв</w:t>
      </w:r>
      <w:r w:rsidR="00F93EC8">
        <w:rPr>
          <w:lang w:eastAsia="bg-BG"/>
        </w:rPr>
        <w:t>. по-малко данъчни приходи.</w:t>
      </w:r>
    </w:p>
    <w:p w:rsidR="001953AC" w:rsidRPr="001B10D7" w:rsidRDefault="001953AC" w:rsidP="001953AC">
      <w:pPr>
        <w:spacing w:before="240" w:after="120"/>
        <w:ind w:right="-45"/>
        <w:jc w:val="both"/>
        <w:rPr>
          <w:b/>
          <w:i/>
          <w:lang w:val="ru-RU" w:eastAsia="bg-BG"/>
        </w:rPr>
      </w:pPr>
      <w:r w:rsidRPr="001B10D7">
        <w:rPr>
          <w:b/>
          <w:i/>
          <w:lang w:eastAsia="bg-BG"/>
        </w:rPr>
        <w:t>Мерки в частта на разходите</w:t>
      </w:r>
    </w:p>
    <w:p w:rsidR="001953AC" w:rsidRDefault="001953AC" w:rsidP="001953AC">
      <w:pPr>
        <w:spacing w:before="120" w:after="120"/>
        <w:jc w:val="both"/>
        <w:rPr>
          <w:lang w:eastAsia="bg-BG"/>
        </w:rPr>
      </w:pPr>
      <w:r>
        <w:rPr>
          <w:lang w:eastAsia="bg-BG"/>
        </w:rPr>
        <w:t>В</w:t>
      </w:r>
      <w:r w:rsidRPr="00840A06">
        <w:rPr>
          <w:lang w:eastAsia="bg-BG"/>
        </w:rPr>
        <w:t xml:space="preserve">ъв връзка с прилагането на мерките </w:t>
      </w:r>
      <w:r>
        <w:rPr>
          <w:lang w:eastAsia="bg-BG"/>
        </w:rPr>
        <w:t xml:space="preserve">за </w:t>
      </w:r>
      <w:r w:rsidRPr="00840A06">
        <w:rPr>
          <w:lang w:eastAsia="bg-BG"/>
        </w:rPr>
        <w:t>борба с COVID-19 и преодоляване на социално-икономическите последствия от пандемията</w:t>
      </w:r>
      <w:r>
        <w:rPr>
          <w:lang w:eastAsia="bg-BG"/>
        </w:rPr>
        <w:t xml:space="preserve"> общо изразходените средства по линия на националния бюджет към 31.03.2022 г. са в размер на </w:t>
      </w:r>
      <w:r w:rsidRPr="00FC655D">
        <w:rPr>
          <w:b/>
          <w:lang w:eastAsia="bg-BG"/>
        </w:rPr>
        <w:t>1 137,4 млн. лв.</w:t>
      </w:r>
      <w:r>
        <w:rPr>
          <w:lang w:eastAsia="bg-BG"/>
        </w:rPr>
        <w:t xml:space="preserve"> От тях </w:t>
      </w:r>
      <w:r w:rsidRPr="00FC655D">
        <w:rPr>
          <w:b/>
          <w:lang w:eastAsia="bg-BG"/>
        </w:rPr>
        <w:t>642,1 млн. лв.</w:t>
      </w:r>
      <w:r>
        <w:rPr>
          <w:lang w:eastAsia="bg-BG"/>
        </w:rPr>
        <w:t xml:space="preserve"> са изплатени от заделените</w:t>
      </w:r>
      <w:r w:rsidRPr="00840A06">
        <w:rPr>
          <w:lang w:eastAsia="bg-BG"/>
        </w:rPr>
        <w:t xml:space="preserve"> </w:t>
      </w:r>
      <w:r>
        <w:rPr>
          <w:lang w:eastAsia="bg-BG"/>
        </w:rPr>
        <w:t>в края на 2021 г. в изпълнение на постановления на Министерския съвет суми по сметки за чужди средства във връзка с изплащане</w:t>
      </w:r>
      <w:r w:rsidR="006A4E72">
        <w:rPr>
          <w:lang w:eastAsia="bg-BG"/>
        </w:rPr>
        <w:t>то</w:t>
      </w:r>
      <w:r>
        <w:rPr>
          <w:lang w:eastAsia="bg-BG"/>
        </w:rPr>
        <w:t xml:space="preserve"> на допълнителни суми към пенсиите </w:t>
      </w:r>
      <w:r w:rsidRPr="00AE3D96">
        <w:rPr>
          <w:lang w:eastAsia="bg-BG"/>
        </w:rPr>
        <w:t>в размер на 60 лв. на всички пенсионери за шест месеца на 2022</w:t>
      </w:r>
      <w:r>
        <w:rPr>
          <w:lang w:eastAsia="bg-BG"/>
        </w:rPr>
        <w:t xml:space="preserve"> г. и на </w:t>
      </w:r>
      <w:r w:rsidRPr="00AE3D96">
        <w:rPr>
          <w:lang w:eastAsia="bg-BG"/>
        </w:rPr>
        <w:t xml:space="preserve">75 лв. за всеки пенсионер, който е със завършен </w:t>
      </w:r>
      <w:proofErr w:type="spellStart"/>
      <w:r w:rsidRPr="00AE3D96">
        <w:rPr>
          <w:lang w:eastAsia="bg-BG"/>
        </w:rPr>
        <w:t>ваксинационен</w:t>
      </w:r>
      <w:proofErr w:type="spellEnd"/>
      <w:r w:rsidRPr="00AE3D96">
        <w:rPr>
          <w:lang w:eastAsia="bg-BG"/>
        </w:rPr>
        <w:t xml:space="preserve"> курс за COVID 19 до 31.12.2021</w:t>
      </w:r>
      <w:r w:rsidR="001D6B29">
        <w:rPr>
          <w:lang w:eastAsia="bg-BG"/>
        </w:rPr>
        <w:t> </w:t>
      </w:r>
      <w:r w:rsidRPr="00AE3D96">
        <w:rPr>
          <w:lang w:eastAsia="bg-BG"/>
        </w:rPr>
        <w:t xml:space="preserve">г./който завърши </w:t>
      </w:r>
      <w:proofErr w:type="spellStart"/>
      <w:r w:rsidRPr="00AE3D96">
        <w:rPr>
          <w:lang w:eastAsia="bg-BG"/>
        </w:rPr>
        <w:t>ваксинационен</w:t>
      </w:r>
      <w:proofErr w:type="spellEnd"/>
      <w:r w:rsidRPr="00AE3D96">
        <w:rPr>
          <w:lang w:eastAsia="bg-BG"/>
        </w:rPr>
        <w:t xml:space="preserve"> курс за  COVID 19 в периода 1.01-30.06.2022 г.</w:t>
      </w:r>
      <w:r>
        <w:rPr>
          <w:lang w:eastAsia="bg-BG"/>
        </w:rPr>
        <w:t xml:space="preserve">, както и за подпомагане на бизнеса, вкл. в областта на туризма и за програми за заетост. В отчетите за касовото изпълнение на бюджетите на първостепенните разпоредители с бюджет и общините към 31.03.2022 г. са </w:t>
      </w:r>
      <w:r w:rsidR="00642E5B">
        <w:rPr>
          <w:lang w:eastAsia="bg-BG"/>
        </w:rPr>
        <w:t>отчетени</w:t>
      </w:r>
      <w:r>
        <w:rPr>
          <w:lang w:eastAsia="bg-BG"/>
        </w:rPr>
        <w:t xml:space="preserve"> </w:t>
      </w:r>
      <w:r w:rsidRPr="0000786E">
        <w:rPr>
          <w:b/>
          <w:lang w:eastAsia="bg-BG"/>
        </w:rPr>
        <w:t>495,4 млн. лв.</w:t>
      </w:r>
      <w:r>
        <w:rPr>
          <w:lang w:eastAsia="bg-BG"/>
        </w:rPr>
        <w:t xml:space="preserve"> разходи за </w:t>
      </w:r>
      <w:r w:rsidRPr="00FC655D">
        <w:rPr>
          <w:lang w:eastAsia="bg-BG"/>
        </w:rPr>
        <w:t>мерките за борба с COVID-19 и преодоляване на социално-икономическите последствия от пандемията</w:t>
      </w:r>
      <w:r>
        <w:rPr>
          <w:lang w:eastAsia="bg-BG"/>
        </w:rPr>
        <w:t xml:space="preserve">. </w:t>
      </w:r>
    </w:p>
    <w:p w:rsidR="001953AC" w:rsidRPr="00B872C1" w:rsidRDefault="001953AC" w:rsidP="001953AC">
      <w:pPr>
        <w:spacing w:before="120" w:after="120"/>
        <w:jc w:val="both"/>
        <w:rPr>
          <w:color w:val="984806"/>
          <w:lang w:eastAsia="bg-BG"/>
        </w:rPr>
      </w:pPr>
      <w:r>
        <w:rPr>
          <w:lang w:eastAsia="bg-BG"/>
        </w:rPr>
        <w:t xml:space="preserve">В таблицата по-долу по данни от </w:t>
      </w:r>
      <w:r w:rsidRPr="00B872C1">
        <w:rPr>
          <w:lang w:eastAsia="bg-BG"/>
        </w:rPr>
        <w:t>първостепенните разпоредители с бюджет</w:t>
      </w:r>
      <w:r w:rsidRPr="00B872C1">
        <w:rPr>
          <w:lang w:val="ru-RU" w:eastAsia="bg-BG"/>
        </w:rPr>
        <w:t xml:space="preserve"> </w:t>
      </w:r>
      <w:r>
        <w:rPr>
          <w:lang w:eastAsia="bg-BG"/>
        </w:rPr>
        <w:t>и общините са представени в детайли изразходените средства, отразени в отчетите им за касовото изпълнение</w:t>
      </w:r>
      <w:r w:rsidRPr="001B10D7">
        <w:rPr>
          <w:lang w:eastAsia="bg-BG"/>
        </w:rPr>
        <w:t xml:space="preserve"> </w:t>
      </w:r>
      <w:r>
        <w:rPr>
          <w:lang w:eastAsia="bg-BG"/>
        </w:rPr>
        <w:t xml:space="preserve">към 31.03.2022 г. </w:t>
      </w:r>
      <w:r w:rsidRPr="00B872C1">
        <w:rPr>
          <w:lang w:eastAsia="bg-BG"/>
        </w:rPr>
        <w:t xml:space="preserve">във връзка с </w:t>
      </w:r>
      <w:r>
        <w:rPr>
          <w:lang w:eastAsia="bg-BG"/>
        </w:rPr>
        <w:t xml:space="preserve">прилаганите </w:t>
      </w:r>
      <w:r w:rsidRPr="00B872C1">
        <w:rPr>
          <w:lang w:eastAsia="bg-BG"/>
        </w:rPr>
        <w:t>мерки</w:t>
      </w:r>
      <w:r>
        <w:rPr>
          <w:lang w:eastAsia="bg-BG"/>
        </w:rPr>
        <w:t>, свързани с пандемията от</w:t>
      </w:r>
      <w:r w:rsidRPr="00B872C1">
        <w:rPr>
          <w:lang w:eastAsia="bg-BG"/>
        </w:rPr>
        <w:t xml:space="preserve"> COVID-19</w:t>
      </w:r>
      <w:r>
        <w:rPr>
          <w:lang w:eastAsia="bg-BG"/>
        </w:rPr>
        <w:t>.</w:t>
      </w:r>
      <w:r w:rsidRPr="00B872C1">
        <w:rPr>
          <w:lang w:eastAsia="bg-BG"/>
        </w:rPr>
        <w:t xml:space="preserve"> </w:t>
      </w:r>
      <w:r>
        <w:rPr>
          <w:lang w:eastAsia="bg-BG"/>
        </w:rPr>
        <w:t xml:space="preserve"> </w:t>
      </w:r>
      <w:r w:rsidRPr="001B10D7">
        <w:rPr>
          <w:b/>
          <w:lang w:eastAsia="bg-BG"/>
        </w:rPr>
        <w:t xml:space="preserve"> </w:t>
      </w:r>
    </w:p>
    <w:p w:rsidR="001953AC" w:rsidRPr="00AA6F87" w:rsidRDefault="001953AC" w:rsidP="001953AC">
      <w:pPr>
        <w:spacing w:after="120"/>
        <w:jc w:val="both"/>
        <w:rPr>
          <w:b/>
          <w:lang w:val="ru-RU" w:eastAsia="bg-BG"/>
        </w:rPr>
      </w:pPr>
      <w:r w:rsidRPr="001B10D7">
        <w:rPr>
          <w:lang w:eastAsia="bg-BG"/>
        </w:rPr>
        <w:t xml:space="preserve">В частта на </w:t>
      </w:r>
      <w:r w:rsidRPr="001B10D7">
        <w:rPr>
          <w:b/>
          <w:lang w:eastAsia="bg-BG"/>
        </w:rPr>
        <w:t>мерките за подкрепа на домакинствата</w:t>
      </w:r>
      <w:r w:rsidRPr="001B10D7">
        <w:rPr>
          <w:lang w:eastAsia="bg-BG"/>
        </w:rPr>
        <w:t xml:space="preserve"> са изразходвани </w:t>
      </w:r>
      <w:r>
        <w:rPr>
          <w:b/>
          <w:lang w:eastAsia="bg-BG"/>
        </w:rPr>
        <w:t>100,6</w:t>
      </w:r>
      <w:r w:rsidRPr="001B10D7">
        <w:rPr>
          <w:b/>
          <w:lang w:eastAsia="bg-BG"/>
        </w:rPr>
        <w:t xml:space="preserve"> млн. лв.</w:t>
      </w:r>
      <w:r>
        <w:rPr>
          <w:b/>
          <w:lang w:eastAsia="bg-BG"/>
        </w:rPr>
        <w:t xml:space="preserve"> </w:t>
      </w:r>
      <w:r w:rsidR="00642E5B" w:rsidRPr="00A04BE9">
        <w:rPr>
          <w:lang w:eastAsia="bg-BG"/>
        </w:rPr>
        <w:t>по КФП</w:t>
      </w:r>
      <w:r w:rsidR="00AA6F87" w:rsidRPr="00AA6F87">
        <w:rPr>
          <w:b/>
          <w:lang w:val="ru-RU" w:eastAsia="bg-BG"/>
        </w:rPr>
        <w:t>.</w:t>
      </w:r>
    </w:p>
    <w:p w:rsidR="001953AC" w:rsidRPr="0046612A" w:rsidRDefault="001953AC" w:rsidP="001953AC">
      <w:pPr>
        <w:spacing w:after="120"/>
        <w:jc w:val="both"/>
        <w:rPr>
          <w:lang w:eastAsia="bg-BG"/>
        </w:rPr>
      </w:pPr>
      <w:r w:rsidRPr="0046612A">
        <w:rPr>
          <w:color w:val="000000"/>
          <w:lang w:eastAsia="bg-BG"/>
        </w:rPr>
        <w:t>Най-голям дял имат предоставените средства за еднократн</w:t>
      </w:r>
      <w:r>
        <w:rPr>
          <w:color w:val="000000"/>
          <w:lang w:eastAsia="bg-BG"/>
        </w:rPr>
        <w:t>а</w:t>
      </w:r>
      <w:r w:rsidRPr="0046612A">
        <w:rPr>
          <w:color w:val="000000"/>
          <w:lang w:eastAsia="bg-BG"/>
        </w:rPr>
        <w:t xml:space="preserve"> </w:t>
      </w:r>
      <w:r w:rsidRPr="0046612A">
        <w:rPr>
          <w:lang w:eastAsia="bg-BG"/>
        </w:rPr>
        <w:t>сума за компенсиране на дохода от пенсии до нивото от декември 2021 г. за периода до юни 2022 г.</w:t>
      </w:r>
      <w:r w:rsidRPr="0046612A">
        <w:rPr>
          <w:color w:val="000000"/>
          <w:lang w:eastAsia="bg-BG"/>
        </w:rPr>
        <w:t>, които към 31.03.2022 г. възлизат на 50,4 млн. лв.</w:t>
      </w:r>
      <w:r w:rsidRPr="0046612A">
        <w:rPr>
          <w:lang w:eastAsia="bg-BG"/>
        </w:rPr>
        <w:t xml:space="preserve"> Сумата е изплатена по бюджета на НОИ.  </w:t>
      </w:r>
    </w:p>
    <w:p w:rsidR="001953AC" w:rsidRPr="0046612A" w:rsidRDefault="001953AC" w:rsidP="001953AC">
      <w:pPr>
        <w:spacing w:after="120"/>
        <w:jc w:val="both"/>
        <w:rPr>
          <w:lang w:eastAsia="bg-BG"/>
        </w:rPr>
      </w:pPr>
      <w:r w:rsidRPr="0046612A">
        <w:rPr>
          <w:lang w:eastAsia="bg-BG"/>
        </w:rPr>
        <w:t xml:space="preserve">Отчетените средства от Министерството на здравеопазването за осигуряване на ваксини, лекарствени продукти и бързи </w:t>
      </w:r>
      <w:proofErr w:type="spellStart"/>
      <w:r w:rsidRPr="0046612A">
        <w:rPr>
          <w:lang w:eastAsia="bg-BG"/>
        </w:rPr>
        <w:t>антигенни</w:t>
      </w:r>
      <w:proofErr w:type="spellEnd"/>
      <w:r w:rsidRPr="0046612A">
        <w:rPr>
          <w:lang w:eastAsia="bg-BG"/>
        </w:rPr>
        <w:t xml:space="preserve"> тестове в борбата с пандемията от COVID-19 са в размер на 27,2 млн. лв. От тях за закупуване на лекарствени продукти, ваксини и др. (</w:t>
      </w:r>
      <w:proofErr w:type="spellStart"/>
      <w:r w:rsidRPr="0046612A">
        <w:rPr>
          <w:lang w:eastAsia="bg-BG"/>
        </w:rPr>
        <w:t>Veklury</w:t>
      </w:r>
      <w:proofErr w:type="spellEnd"/>
      <w:r w:rsidRPr="0046612A">
        <w:rPr>
          <w:lang w:eastAsia="bg-BG"/>
        </w:rPr>
        <w:t xml:space="preserve"> (</w:t>
      </w:r>
      <w:proofErr w:type="spellStart"/>
      <w:r w:rsidRPr="0046612A">
        <w:rPr>
          <w:lang w:eastAsia="bg-BG"/>
        </w:rPr>
        <w:t>Ремдесивир</w:t>
      </w:r>
      <w:proofErr w:type="spellEnd"/>
      <w:r w:rsidRPr="0046612A">
        <w:rPr>
          <w:lang w:eastAsia="bg-BG"/>
        </w:rPr>
        <w:t xml:space="preserve">); </w:t>
      </w:r>
      <w:proofErr w:type="spellStart"/>
      <w:r w:rsidRPr="0046612A">
        <w:rPr>
          <w:lang w:eastAsia="bg-BG"/>
        </w:rPr>
        <w:t>моноклонални</w:t>
      </w:r>
      <w:proofErr w:type="spellEnd"/>
      <w:r w:rsidRPr="0046612A">
        <w:rPr>
          <w:lang w:eastAsia="bg-BG"/>
        </w:rPr>
        <w:t xml:space="preserve"> антитела </w:t>
      </w:r>
      <w:proofErr w:type="spellStart"/>
      <w:r w:rsidRPr="0046612A">
        <w:rPr>
          <w:lang w:eastAsia="bg-BG"/>
        </w:rPr>
        <w:t>Regkirona</w:t>
      </w:r>
      <w:proofErr w:type="spellEnd"/>
      <w:r w:rsidRPr="0046612A">
        <w:rPr>
          <w:lang w:eastAsia="bg-BG"/>
        </w:rPr>
        <w:t xml:space="preserve"> 60mg/ml и др.) за борба с COVID-19 са изразходвани средства в размер на 27 млн. лв.</w:t>
      </w:r>
    </w:p>
    <w:p w:rsidR="001953AC" w:rsidRDefault="001953AC" w:rsidP="001953AC">
      <w:pPr>
        <w:jc w:val="both"/>
        <w:rPr>
          <w:lang w:val="ru-RU"/>
        </w:rPr>
      </w:pPr>
      <w:r w:rsidRPr="001B10D7">
        <w:rPr>
          <w:lang w:val="ru-RU"/>
        </w:rPr>
        <w:t>Изплатени месечни целеви помощи при обявено извънредно положение или обявена извънредна епидемична обстановка за семейства с деца до 14-годишна възраст в размер на 13,2 млн. лв. от Агенцията за социално подпомагане. Помощта е регламентирана с ПМС №</w:t>
      </w:r>
      <w:r w:rsidR="003F1303">
        <w:rPr>
          <w:lang w:val="ru-RU"/>
        </w:rPr>
        <w:t xml:space="preserve"> </w:t>
      </w:r>
      <w:r w:rsidRPr="001B10D7">
        <w:rPr>
          <w:lang w:val="ru-RU"/>
        </w:rPr>
        <w:t>218 от 2020 г. и ПМС №</w:t>
      </w:r>
      <w:r w:rsidR="003F1303">
        <w:rPr>
          <w:lang w:val="ru-RU"/>
        </w:rPr>
        <w:t xml:space="preserve"> </w:t>
      </w:r>
      <w:r w:rsidRPr="001B10D7">
        <w:rPr>
          <w:lang w:val="ru-RU"/>
        </w:rPr>
        <w:t>322 от 2020 г. за допълнение на Правилника за прилагане на Закона за социално подпомагане. Този вид целева помощ се предоставя на семейства с деца до 14-годишна възраст, когато двамата или единият от работещите родители, или родител, отглеждащ сам дете.</w:t>
      </w:r>
    </w:p>
    <w:p w:rsidR="001D6B29" w:rsidRPr="001B10D7" w:rsidRDefault="001D6B29" w:rsidP="001953AC">
      <w:pPr>
        <w:jc w:val="both"/>
        <w:rPr>
          <w:lang w:val="ru-RU"/>
        </w:rPr>
      </w:pPr>
    </w:p>
    <w:p w:rsidR="001953AC" w:rsidRDefault="001953AC" w:rsidP="001953AC">
      <w:pPr>
        <w:jc w:val="both"/>
        <w:rPr>
          <w:lang w:val="ru-RU"/>
        </w:rPr>
      </w:pPr>
      <w:r w:rsidRPr="005103C8">
        <w:rPr>
          <w:lang w:val="ru-RU"/>
        </w:rPr>
        <w:t xml:space="preserve">Към 31.03.2022 г. за </w:t>
      </w:r>
      <w:r w:rsidRPr="005103C8">
        <w:rPr>
          <w:b/>
          <w:lang w:val="ru-RU"/>
        </w:rPr>
        <w:t>мерки в подкрепа на бизнеса</w:t>
      </w:r>
      <w:r w:rsidR="001827BB">
        <w:rPr>
          <w:b/>
          <w:lang w:val="ru-RU"/>
        </w:rPr>
        <w:t xml:space="preserve"> </w:t>
      </w:r>
      <w:r w:rsidRPr="005103C8">
        <w:rPr>
          <w:lang w:val="ru-RU"/>
        </w:rPr>
        <w:t xml:space="preserve">са предоставени </w:t>
      </w:r>
      <w:r w:rsidRPr="001D6B29">
        <w:rPr>
          <w:b/>
          <w:lang w:val="ru-RU"/>
        </w:rPr>
        <w:t>17,9 млн. лв.</w:t>
      </w:r>
      <w:r w:rsidRPr="005103C8">
        <w:rPr>
          <w:lang w:val="ru-RU"/>
        </w:rPr>
        <w:t xml:space="preserve"> от държавния бюджет, с които е осигурена финансова подкрепа в областта на културата и изкуствата в условията на обявена извънредна епидемична обстановка.</w:t>
      </w:r>
    </w:p>
    <w:p w:rsidR="001D6B29" w:rsidRPr="005103C8" w:rsidRDefault="001D6B29" w:rsidP="001953AC">
      <w:pPr>
        <w:jc w:val="both"/>
        <w:rPr>
          <w:lang w:val="ru-RU"/>
        </w:rPr>
      </w:pPr>
    </w:p>
    <w:p w:rsidR="001953AC" w:rsidRPr="0046612A" w:rsidRDefault="001953AC" w:rsidP="001953AC">
      <w:pPr>
        <w:spacing w:after="240"/>
        <w:jc w:val="both"/>
        <w:rPr>
          <w:lang w:val="ru-RU" w:eastAsia="bg-BG"/>
        </w:rPr>
      </w:pPr>
      <w:r w:rsidRPr="0046612A">
        <w:rPr>
          <w:b/>
          <w:lang w:eastAsia="bg-BG"/>
        </w:rPr>
        <w:t>За</w:t>
      </w:r>
      <w:r w:rsidRPr="007B26BC">
        <w:rPr>
          <w:lang w:eastAsia="bg-BG"/>
        </w:rPr>
        <w:t xml:space="preserve"> </w:t>
      </w:r>
      <w:r w:rsidRPr="007B26BC">
        <w:rPr>
          <w:b/>
          <w:lang w:eastAsia="bg-BG"/>
        </w:rPr>
        <w:t>мерки за органите на държавното управление, натоварени с дейности по овладяване на пандемията и последствията от COVID-19</w:t>
      </w:r>
      <w:r w:rsidR="001D6B29">
        <w:rPr>
          <w:lang w:eastAsia="bg-BG"/>
        </w:rPr>
        <w:t xml:space="preserve"> </w:t>
      </w:r>
      <w:r w:rsidR="00642E5B">
        <w:rPr>
          <w:lang w:eastAsia="bg-BG"/>
        </w:rPr>
        <w:t xml:space="preserve">по КФП </w:t>
      </w:r>
      <w:r w:rsidR="001D6B29">
        <w:rPr>
          <w:lang w:eastAsia="bg-BG"/>
        </w:rPr>
        <w:t>са предоставени</w:t>
      </w:r>
      <w:r w:rsidRPr="007B26BC">
        <w:rPr>
          <w:lang w:eastAsia="bg-BG"/>
        </w:rPr>
        <w:t xml:space="preserve"> </w:t>
      </w:r>
      <w:r w:rsidRPr="0046612A">
        <w:rPr>
          <w:lang w:eastAsia="bg-BG"/>
        </w:rPr>
        <w:t>общо</w:t>
      </w:r>
      <w:r>
        <w:rPr>
          <w:b/>
          <w:lang w:eastAsia="bg-BG"/>
        </w:rPr>
        <w:t xml:space="preserve"> 3</w:t>
      </w:r>
      <w:r>
        <w:rPr>
          <w:b/>
          <w:lang w:val="ru-RU" w:eastAsia="bg-BG"/>
        </w:rPr>
        <w:t>76</w:t>
      </w:r>
      <w:r>
        <w:rPr>
          <w:b/>
          <w:lang w:eastAsia="bg-BG"/>
        </w:rPr>
        <w:t>,8</w:t>
      </w:r>
      <w:r w:rsidRPr="007B26BC">
        <w:rPr>
          <w:lang w:eastAsia="bg-BG"/>
        </w:rPr>
        <w:t xml:space="preserve"> </w:t>
      </w:r>
      <w:r w:rsidRPr="007B26BC">
        <w:rPr>
          <w:b/>
          <w:lang w:eastAsia="bg-BG"/>
        </w:rPr>
        <w:t>млн. лева</w:t>
      </w:r>
      <w:r>
        <w:rPr>
          <w:b/>
          <w:lang w:val="ru-RU" w:eastAsia="bg-BG"/>
        </w:rPr>
        <w:t>.</w:t>
      </w:r>
    </w:p>
    <w:p w:rsidR="001953AC" w:rsidRPr="00B872C1" w:rsidRDefault="001953AC" w:rsidP="001953AC">
      <w:pPr>
        <w:spacing w:after="120"/>
        <w:jc w:val="both"/>
        <w:rPr>
          <w:color w:val="984806"/>
          <w:lang w:eastAsia="bg-BG"/>
        </w:rPr>
      </w:pPr>
      <w:r w:rsidRPr="007B26BC">
        <w:rPr>
          <w:color w:val="000000"/>
          <w:lang w:eastAsia="bg-BG"/>
        </w:rPr>
        <w:t>С</w:t>
      </w:r>
      <w:r w:rsidRPr="007B26BC">
        <w:rPr>
          <w:lang w:eastAsia="bg-BG"/>
        </w:rPr>
        <w:t xml:space="preserve"> най-голям дял са разходите за п</w:t>
      </w:r>
      <w:r w:rsidRPr="007B26BC">
        <w:rPr>
          <w:color w:val="000000"/>
          <w:lang w:eastAsia="bg-BG"/>
        </w:rPr>
        <w:t>одкрепа на персонала на първа линия, пряко ангажиран с дейности по предотвратяване разпространението на COVID-19, вкл. за поставян</w:t>
      </w:r>
      <w:r>
        <w:rPr>
          <w:color w:val="000000"/>
          <w:lang w:eastAsia="bg-BG"/>
        </w:rPr>
        <w:t>е на ваксини срещу COVID-19 - 299,4</w:t>
      </w:r>
      <w:r w:rsidRPr="007B26BC">
        <w:rPr>
          <w:color w:val="000000"/>
          <w:lang w:eastAsia="bg-BG"/>
        </w:rPr>
        <w:t xml:space="preserve"> млн. лв.</w:t>
      </w:r>
    </w:p>
    <w:p w:rsidR="001953AC" w:rsidRDefault="001953AC" w:rsidP="001953AC">
      <w:pPr>
        <w:spacing w:after="120"/>
        <w:jc w:val="both"/>
        <w:rPr>
          <w:color w:val="000000"/>
          <w:lang w:eastAsia="bg-BG"/>
        </w:rPr>
      </w:pPr>
      <w:r w:rsidRPr="007B26BC">
        <w:rPr>
          <w:color w:val="000000"/>
          <w:lang w:eastAsia="bg-BG"/>
        </w:rPr>
        <w:lastRenderedPageBreak/>
        <w:t>За изплащане на допълнителни трудови възнаграждения на изпълнителите на болнична медицинска помощ</w:t>
      </w:r>
      <w:r w:rsidRPr="007B26BC">
        <w:rPr>
          <w:color w:val="000000"/>
          <w:lang w:val="ru-RU" w:eastAsia="bg-BG"/>
        </w:rPr>
        <w:t xml:space="preserve"> </w:t>
      </w:r>
      <w:r>
        <w:rPr>
          <w:color w:val="000000"/>
          <w:lang w:eastAsia="bg-BG"/>
        </w:rPr>
        <w:t xml:space="preserve">са предоставени </w:t>
      </w:r>
      <w:r w:rsidRPr="007B26BC">
        <w:rPr>
          <w:color w:val="000000"/>
          <w:lang w:eastAsia="bg-BG"/>
        </w:rPr>
        <w:t>55,1 млн. лв.</w:t>
      </w:r>
    </w:p>
    <w:p w:rsidR="001953AC" w:rsidRPr="007B26BC" w:rsidRDefault="001953AC" w:rsidP="001953AC">
      <w:pPr>
        <w:spacing w:before="240" w:after="240"/>
        <w:jc w:val="both"/>
        <w:rPr>
          <w:lang w:eastAsia="bg-BG"/>
        </w:rPr>
      </w:pPr>
      <w:r w:rsidRPr="007B26BC">
        <w:rPr>
          <w:lang w:eastAsia="bg-BG"/>
        </w:rPr>
        <w:t xml:space="preserve">От общините са изразходвани средства за противоепидемични </w:t>
      </w:r>
      <w:r>
        <w:rPr>
          <w:lang w:eastAsia="bg-BG"/>
        </w:rPr>
        <w:t>мерки в размер на 14,5</w:t>
      </w:r>
      <w:r w:rsidRPr="007B26BC">
        <w:rPr>
          <w:lang w:eastAsia="bg-BG"/>
        </w:rPr>
        <w:t xml:space="preserve"> млн.</w:t>
      </w:r>
      <w:r>
        <w:rPr>
          <w:lang w:eastAsia="bg-BG"/>
        </w:rPr>
        <w:t> </w:t>
      </w:r>
      <w:r w:rsidRPr="007B26BC">
        <w:rPr>
          <w:lang w:eastAsia="bg-BG"/>
        </w:rPr>
        <w:t>лв.</w:t>
      </w:r>
    </w:p>
    <w:p w:rsidR="001953AC" w:rsidRPr="007B26BC" w:rsidRDefault="001953AC" w:rsidP="00446778">
      <w:pPr>
        <w:tabs>
          <w:tab w:val="left" w:pos="426"/>
          <w:tab w:val="left" w:pos="851"/>
        </w:tabs>
        <w:contextualSpacing/>
        <w:jc w:val="center"/>
      </w:pPr>
      <w:r w:rsidRPr="007B26BC">
        <w:rPr>
          <w:b/>
          <w:i/>
          <w:u w:val="single"/>
        </w:rPr>
        <w:t>Информация за средствата, изразходени за мерките за борба с COVID-19 и преодоляване на социално-икономическите последствия от пандемията</w:t>
      </w:r>
      <w:r w:rsidRPr="007B26BC">
        <w:rPr>
          <w:b/>
          <w:i/>
          <w:u w:val="single"/>
          <w:lang w:val="ru-RU"/>
        </w:rPr>
        <w:t xml:space="preserve"> </w:t>
      </w:r>
      <w:r w:rsidRPr="007B26BC">
        <w:rPr>
          <w:b/>
          <w:i/>
          <w:u w:val="single"/>
        </w:rPr>
        <w:t>към 31.03. 202</w:t>
      </w:r>
      <w:r w:rsidRPr="007B26BC">
        <w:rPr>
          <w:b/>
          <w:i/>
          <w:u w:val="single"/>
          <w:lang w:val="ru-RU"/>
        </w:rPr>
        <w:t>2</w:t>
      </w:r>
      <w:r w:rsidRPr="007B26BC">
        <w:rPr>
          <w:b/>
          <w:i/>
          <w:u w:val="single"/>
        </w:rPr>
        <w:t> г.</w:t>
      </w:r>
    </w:p>
    <w:p w:rsidR="001953AC" w:rsidRPr="00B872C1" w:rsidRDefault="001953AC" w:rsidP="001953AC">
      <w:pPr>
        <w:rPr>
          <w:color w:val="548DD4"/>
          <w:highlight w:val="yellow"/>
        </w:rPr>
      </w:pPr>
    </w:p>
    <w:tbl>
      <w:tblPr>
        <w:tblW w:w="10541" w:type="dxa"/>
        <w:tblInd w:w="85" w:type="dxa"/>
        <w:tblLook w:val="04A0" w:firstRow="1" w:lastRow="0" w:firstColumn="1" w:lastColumn="0" w:noHBand="0" w:noVBand="1"/>
      </w:tblPr>
      <w:tblGrid>
        <w:gridCol w:w="8460"/>
        <w:gridCol w:w="900"/>
        <w:gridCol w:w="1181"/>
      </w:tblGrid>
      <w:tr w:rsidR="001953AC" w:rsidRPr="00446778" w:rsidTr="00642E5B">
        <w:trPr>
          <w:trHeight w:val="375"/>
        </w:trPr>
        <w:tc>
          <w:tcPr>
            <w:tcW w:w="8460" w:type="dxa"/>
            <w:vMerge w:val="restart"/>
            <w:tcBorders>
              <w:top w:val="single" w:sz="4" w:space="0" w:color="auto"/>
              <w:left w:val="single" w:sz="4" w:space="0" w:color="auto"/>
              <w:bottom w:val="single" w:sz="4" w:space="0" w:color="auto"/>
              <w:right w:val="single" w:sz="4" w:space="0" w:color="auto"/>
            </w:tcBorders>
            <w:shd w:val="clear" w:color="000000" w:fill="943634"/>
            <w:vAlign w:val="center"/>
            <w:hideMark/>
          </w:tcPr>
          <w:p w:rsidR="001953AC" w:rsidRPr="00446778" w:rsidRDefault="001953AC" w:rsidP="00642E5B">
            <w:pPr>
              <w:jc w:val="center"/>
              <w:rPr>
                <w:b/>
                <w:bCs/>
                <w:color w:val="FFFFFF"/>
                <w:sz w:val="20"/>
                <w:szCs w:val="20"/>
              </w:rPr>
            </w:pPr>
            <w:r w:rsidRPr="00446778">
              <w:rPr>
                <w:b/>
                <w:bCs/>
                <w:color w:val="FFFFFF"/>
                <w:sz w:val="20"/>
                <w:szCs w:val="20"/>
              </w:rPr>
              <w:t>МЕРКИ</w:t>
            </w:r>
          </w:p>
        </w:tc>
        <w:tc>
          <w:tcPr>
            <w:tcW w:w="2081" w:type="dxa"/>
            <w:gridSpan w:val="2"/>
            <w:tcBorders>
              <w:top w:val="single" w:sz="4" w:space="0" w:color="auto"/>
              <w:left w:val="nil"/>
              <w:bottom w:val="single" w:sz="4" w:space="0" w:color="auto"/>
              <w:right w:val="single" w:sz="4" w:space="0" w:color="auto"/>
            </w:tcBorders>
            <w:shd w:val="clear" w:color="000000" w:fill="943634"/>
            <w:noWrap/>
            <w:vAlign w:val="center"/>
            <w:hideMark/>
          </w:tcPr>
          <w:p w:rsidR="001953AC" w:rsidRPr="00446778" w:rsidRDefault="001953AC" w:rsidP="00642E5B">
            <w:pPr>
              <w:jc w:val="center"/>
              <w:rPr>
                <w:b/>
                <w:bCs/>
                <w:color w:val="FFFFFF"/>
                <w:sz w:val="20"/>
                <w:szCs w:val="20"/>
              </w:rPr>
            </w:pPr>
            <w:r w:rsidRPr="00446778">
              <w:rPr>
                <w:b/>
                <w:bCs/>
                <w:color w:val="FFFFFF"/>
                <w:sz w:val="20"/>
                <w:szCs w:val="20"/>
              </w:rPr>
              <w:t>Към 31.03.2022 г.</w:t>
            </w:r>
          </w:p>
        </w:tc>
      </w:tr>
      <w:tr w:rsidR="001953AC" w:rsidRPr="00446778" w:rsidTr="00642E5B">
        <w:trPr>
          <w:trHeight w:val="375"/>
        </w:trPr>
        <w:tc>
          <w:tcPr>
            <w:tcW w:w="8460" w:type="dxa"/>
            <w:vMerge/>
            <w:tcBorders>
              <w:top w:val="single" w:sz="4" w:space="0" w:color="auto"/>
              <w:left w:val="single" w:sz="4" w:space="0" w:color="auto"/>
              <w:bottom w:val="single" w:sz="4" w:space="0" w:color="auto"/>
              <w:right w:val="single" w:sz="4" w:space="0" w:color="auto"/>
            </w:tcBorders>
            <w:vAlign w:val="center"/>
            <w:hideMark/>
          </w:tcPr>
          <w:p w:rsidR="001953AC" w:rsidRPr="00446778" w:rsidRDefault="001953AC" w:rsidP="00642E5B">
            <w:pPr>
              <w:rPr>
                <w:b/>
                <w:bCs/>
                <w:color w:val="FFFFFF"/>
                <w:sz w:val="20"/>
                <w:szCs w:val="20"/>
              </w:rPr>
            </w:pPr>
          </w:p>
        </w:tc>
        <w:tc>
          <w:tcPr>
            <w:tcW w:w="900" w:type="dxa"/>
            <w:tcBorders>
              <w:top w:val="nil"/>
              <w:left w:val="nil"/>
              <w:bottom w:val="single" w:sz="4" w:space="0" w:color="auto"/>
              <w:right w:val="single" w:sz="4" w:space="0" w:color="auto"/>
            </w:tcBorders>
            <w:shd w:val="clear" w:color="000000" w:fill="943634"/>
            <w:noWrap/>
            <w:vAlign w:val="center"/>
            <w:hideMark/>
          </w:tcPr>
          <w:p w:rsidR="001953AC" w:rsidRPr="00446778" w:rsidRDefault="001953AC" w:rsidP="00642E5B">
            <w:pPr>
              <w:jc w:val="center"/>
              <w:rPr>
                <w:b/>
                <w:bCs/>
                <w:color w:val="FFFFFF"/>
                <w:sz w:val="20"/>
                <w:szCs w:val="20"/>
              </w:rPr>
            </w:pPr>
            <w:r w:rsidRPr="00446778">
              <w:rPr>
                <w:b/>
                <w:bCs/>
                <w:color w:val="FFFFFF"/>
                <w:sz w:val="20"/>
                <w:szCs w:val="20"/>
              </w:rPr>
              <w:t>млн. лв.</w:t>
            </w:r>
          </w:p>
        </w:tc>
        <w:tc>
          <w:tcPr>
            <w:tcW w:w="1181" w:type="dxa"/>
            <w:tcBorders>
              <w:top w:val="nil"/>
              <w:left w:val="nil"/>
              <w:bottom w:val="single" w:sz="4" w:space="0" w:color="auto"/>
              <w:right w:val="single" w:sz="4" w:space="0" w:color="auto"/>
            </w:tcBorders>
            <w:shd w:val="clear" w:color="000000" w:fill="943634"/>
            <w:noWrap/>
            <w:vAlign w:val="center"/>
            <w:hideMark/>
          </w:tcPr>
          <w:p w:rsidR="001953AC" w:rsidRPr="00446778" w:rsidRDefault="001953AC" w:rsidP="00642E5B">
            <w:pPr>
              <w:jc w:val="center"/>
              <w:rPr>
                <w:b/>
                <w:bCs/>
                <w:color w:val="FFFFFF"/>
                <w:sz w:val="20"/>
                <w:szCs w:val="20"/>
              </w:rPr>
            </w:pPr>
            <w:r w:rsidRPr="00446778">
              <w:rPr>
                <w:b/>
                <w:bCs/>
                <w:color w:val="FFFFFF"/>
                <w:sz w:val="20"/>
                <w:szCs w:val="20"/>
              </w:rPr>
              <w:t xml:space="preserve">% от БВП </w:t>
            </w:r>
          </w:p>
        </w:tc>
      </w:tr>
      <w:tr w:rsidR="001953AC" w:rsidRPr="00446778" w:rsidTr="00446778">
        <w:trPr>
          <w:trHeight w:val="295"/>
        </w:trPr>
        <w:tc>
          <w:tcPr>
            <w:tcW w:w="8460" w:type="dxa"/>
            <w:tcBorders>
              <w:top w:val="nil"/>
              <w:left w:val="single" w:sz="4" w:space="0" w:color="auto"/>
              <w:bottom w:val="single" w:sz="4" w:space="0" w:color="auto"/>
              <w:right w:val="single" w:sz="4" w:space="0" w:color="auto"/>
            </w:tcBorders>
            <w:shd w:val="clear" w:color="000000" w:fill="E2EFDA"/>
            <w:vAlign w:val="bottom"/>
            <w:hideMark/>
          </w:tcPr>
          <w:p w:rsidR="001953AC" w:rsidRPr="00446778" w:rsidRDefault="001953AC" w:rsidP="00642E5B">
            <w:pPr>
              <w:rPr>
                <w:b/>
                <w:bCs/>
                <w:i/>
                <w:iCs/>
                <w:sz w:val="20"/>
                <w:szCs w:val="20"/>
              </w:rPr>
            </w:pPr>
            <w:r w:rsidRPr="00446778">
              <w:rPr>
                <w:b/>
                <w:bCs/>
                <w:i/>
                <w:iCs/>
                <w:sz w:val="20"/>
                <w:szCs w:val="20"/>
                <w:lang w:val="ru-RU"/>
              </w:rPr>
              <w:t xml:space="preserve">Всичко средства изразходвани за мерки за борба с </w:t>
            </w:r>
            <w:r w:rsidRPr="00446778">
              <w:rPr>
                <w:b/>
                <w:bCs/>
                <w:i/>
                <w:iCs/>
                <w:sz w:val="20"/>
                <w:szCs w:val="20"/>
              </w:rPr>
              <w:t>COVID</w:t>
            </w:r>
            <w:r w:rsidRPr="00446778">
              <w:rPr>
                <w:b/>
                <w:bCs/>
                <w:i/>
                <w:iCs/>
                <w:sz w:val="20"/>
                <w:szCs w:val="20"/>
                <w:lang w:val="ru-RU"/>
              </w:rPr>
              <w:t xml:space="preserve">-19 и преодоляване на социално-икономическите последствия от пандемията към 31.03. </w:t>
            </w:r>
            <w:r w:rsidRPr="00446778">
              <w:rPr>
                <w:b/>
                <w:bCs/>
                <w:i/>
                <w:iCs/>
                <w:sz w:val="20"/>
                <w:szCs w:val="20"/>
              </w:rPr>
              <w:t>2022 г. (А.+Б.+В.)</w:t>
            </w:r>
          </w:p>
        </w:tc>
        <w:tc>
          <w:tcPr>
            <w:tcW w:w="900" w:type="dxa"/>
            <w:tcBorders>
              <w:top w:val="nil"/>
              <w:left w:val="nil"/>
              <w:bottom w:val="single" w:sz="4" w:space="0" w:color="auto"/>
              <w:right w:val="single" w:sz="4" w:space="0" w:color="auto"/>
            </w:tcBorders>
            <w:shd w:val="clear" w:color="000000" w:fill="E2EFDA"/>
            <w:noWrap/>
            <w:vAlign w:val="bottom"/>
            <w:hideMark/>
          </w:tcPr>
          <w:p w:rsidR="001953AC" w:rsidRPr="00446778" w:rsidRDefault="001953AC" w:rsidP="00642E5B">
            <w:pPr>
              <w:jc w:val="right"/>
              <w:rPr>
                <w:b/>
                <w:bCs/>
                <w:color w:val="000000"/>
                <w:sz w:val="20"/>
                <w:szCs w:val="20"/>
              </w:rPr>
            </w:pPr>
            <w:r w:rsidRPr="00446778">
              <w:rPr>
                <w:b/>
                <w:bCs/>
                <w:color w:val="000000"/>
                <w:sz w:val="20"/>
                <w:szCs w:val="20"/>
              </w:rPr>
              <w:t>495.4</w:t>
            </w:r>
          </w:p>
        </w:tc>
        <w:tc>
          <w:tcPr>
            <w:tcW w:w="1181" w:type="dxa"/>
            <w:tcBorders>
              <w:top w:val="nil"/>
              <w:left w:val="nil"/>
              <w:bottom w:val="single" w:sz="4" w:space="0" w:color="auto"/>
              <w:right w:val="single" w:sz="4" w:space="0" w:color="auto"/>
            </w:tcBorders>
            <w:shd w:val="clear" w:color="000000" w:fill="E2EFDA"/>
            <w:noWrap/>
            <w:vAlign w:val="bottom"/>
            <w:hideMark/>
          </w:tcPr>
          <w:p w:rsidR="001953AC" w:rsidRPr="00446778" w:rsidRDefault="001953AC" w:rsidP="00642E5B">
            <w:pPr>
              <w:jc w:val="right"/>
              <w:rPr>
                <w:b/>
                <w:bCs/>
                <w:sz w:val="20"/>
                <w:szCs w:val="20"/>
              </w:rPr>
            </w:pPr>
            <w:r w:rsidRPr="00446778">
              <w:rPr>
                <w:b/>
                <w:bCs/>
                <w:sz w:val="20"/>
                <w:szCs w:val="20"/>
              </w:rPr>
              <w:t>0.34%</w:t>
            </w:r>
          </w:p>
        </w:tc>
      </w:tr>
      <w:tr w:rsidR="001953AC" w:rsidRPr="00446778" w:rsidTr="00642E5B">
        <w:trPr>
          <w:trHeight w:val="300"/>
        </w:trPr>
        <w:tc>
          <w:tcPr>
            <w:tcW w:w="8460" w:type="dxa"/>
            <w:tcBorders>
              <w:top w:val="nil"/>
              <w:left w:val="single" w:sz="4" w:space="0" w:color="auto"/>
              <w:bottom w:val="single" w:sz="4" w:space="0" w:color="auto"/>
              <w:right w:val="single" w:sz="4" w:space="0" w:color="auto"/>
            </w:tcBorders>
            <w:shd w:val="clear" w:color="000000" w:fill="FCE4D6"/>
            <w:vAlign w:val="center"/>
            <w:hideMark/>
          </w:tcPr>
          <w:p w:rsidR="001953AC" w:rsidRPr="00446778" w:rsidRDefault="001953AC" w:rsidP="00642E5B">
            <w:pPr>
              <w:rPr>
                <w:b/>
                <w:bCs/>
                <w:i/>
                <w:iCs/>
                <w:sz w:val="20"/>
                <w:szCs w:val="20"/>
                <w:lang w:val="ru-RU"/>
              </w:rPr>
            </w:pPr>
            <w:r w:rsidRPr="00446778">
              <w:rPr>
                <w:b/>
                <w:bCs/>
                <w:i/>
                <w:iCs/>
                <w:sz w:val="20"/>
                <w:szCs w:val="20"/>
                <w:lang w:val="ru-RU"/>
              </w:rPr>
              <w:t xml:space="preserve">     </w:t>
            </w:r>
            <w:r w:rsidRPr="00446778">
              <w:rPr>
                <w:b/>
                <w:bCs/>
                <w:i/>
                <w:iCs/>
                <w:sz w:val="20"/>
                <w:szCs w:val="20"/>
              </w:rPr>
              <w:t>A</w:t>
            </w:r>
            <w:r w:rsidRPr="00446778">
              <w:rPr>
                <w:b/>
                <w:bCs/>
                <w:i/>
                <w:iCs/>
                <w:sz w:val="20"/>
                <w:szCs w:val="20"/>
                <w:lang w:val="ru-RU"/>
              </w:rPr>
              <w:t>. Мерки за подкрепа на домакинствата</w:t>
            </w:r>
          </w:p>
        </w:tc>
        <w:tc>
          <w:tcPr>
            <w:tcW w:w="900"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color w:val="000000"/>
                <w:sz w:val="20"/>
                <w:szCs w:val="20"/>
              </w:rPr>
            </w:pPr>
            <w:r w:rsidRPr="00446778">
              <w:rPr>
                <w:b/>
                <w:bCs/>
                <w:color w:val="000000"/>
                <w:sz w:val="20"/>
                <w:szCs w:val="20"/>
              </w:rPr>
              <w:t>100.6</w:t>
            </w:r>
          </w:p>
        </w:tc>
        <w:tc>
          <w:tcPr>
            <w:tcW w:w="1181"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sz w:val="20"/>
                <w:szCs w:val="20"/>
              </w:rPr>
            </w:pPr>
            <w:r w:rsidRPr="00446778">
              <w:rPr>
                <w:b/>
                <w:bCs/>
                <w:sz w:val="20"/>
                <w:szCs w:val="20"/>
              </w:rPr>
              <w:t>0.07%</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000000" w:fill="FFFFFF"/>
            <w:vAlign w:val="center"/>
            <w:hideMark/>
          </w:tcPr>
          <w:p w:rsidR="001953AC" w:rsidRPr="00446778" w:rsidRDefault="00446778" w:rsidP="00642E5B">
            <w:pPr>
              <w:rPr>
                <w:sz w:val="20"/>
                <w:szCs w:val="20"/>
              </w:rPr>
            </w:pPr>
            <w:r>
              <w:rPr>
                <w:sz w:val="20"/>
                <w:szCs w:val="20"/>
              </w:rPr>
              <w:t xml:space="preserve">   </w:t>
            </w:r>
            <w:r w:rsidR="001953AC" w:rsidRPr="00446778">
              <w:rPr>
                <w:sz w:val="20"/>
                <w:szCs w:val="20"/>
              </w:rPr>
              <w:t>от тях:</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rPr>
                <w:b/>
                <w:bCs/>
                <w:color w:val="000000"/>
                <w:sz w:val="20"/>
                <w:szCs w:val="20"/>
              </w:rPr>
            </w:pPr>
            <w:r w:rsidRPr="00446778">
              <w:rPr>
                <w:b/>
                <w:bCs/>
                <w:color w:val="000000"/>
                <w:sz w:val="20"/>
                <w:szCs w:val="20"/>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b/>
                <w:bCs/>
                <w:sz w:val="20"/>
                <w:szCs w:val="20"/>
              </w:rPr>
            </w:pPr>
            <w:r w:rsidRPr="00446778">
              <w:rPr>
                <w:b/>
                <w:bCs/>
                <w:sz w:val="20"/>
                <w:szCs w:val="20"/>
              </w:rPr>
              <w:t> </w:t>
            </w:r>
          </w:p>
        </w:tc>
      </w:tr>
      <w:tr w:rsidR="001953AC" w:rsidRPr="00446778" w:rsidTr="00446778">
        <w:trPr>
          <w:trHeight w:val="126"/>
        </w:trPr>
        <w:tc>
          <w:tcPr>
            <w:tcW w:w="8460" w:type="dxa"/>
            <w:tcBorders>
              <w:top w:val="nil"/>
              <w:left w:val="single" w:sz="4" w:space="0" w:color="auto"/>
              <w:bottom w:val="single" w:sz="4" w:space="0" w:color="auto"/>
              <w:right w:val="single" w:sz="4" w:space="0" w:color="auto"/>
            </w:tcBorders>
            <w:shd w:val="clear" w:color="auto" w:fill="auto"/>
            <w:vAlign w:val="bottom"/>
            <w:hideMark/>
          </w:tcPr>
          <w:p w:rsidR="001953AC" w:rsidRPr="00446778" w:rsidRDefault="001953AC" w:rsidP="00642E5B">
            <w:pPr>
              <w:rPr>
                <w:sz w:val="20"/>
                <w:szCs w:val="20"/>
                <w:lang w:val="ru-RU"/>
              </w:rPr>
            </w:pPr>
            <w:r w:rsidRPr="00446778">
              <w:rPr>
                <w:sz w:val="20"/>
                <w:szCs w:val="20"/>
                <w:lang w:val="ru-RU"/>
              </w:rPr>
              <w:t>Еднократна сума за компенсиране на дохода от пенсии до нивото от декември 2021 г. за периода до юни 2022 г.</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sz w:val="20"/>
                <w:szCs w:val="20"/>
              </w:rPr>
            </w:pPr>
            <w:r w:rsidRPr="00446778">
              <w:rPr>
                <w:sz w:val="20"/>
                <w:szCs w:val="20"/>
              </w:rPr>
              <w:t>50.4</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0.03%</w:t>
            </w:r>
          </w:p>
        </w:tc>
      </w:tr>
      <w:tr w:rsidR="001953AC" w:rsidRPr="00446778" w:rsidTr="00446778">
        <w:trPr>
          <w:trHeight w:val="218"/>
        </w:trPr>
        <w:tc>
          <w:tcPr>
            <w:tcW w:w="8460" w:type="dxa"/>
            <w:tcBorders>
              <w:top w:val="nil"/>
              <w:left w:val="single" w:sz="4" w:space="0" w:color="auto"/>
              <w:bottom w:val="single" w:sz="4" w:space="0" w:color="auto"/>
              <w:right w:val="single" w:sz="4" w:space="0" w:color="auto"/>
            </w:tcBorders>
            <w:shd w:val="clear" w:color="000000" w:fill="FFFFFF"/>
            <w:vAlign w:val="bottom"/>
            <w:hideMark/>
          </w:tcPr>
          <w:p w:rsidR="001953AC" w:rsidRPr="00446778" w:rsidRDefault="001953AC" w:rsidP="00446778">
            <w:pPr>
              <w:rPr>
                <w:sz w:val="20"/>
                <w:szCs w:val="20"/>
                <w:lang w:val="ru-RU"/>
              </w:rPr>
            </w:pPr>
            <w:r w:rsidRPr="00446778">
              <w:rPr>
                <w:sz w:val="20"/>
                <w:szCs w:val="20"/>
                <w:lang w:val="ru-RU"/>
              </w:rPr>
              <w:t xml:space="preserve">Осигуряване на ваксини, лекарствени продукти и бързи антигенни тестове в борбата с пандемията от </w:t>
            </w:r>
            <w:r w:rsidRPr="00446778">
              <w:rPr>
                <w:sz w:val="20"/>
                <w:szCs w:val="20"/>
              </w:rPr>
              <w:t>COVID</w:t>
            </w:r>
            <w:r w:rsidRPr="00446778">
              <w:rPr>
                <w:sz w:val="20"/>
                <w:szCs w:val="20"/>
                <w:lang w:val="ru-RU"/>
              </w:rPr>
              <w:t xml:space="preserve">-19 </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color w:val="000000"/>
                <w:sz w:val="20"/>
                <w:szCs w:val="20"/>
              </w:rPr>
            </w:pPr>
            <w:r w:rsidRPr="00446778">
              <w:rPr>
                <w:color w:val="000000"/>
                <w:sz w:val="20"/>
                <w:szCs w:val="20"/>
              </w:rPr>
              <w:t>27.2</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0.02%</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000000" w:fill="FFFFFF"/>
            <w:vAlign w:val="bottom"/>
            <w:hideMark/>
          </w:tcPr>
          <w:p w:rsidR="001953AC" w:rsidRPr="00446778" w:rsidRDefault="001953AC" w:rsidP="00446778">
            <w:pPr>
              <w:rPr>
                <w:sz w:val="20"/>
                <w:szCs w:val="20"/>
                <w:lang w:val="ru-RU"/>
              </w:rPr>
            </w:pPr>
            <w:r w:rsidRPr="00446778">
              <w:rPr>
                <w:sz w:val="20"/>
                <w:szCs w:val="20"/>
                <w:lang w:val="ru-RU"/>
              </w:rPr>
              <w:t>Подкрепа на семейства с деца до 14 г. възраст, при които родителите не могат да извършват дистанционна работа от вкъщи и нямат възможност да ползват платен отпуск</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color w:val="000000"/>
                <w:sz w:val="20"/>
                <w:szCs w:val="20"/>
              </w:rPr>
            </w:pPr>
            <w:r w:rsidRPr="00446778">
              <w:rPr>
                <w:color w:val="000000"/>
                <w:sz w:val="20"/>
                <w:szCs w:val="20"/>
              </w:rPr>
              <w:t>13.2</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0.01%</w:t>
            </w:r>
          </w:p>
        </w:tc>
      </w:tr>
      <w:tr w:rsidR="001953AC" w:rsidRPr="00446778" w:rsidTr="00642E5B">
        <w:trPr>
          <w:trHeight w:val="540"/>
        </w:trPr>
        <w:tc>
          <w:tcPr>
            <w:tcW w:w="8460" w:type="dxa"/>
            <w:tcBorders>
              <w:top w:val="nil"/>
              <w:left w:val="single" w:sz="4" w:space="0" w:color="auto"/>
              <w:bottom w:val="single" w:sz="4" w:space="0" w:color="auto"/>
              <w:right w:val="single" w:sz="4" w:space="0" w:color="auto"/>
            </w:tcBorders>
            <w:shd w:val="clear" w:color="000000" w:fill="FCE4D6"/>
            <w:vAlign w:val="center"/>
            <w:hideMark/>
          </w:tcPr>
          <w:p w:rsidR="001953AC" w:rsidRPr="00446778" w:rsidRDefault="001953AC" w:rsidP="00642E5B">
            <w:pPr>
              <w:rPr>
                <w:b/>
                <w:bCs/>
                <w:i/>
                <w:iCs/>
                <w:sz w:val="20"/>
                <w:szCs w:val="20"/>
                <w:lang w:val="ru-RU"/>
              </w:rPr>
            </w:pPr>
            <w:r w:rsidRPr="00446778">
              <w:rPr>
                <w:b/>
                <w:bCs/>
                <w:i/>
                <w:iCs/>
                <w:sz w:val="20"/>
                <w:szCs w:val="20"/>
                <w:lang w:val="ru-RU"/>
              </w:rPr>
              <w:t xml:space="preserve">     Б. Мерки за подкрепа на бизнеса</w:t>
            </w:r>
          </w:p>
        </w:tc>
        <w:tc>
          <w:tcPr>
            <w:tcW w:w="900"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color w:val="000000"/>
                <w:sz w:val="20"/>
                <w:szCs w:val="20"/>
              </w:rPr>
            </w:pPr>
            <w:r w:rsidRPr="00446778">
              <w:rPr>
                <w:b/>
                <w:bCs/>
                <w:color w:val="000000"/>
                <w:sz w:val="20"/>
                <w:szCs w:val="20"/>
              </w:rPr>
              <w:t>17.9</w:t>
            </w:r>
          </w:p>
        </w:tc>
        <w:tc>
          <w:tcPr>
            <w:tcW w:w="1181"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sz w:val="20"/>
                <w:szCs w:val="20"/>
              </w:rPr>
            </w:pPr>
            <w:r w:rsidRPr="00446778">
              <w:rPr>
                <w:b/>
                <w:bCs/>
                <w:sz w:val="20"/>
                <w:szCs w:val="20"/>
              </w:rPr>
              <w:t>0.01%</w:t>
            </w:r>
          </w:p>
        </w:tc>
      </w:tr>
      <w:tr w:rsidR="001953AC" w:rsidRPr="00446778" w:rsidTr="00642E5B">
        <w:trPr>
          <w:trHeight w:val="300"/>
        </w:trPr>
        <w:tc>
          <w:tcPr>
            <w:tcW w:w="8460" w:type="dxa"/>
            <w:tcBorders>
              <w:top w:val="nil"/>
              <w:left w:val="single" w:sz="4" w:space="0" w:color="auto"/>
              <w:bottom w:val="single" w:sz="4" w:space="0" w:color="auto"/>
              <w:right w:val="single" w:sz="4" w:space="0" w:color="auto"/>
            </w:tcBorders>
            <w:shd w:val="clear" w:color="000000" w:fill="FFFFFF"/>
            <w:vAlign w:val="center"/>
            <w:hideMark/>
          </w:tcPr>
          <w:p w:rsidR="001953AC" w:rsidRPr="00446778" w:rsidRDefault="001953AC" w:rsidP="00446778">
            <w:pPr>
              <w:ind w:firstLineChars="100" w:firstLine="200"/>
              <w:rPr>
                <w:sz w:val="20"/>
                <w:szCs w:val="20"/>
              </w:rPr>
            </w:pPr>
            <w:r w:rsidRPr="00446778">
              <w:rPr>
                <w:sz w:val="20"/>
                <w:szCs w:val="20"/>
              </w:rPr>
              <w:t>от тях:</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rPr>
                <w:b/>
                <w:bCs/>
                <w:color w:val="000000"/>
                <w:sz w:val="20"/>
                <w:szCs w:val="20"/>
              </w:rPr>
            </w:pPr>
            <w:r w:rsidRPr="00446778">
              <w:rPr>
                <w:b/>
                <w:bCs/>
                <w:color w:val="000000"/>
                <w:sz w:val="20"/>
                <w:szCs w:val="20"/>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b/>
                <w:bCs/>
                <w:sz w:val="20"/>
                <w:szCs w:val="20"/>
              </w:rPr>
            </w:pPr>
            <w:r w:rsidRPr="00446778">
              <w:rPr>
                <w:b/>
                <w:bCs/>
                <w:sz w:val="20"/>
                <w:szCs w:val="20"/>
              </w:rPr>
              <w:t> </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000000" w:fill="FFFFFF"/>
            <w:vAlign w:val="bottom"/>
            <w:hideMark/>
          </w:tcPr>
          <w:p w:rsidR="001953AC" w:rsidRPr="00446778" w:rsidRDefault="001953AC" w:rsidP="00446778">
            <w:pPr>
              <w:rPr>
                <w:color w:val="000000"/>
                <w:sz w:val="20"/>
                <w:szCs w:val="20"/>
                <w:lang w:val="ru-RU"/>
              </w:rPr>
            </w:pPr>
            <w:r w:rsidRPr="00446778">
              <w:rPr>
                <w:color w:val="000000"/>
                <w:sz w:val="20"/>
                <w:szCs w:val="20"/>
                <w:lang w:val="ru-RU"/>
              </w:rPr>
              <w:t>Финансова подкрепа в областта на културата и изкуствата в условията на обявена извънредна епидемична обстановка</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color w:val="000000"/>
                <w:sz w:val="20"/>
                <w:szCs w:val="20"/>
              </w:rPr>
            </w:pPr>
            <w:r w:rsidRPr="00446778">
              <w:rPr>
                <w:color w:val="000000"/>
                <w:sz w:val="20"/>
                <w:szCs w:val="20"/>
              </w:rPr>
              <w:t>17.9</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0.01%</w:t>
            </w:r>
          </w:p>
        </w:tc>
      </w:tr>
      <w:tr w:rsidR="001953AC" w:rsidRPr="00446778" w:rsidTr="00446778">
        <w:trPr>
          <w:trHeight w:val="208"/>
        </w:trPr>
        <w:tc>
          <w:tcPr>
            <w:tcW w:w="8460" w:type="dxa"/>
            <w:tcBorders>
              <w:top w:val="nil"/>
              <w:left w:val="single" w:sz="4" w:space="0" w:color="auto"/>
              <w:bottom w:val="single" w:sz="4" w:space="0" w:color="auto"/>
              <w:right w:val="single" w:sz="4" w:space="0" w:color="auto"/>
            </w:tcBorders>
            <w:shd w:val="clear" w:color="000000" w:fill="FCE4D6"/>
            <w:vAlign w:val="center"/>
            <w:hideMark/>
          </w:tcPr>
          <w:p w:rsidR="001953AC" w:rsidRPr="00446778" w:rsidRDefault="001953AC" w:rsidP="00642E5B">
            <w:pPr>
              <w:rPr>
                <w:b/>
                <w:bCs/>
                <w:i/>
                <w:iCs/>
                <w:sz w:val="20"/>
                <w:szCs w:val="20"/>
                <w:lang w:val="ru-RU"/>
              </w:rPr>
            </w:pPr>
            <w:r w:rsidRPr="00446778">
              <w:rPr>
                <w:b/>
                <w:bCs/>
                <w:i/>
                <w:iCs/>
                <w:sz w:val="20"/>
                <w:szCs w:val="20"/>
                <w:lang w:val="ru-RU"/>
              </w:rPr>
              <w:t xml:space="preserve">     В. Мерки за органите на държавното управление, натоварени с дейности по овладяване на пандемията и последствията от </w:t>
            </w:r>
            <w:r w:rsidRPr="00446778">
              <w:rPr>
                <w:b/>
                <w:bCs/>
                <w:i/>
                <w:iCs/>
                <w:sz w:val="20"/>
                <w:szCs w:val="20"/>
              </w:rPr>
              <w:t>COVID</w:t>
            </w:r>
            <w:r w:rsidRPr="00446778">
              <w:rPr>
                <w:b/>
                <w:bCs/>
                <w:i/>
                <w:iCs/>
                <w:sz w:val="20"/>
                <w:szCs w:val="20"/>
                <w:lang w:val="ru-RU"/>
              </w:rPr>
              <w:t>-19</w:t>
            </w:r>
          </w:p>
        </w:tc>
        <w:tc>
          <w:tcPr>
            <w:tcW w:w="900"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color w:val="000000"/>
                <w:sz w:val="20"/>
                <w:szCs w:val="20"/>
              </w:rPr>
            </w:pPr>
            <w:r w:rsidRPr="00446778">
              <w:rPr>
                <w:b/>
                <w:bCs/>
                <w:color w:val="000000"/>
                <w:sz w:val="20"/>
                <w:szCs w:val="20"/>
              </w:rPr>
              <w:t>376.8</w:t>
            </w:r>
          </w:p>
        </w:tc>
        <w:tc>
          <w:tcPr>
            <w:tcW w:w="1181" w:type="dxa"/>
            <w:tcBorders>
              <w:top w:val="nil"/>
              <w:left w:val="nil"/>
              <w:bottom w:val="single" w:sz="4" w:space="0" w:color="auto"/>
              <w:right w:val="single" w:sz="4" w:space="0" w:color="auto"/>
            </w:tcBorders>
            <w:shd w:val="clear" w:color="000000" w:fill="FCE4D6"/>
            <w:noWrap/>
            <w:vAlign w:val="bottom"/>
            <w:hideMark/>
          </w:tcPr>
          <w:p w:rsidR="001953AC" w:rsidRPr="00446778" w:rsidRDefault="001953AC" w:rsidP="00642E5B">
            <w:pPr>
              <w:jc w:val="right"/>
              <w:rPr>
                <w:b/>
                <w:bCs/>
                <w:sz w:val="20"/>
                <w:szCs w:val="20"/>
              </w:rPr>
            </w:pPr>
            <w:r w:rsidRPr="00446778">
              <w:rPr>
                <w:b/>
                <w:bCs/>
                <w:sz w:val="20"/>
                <w:szCs w:val="20"/>
              </w:rPr>
              <w:t>0.26%</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000000" w:fill="FFFFFF"/>
            <w:vAlign w:val="center"/>
            <w:hideMark/>
          </w:tcPr>
          <w:p w:rsidR="001953AC" w:rsidRPr="00446778" w:rsidRDefault="001953AC" w:rsidP="00446778">
            <w:pPr>
              <w:ind w:firstLineChars="100" w:firstLine="200"/>
              <w:rPr>
                <w:sz w:val="20"/>
                <w:szCs w:val="20"/>
              </w:rPr>
            </w:pPr>
            <w:r w:rsidRPr="00446778">
              <w:rPr>
                <w:sz w:val="20"/>
                <w:szCs w:val="20"/>
              </w:rPr>
              <w:t>от тях:</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rPr>
                <w:b/>
                <w:bCs/>
                <w:color w:val="000000"/>
                <w:sz w:val="20"/>
                <w:szCs w:val="20"/>
              </w:rPr>
            </w:pPr>
            <w:r w:rsidRPr="00446778">
              <w:rPr>
                <w:b/>
                <w:bCs/>
                <w:color w:val="000000"/>
                <w:sz w:val="20"/>
                <w:szCs w:val="20"/>
              </w:rPr>
              <w:t> </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b/>
                <w:bCs/>
                <w:sz w:val="20"/>
                <w:szCs w:val="20"/>
              </w:rPr>
            </w:pPr>
            <w:r w:rsidRPr="00446778">
              <w:rPr>
                <w:b/>
                <w:bCs/>
                <w:sz w:val="20"/>
                <w:szCs w:val="20"/>
              </w:rPr>
              <w:t> </w:t>
            </w:r>
          </w:p>
        </w:tc>
      </w:tr>
      <w:tr w:rsidR="001953AC" w:rsidRPr="00446778" w:rsidTr="00446778">
        <w:trPr>
          <w:trHeight w:val="62"/>
        </w:trPr>
        <w:tc>
          <w:tcPr>
            <w:tcW w:w="8460" w:type="dxa"/>
            <w:tcBorders>
              <w:top w:val="nil"/>
              <w:left w:val="single" w:sz="4" w:space="0" w:color="auto"/>
              <w:bottom w:val="single" w:sz="4" w:space="0" w:color="auto"/>
              <w:right w:val="single" w:sz="4" w:space="0" w:color="auto"/>
            </w:tcBorders>
            <w:shd w:val="clear" w:color="000000" w:fill="FFFFFF"/>
            <w:vAlign w:val="center"/>
            <w:hideMark/>
          </w:tcPr>
          <w:p w:rsidR="001953AC" w:rsidRPr="00446778" w:rsidRDefault="001953AC" w:rsidP="00446778">
            <w:pPr>
              <w:rPr>
                <w:sz w:val="20"/>
                <w:szCs w:val="20"/>
                <w:lang w:val="ru-RU"/>
              </w:rPr>
            </w:pPr>
            <w:r w:rsidRPr="00446778">
              <w:rPr>
                <w:sz w:val="20"/>
                <w:szCs w:val="20"/>
                <w:lang w:val="ru-RU"/>
              </w:rPr>
              <w:t xml:space="preserve">Подкрепа на персонала на първа линия, пряко ангажиран с дейности по предотвратяване разпространението на </w:t>
            </w:r>
            <w:r w:rsidRPr="00446778">
              <w:rPr>
                <w:sz w:val="20"/>
                <w:szCs w:val="20"/>
              </w:rPr>
              <w:t>COVID</w:t>
            </w:r>
            <w:r w:rsidRPr="00446778">
              <w:rPr>
                <w:sz w:val="20"/>
                <w:szCs w:val="20"/>
                <w:lang w:val="ru-RU"/>
              </w:rPr>
              <w:t xml:space="preserve">-19, вкл. за поставяне на ваксини срещу </w:t>
            </w:r>
            <w:r w:rsidRPr="00446778">
              <w:rPr>
                <w:sz w:val="20"/>
                <w:szCs w:val="20"/>
              </w:rPr>
              <w:t>COVID</w:t>
            </w:r>
            <w:r w:rsidRPr="00446778">
              <w:rPr>
                <w:sz w:val="20"/>
                <w:szCs w:val="20"/>
                <w:lang w:val="ru-RU"/>
              </w:rPr>
              <w:t>-19</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color w:val="000000"/>
                <w:sz w:val="20"/>
                <w:szCs w:val="20"/>
              </w:rPr>
            </w:pPr>
            <w:r w:rsidRPr="00446778">
              <w:rPr>
                <w:color w:val="000000"/>
                <w:sz w:val="20"/>
                <w:szCs w:val="20"/>
              </w:rPr>
              <w:t>299.4</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8D67E9" w:rsidP="00642E5B">
            <w:pPr>
              <w:jc w:val="right"/>
              <w:rPr>
                <w:sz w:val="20"/>
                <w:szCs w:val="20"/>
              </w:rPr>
            </w:pPr>
            <w:r>
              <w:rPr>
                <w:sz w:val="20"/>
                <w:szCs w:val="20"/>
              </w:rPr>
              <w:t>0.2</w:t>
            </w:r>
            <w:r>
              <w:rPr>
                <w:sz w:val="20"/>
                <w:szCs w:val="20"/>
                <w:lang w:val="en-US"/>
              </w:rPr>
              <w:t>0</w:t>
            </w:r>
            <w:r w:rsidR="001953AC" w:rsidRPr="00446778">
              <w:rPr>
                <w:sz w:val="20"/>
                <w:szCs w:val="20"/>
              </w:rPr>
              <w:t>%</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000000" w:fill="FFFFFF"/>
            <w:vAlign w:val="bottom"/>
            <w:hideMark/>
          </w:tcPr>
          <w:p w:rsidR="001953AC" w:rsidRPr="00446778" w:rsidRDefault="001953AC" w:rsidP="00446778">
            <w:pPr>
              <w:rPr>
                <w:color w:val="000000"/>
                <w:sz w:val="20"/>
                <w:szCs w:val="20"/>
                <w:lang w:val="ru-RU"/>
              </w:rPr>
            </w:pPr>
            <w:r w:rsidRPr="00446778">
              <w:rPr>
                <w:color w:val="000000"/>
                <w:sz w:val="20"/>
                <w:szCs w:val="20"/>
                <w:lang w:val="ru-RU"/>
              </w:rPr>
              <w:t>Изплащане на допълнителни трудови възнаграждения на изпълнителите на болнична медицинска помощ</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color w:val="000000"/>
                <w:sz w:val="20"/>
                <w:szCs w:val="20"/>
              </w:rPr>
            </w:pPr>
            <w:r w:rsidRPr="00446778">
              <w:rPr>
                <w:color w:val="000000"/>
                <w:sz w:val="20"/>
                <w:szCs w:val="20"/>
              </w:rPr>
              <w:t>55.1</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0.04%</w:t>
            </w:r>
          </w:p>
        </w:tc>
      </w:tr>
      <w:tr w:rsidR="001953AC" w:rsidRPr="00446778" w:rsidTr="00446778">
        <w:trPr>
          <w:trHeight w:val="58"/>
        </w:trPr>
        <w:tc>
          <w:tcPr>
            <w:tcW w:w="8460" w:type="dxa"/>
            <w:tcBorders>
              <w:top w:val="nil"/>
              <w:left w:val="single" w:sz="4" w:space="0" w:color="auto"/>
              <w:bottom w:val="single" w:sz="4" w:space="0" w:color="auto"/>
              <w:right w:val="single" w:sz="4" w:space="0" w:color="auto"/>
            </w:tcBorders>
            <w:shd w:val="clear" w:color="auto" w:fill="auto"/>
            <w:noWrap/>
            <w:vAlign w:val="bottom"/>
            <w:hideMark/>
          </w:tcPr>
          <w:p w:rsidR="001953AC" w:rsidRPr="00446778" w:rsidRDefault="001953AC" w:rsidP="00642E5B">
            <w:pPr>
              <w:rPr>
                <w:color w:val="000000"/>
                <w:sz w:val="20"/>
                <w:szCs w:val="20"/>
                <w:lang w:val="ru-RU"/>
              </w:rPr>
            </w:pPr>
            <w:r w:rsidRPr="00446778">
              <w:rPr>
                <w:color w:val="000000"/>
                <w:sz w:val="20"/>
                <w:szCs w:val="20"/>
                <w:lang w:val="ru-RU"/>
              </w:rPr>
              <w:t>Общини - средства за противоепидемични мерки</w:t>
            </w:r>
          </w:p>
        </w:tc>
        <w:tc>
          <w:tcPr>
            <w:tcW w:w="900" w:type="dxa"/>
            <w:tcBorders>
              <w:top w:val="nil"/>
              <w:left w:val="nil"/>
              <w:bottom w:val="single" w:sz="4" w:space="0" w:color="auto"/>
              <w:right w:val="single" w:sz="4" w:space="0" w:color="auto"/>
            </w:tcBorders>
            <w:shd w:val="clear" w:color="auto" w:fill="auto"/>
            <w:noWrap/>
            <w:vAlign w:val="bottom"/>
            <w:hideMark/>
          </w:tcPr>
          <w:p w:rsidR="001953AC" w:rsidRPr="00446778" w:rsidRDefault="001953AC" w:rsidP="00642E5B">
            <w:pPr>
              <w:jc w:val="right"/>
              <w:rPr>
                <w:sz w:val="20"/>
                <w:szCs w:val="20"/>
              </w:rPr>
            </w:pPr>
            <w:r w:rsidRPr="00446778">
              <w:rPr>
                <w:sz w:val="20"/>
                <w:szCs w:val="20"/>
              </w:rPr>
              <w:t>14.5</w:t>
            </w:r>
          </w:p>
        </w:tc>
        <w:tc>
          <w:tcPr>
            <w:tcW w:w="1181" w:type="dxa"/>
            <w:tcBorders>
              <w:top w:val="nil"/>
              <w:left w:val="nil"/>
              <w:bottom w:val="single" w:sz="4" w:space="0" w:color="auto"/>
              <w:right w:val="single" w:sz="4" w:space="0" w:color="auto"/>
            </w:tcBorders>
            <w:shd w:val="clear" w:color="000000" w:fill="FFFFFF"/>
            <w:noWrap/>
            <w:vAlign w:val="bottom"/>
            <w:hideMark/>
          </w:tcPr>
          <w:p w:rsidR="001953AC" w:rsidRPr="00446778" w:rsidRDefault="001953AC" w:rsidP="00642E5B">
            <w:pPr>
              <w:jc w:val="right"/>
              <w:rPr>
                <w:sz w:val="20"/>
                <w:szCs w:val="20"/>
              </w:rPr>
            </w:pPr>
            <w:r w:rsidRPr="00446778">
              <w:rPr>
                <w:sz w:val="20"/>
                <w:szCs w:val="20"/>
              </w:rPr>
              <w:t>0.01%</w:t>
            </w:r>
          </w:p>
        </w:tc>
      </w:tr>
    </w:tbl>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1953AC" w:rsidRDefault="001953AC" w:rsidP="001953AC">
      <w:pPr>
        <w:tabs>
          <w:tab w:val="left" w:pos="8730"/>
          <w:tab w:val="left" w:pos="8820"/>
        </w:tabs>
        <w:rPr>
          <w:lang w:val="ru-RU"/>
        </w:rPr>
      </w:pPr>
    </w:p>
    <w:p w:rsidR="007B7451" w:rsidRDefault="007B7451">
      <w:pPr>
        <w:rPr>
          <w:lang w:val="ru-RU"/>
        </w:rPr>
      </w:pPr>
      <w:r>
        <w:rPr>
          <w:lang w:val="ru-RU"/>
        </w:rPr>
        <w:br w:type="page"/>
      </w:r>
    </w:p>
    <w:p w:rsidR="00E74802" w:rsidRPr="00713BAD" w:rsidRDefault="00E74802" w:rsidP="001F7F82">
      <w:pPr>
        <w:pStyle w:val="Heading1"/>
        <w:numPr>
          <w:ilvl w:val="0"/>
          <w:numId w:val="10"/>
        </w:numPr>
        <w:ind w:right="-108"/>
        <w:jc w:val="both"/>
        <w:rPr>
          <w:sz w:val="24"/>
        </w:rPr>
      </w:pPr>
      <w:r w:rsidRPr="00713BAD">
        <w:rPr>
          <w:sz w:val="24"/>
        </w:rPr>
        <w:lastRenderedPageBreak/>
        <w:t>Основни показатели по консолидираната фискална програма</w:t>
      </w:r>
      <w:r w:rsidRPr="00713BAD">
        <w:rPr>
          <w:rStyle w:val="FootnoteReference"/>
          <w:sz w:val="24"/>
        </w:rPr>
        <w:footnoteReference w:id="4"/>
      </w:r>
      <w:r w:rsidRPr="00713BAD">
        <w:rPr>
          <w:sz w:val="24"/>
        </w:rPr>
        <w:t xml:space="preserve"> за </w:t>
      </w:r>
      <w:r w:rsidR="001F7F82" w:rsidRPr="00713BAD">
        <w:rPr>
          <w:sz w:val="24"/>
        </w:rPr>
        <w:t xml:space="preserve">първото тримесечие </w:t>
      </w:r>
      <w:r w:rsidRPr="00713BAD">
        <w:rPr>
          <w:sz w:val="24"/>
        </w:rPr>
        <w:t>на 20</w:t>
      </w:r>
      <w:r w:rsidR="001F7F82" w:rsidRPr="00713BAD">
        <w:rPr>
          <w:sz w:val="24"/>
        </w:rPr>
        <w:t>2</w:t>
      </w:r>
      <w:r w:rsidR="00713BAD" w:rsidRPr="00713BAD">
        <w:rPr>
          <w:sz w:val="24"/>
        </w:rPr>
        <w:t>2</w:t>
      </w:r>
      <w:r w:rsidRPr="00713BAD">
        <w:rPr>
          <w:sz w:val="24"/>
        </w:rPr>
        <w:t> г.</w:t>
      </w:r>
    </w:p>
    <w:p w:rsidR="00430A35" w:rsidRPr="00713BAD" w:rsidRDefault="00430A35" w:rsidP="00430A35">
      <w:pPr>
        <w:rPr>
          <w:sz w:val="6"/>
          <w:szCs w:val="12"/>
        </w:rPr>
      </w:pPr>
    </w:p>
    <w:p w:rsidR="005B6C1F" w:rsidRPr="008D67E9" w:rsidRDefault="005B6C1F" w:rsidP="00E863AA">
      <w:pPr>
        <w:jc w:val="both"/>
        <w:rPr>
          <w:lang w:val="ru-RU"/>
        </w:rPr>
      </w:pPr>
    </w:p>
    <w:p w:rsidR="00E863AA" w:rsidRPr="00060872" w:rsidRDefault="00E863AA" w:rsidP="00E863AA">
      <w:pPr>
        <w:jc w:val="both"/>
      </w:pPr>
      <w:r w:rsidRPr="00060872">
        <w:t>Изпълнението на основните показатели по консолидираната фискална програма за първото тримесечие на 202</w:t>
      </w:r>
      <w:r>
        <w:t>2</w:t>
      </w:r>
      <w:r w:rsidRPr="00060872">
        <w:t xml:space="preserve"> г. е представено в следната таблица:</w:t>
      </w:r>
    </w:p>
    <w:p w:rsidR="00E863AA" w:rsidRPr="00151757" w:rsidRDefault="00E863AA" w:rsidP="00E863AA">
      <w:pPr>
        <w:jc w:val="both"/>
        <w:rPr>
          <w:color w:val="548DD4" w:themeColor="text2" w:themeTint="99"/>
          <w:sz w:val="4"/>
          <w:szCs w:val="4"/>
        </w:rPr>
      </w:pPr>
    </w:p>
    <w:p w:rsidR="00E863AA" w:rsidRPr="00060872" w:rsidRDefault="00E863AA" w:rsidP="00E863AA">
      <w:pPr>
        <w:spacing w:before="120"/>
        <w:rPr>
          <w:b/>
          <w:i/>
          <w:sz w:val="18"/>
          <w:szCs w:val="18"/>
        </w:rPr>
      </w:pPr>
      <w:r w:rsidRPr="00060872">
        <w:rPr>
          <w:b/>
          <w:i/>
          <w:sz w:val="22"/>
          <w:szCs w:val="22"/>
        </w:rPr>
        <w:t>Таблица</w:t>
      </w:r>
      <w:r w:rsidRPr="00060872">
        <w:rPr>
          <w:b/>
          <w:i/>
          <w:sz w:val="22"/>
          <w:szCs w:val="22"/>
          <w:vertAlign w:val="superscript"/>
        </w:rPr>
        <w:footnoteReference w:id="5"/>
      </w:r>
      <w:r w:rsidRPr="00060872">
        <w:rPr>
          <w:b/>
          <w:i/>
          <w:sz w:val="22"/>
          <w:szCs w:val="22"/>
        </w:rPr>
        <w:t xml:space="preserve"> №1</w:t>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22"/>
          <w:szCs w:val="22"/>
        </w:rPr>
        <w:tab/>
      </w:r>
      <w:r w:rsidRPr="00060872">
        <w:rPr>
          <w:b/>
          <w:i/>
          <w:sz w:val="18"/>
          <w:szCs w:val="18"/>
        </w:rPr>
        <w:t>(млн. лв.)</w:t>
      </w:r>
    </w:p>
    <w:tbl>
      <w:tblPr>
        <w:tblW w:w="10093" w:type="dxa"/>
        <w:tblInd w:w="98" w:type="dxa"/>
        <w:tblLook w:val="04A0" w:firstRow="1" w:lastRow="0" w:firstColumn="1" w:lastColumn="0" w:noHBand="0" w:noVBand="1"/>
      </w:tblPr>
      <w:tblGrid>
        <w:gridCol w:w="4263"/>
        <w:gridCol w:w="992"/>
        <w:gridCol w:w="1087"/>
        <w:gridCol w:w="1252"/>
        <w:gridCol w:w="1199"/>
        <w:gridCol w:w="1300"/>
      </w:tblGrid>
      <w:tr w:rsidR="00E863AA" w:rsidRPr="00151757" w:rsidTr="005D051A">
        <w:trPr>
          <w:trHeight w:val="270"/>
        </w:trPr>
        <w:tc>
          <w:tcPr>
            <w:tcW w:w="4263" w:type="dxa"/>
            <w:vMerge w:val="restart"/>
            <w:tcBorders>
              <w:top w:val="single" w:sz="8" w:space="0" w:color="auto"/>
              <w:left w:val="single" w:sz="8" w:space="0" w:color="auto"/>
              <w:bottom w:val="single" w:sz="4" w:space="0" w:color="000000"/>
              <w:right w:val="nil"/>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ПОКАЗАТЕЛ</w:t>
            </w:r>
          </w:p>
        </w:tc>
        <w:tc>
          <w:tcPr>
            <w:tcW w:w="992" w:type="dxa"/>
            <w:tcBorders>
              <w:top w:val="single" w:sz="8" w:space="0" w:color="auto"/>
              <w:left w:val="single" w:sz="4" w:space="0" w:color="auto"/>
              <w:bottom w:val="nil"/>
              <w:right w:val="single" w:sz="4"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Разчет 20</w:t>
            </w:r>
            <w:r w:rsidRPr="00DA1FCF">
              <w:rPr>
                <w:b/>
                <w:bCs/>
                <w:sz w:val="18"/>
                <w:szCs w:val="18"/>
                <w:lang w:val="en-US"/>
              </w:rPr>
              <w:t>2</w:t>
            </w:r>
            <w:r w:rsidRPr="00DA1FCF">
              <w:rPr>
                <w:b/>
                <w:bCs/>
                <w:sz w:val="18"/>
                <w:szCs w:val="18"/>
              </w:rPr>
              <w:t>2 г.</w:t>
            </w:r>
          </w:p>
        </w:tc>
        <w:tc>
          <w:tcPr>
            <w:tcW w:w="3538" w:type="dxa"/>
            <w:gridSpan w:val="3"/>
            <w:tcBorders>
              <w:top w:val="single" w:sz="8" w:space="0" w:color="auto"/>
              <w:left w:val="nil"/>
              <w:bottom w:val="single" w:sz="4" w:space="0" w:color="auto"/>
              <w:right w:val="single" w:sz="4" w:space="0" w:color="auto"/>
            </w:tcBorders>
            <w:shd w:val="clear" w:color="000000" w:fill="D9D9D9"/>
            <w:noWrap/>
            <w:vAlign w:val="center"/>
            <w:hideMark/>
          </w:tcPr>
          <w:p w:rsidR="00E863AA" w:rsidRPr="00DA1FCF" w:rsidRDefault="00E863AA" w:rsidP="005D051A">
            <w:pPr>
              <w:jc w:val="center"/>
              <w:rPr>
                <w:b/>
                <w:bCs/>
                <w:sz w:val="18"/>
                <w:szCs w:val="18"/>
              </w:rPr>
            </w:pPr>
            <w:r w:rsidRPr="00DA1FCF">
              <w:rPr>
                <w:b/>
                <w:bCs/>
                <w:sz w:val="18"/>
                <w:szCs w:val="18"/>
              </w:rPr>
              <w:t>Отчет към 31.03.20</w:t>
            </w:r>
            <w:r w:rsidRPr="00DA1FCF">
              <w:rPr>
                <w:b/>
                <w:bCs/>
                <w:sz w:val="18"/>
                <w:szCs w:val="18"/>
                <w:lang w:val="en-US"/>
              </w:rPr>
              <w:t>2</w:t>
            </w:r>
            <w:r w:rsidRPr="00DA1FCF">
              <w:rPr>
                <w:b/>
                <w:bCs/>
                <w:sz w:val="18"/>
                <w:szCs w:val="18"/>
              </w:rPr>
              <w:t>2 г.</w:t>
            </w:r>
          </w:p>
        </w:tc>
        <w:tc>
          <w:tcPr>
            <w:tcW w:w="1300" w:type="dxa"/>
            <w:tcBorders>
              <w:top w:val="single" w:sz="8" w:space="0" w:color="auto"/>
              <w:left w:val="nil"/>
              <w:bottom w:val="nil"/>
              <w:right w:val="single" w:sz="8"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Изпълнение</w:t>
            </w:r>
          </w:p>
        </w:tc>
      </w:tr>
      <w:tr w:rsidR="00E863AA" w:rsidRPr="00151757" w:rsidTr="005D051A">
        <w:trPr>
          <w:trHeight w:val="255"/>
        </w:trPr>
        <w:tc>
          <w:tcPr>
            <w:tcW w:w="4263" w:type="dxa"/>
            <w:vMerge/>
            <w:tcBorders>
              <w:top w:val="single" w:sz="8" w:space="0" w:color="auto"/>
              <w:left w:val="single" w:sz="8" w:space="0" w:color="auto"/>
              <w:bottom w:val="single" w:sz="4" w:space="0" w:color="000000"/>
              <w:right w:val="nil"/>
            </w:tcBorders>
            <w:vAlign w:val="center"/>
            <w:hideMark/>
          </w:tcPr>
          <w:p w:rsidR="00E863AA" w:rsidRPr="00DA1FCF" w:rsidRDefault="00E863AA" w:rsidP="005D051A">
            <w:pPr>
              <w:rPr>
                <w:b/>
                <w:bCs/>
                <w:sz w:val="18"/>
                <w:szCs w:val="18"/>
              </w:rPr>
            </w:pPr>
          </w:p>
        </w:tc>
        <w:tc>
          <w:tcPr>
            <w:tcW w:w="992" w:type="dxa"/>
            <w:tcBorders>
              <w:top w:val="nil"/>
              <w:left w:val="single" w:sz="4" w:space="0" w:color="auto"/>
              <w:bottom w:val="single" w:sz="4" w:space="0" w:color="auto"/>
              <w:right w:val="single" w:sz="4"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 xml:space="preserve"> КФП</w:t>
            </w:r>
          </w:p>
        </w:tc>
        <w:tc>
          <w:tcPr>
            <w:tcW w:w="1087" w:type="dxa"/>
            <w:tcBorders>
              <w:top w:val="nil"/>
              <w:left w:val="nil"/>
              <w:bottom w:val="single" w:sz="4" w:space="0" w:color="auto"/>
              <w:right w:val="single" w:sz="4"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 xml:space="preserve"> КФП</w:t>
            </w:r>
          </w:p>
        </w:tc>
        <w:tc>
          <w:tcPr>
            <w:tcW w:w="1252" w:type="dxa"/>
            <w:tcBorders>
              <w:top w:val="nil"/>
              <w:left w:val="nil"/>
              <w:bottom w:val="single" w:sz="4" w:space="0" w:color="auto"/>
              <w:right w:val="single" w:sz="4"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Национален бюджет</w:t>
            </w:r>
          </w:p>
        </w:tc>
        <w:tc>
          <w:tcPr>
            <w:tcW w:w="1199" w:type="dxa"/>
            <w:tcBorders>
              <w:top w:val="nil"/>
              <w:left w:val="nil"/>
              <w:bottom w:val="single" w:sz="4" w:space="0" w:color="auto"/>
              <w:right w:val="single" w:sz="4"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Европейски средства</w:t>
            </w:r>
          </w:p>
        </w:tc>
        <w:tc>
          <w:tcPr>
            <w:tcW w:w="1300" w:type="dxa"/>
            <w:tcBorders>
              <w:top w:val="nil"/>
              <w:left w:val="nil"/>
              <w:bottom w:val="single" w:sz="4" w:space="0" w:color="auto"/>
              <w:right w:val="single" w:sz="8" w:space="0" w:color="auto"/>
            </w:tcBorders>
            <w:shd w:val="clear" w:color="000000" w:fill="D9D9D9"/>
            <w:noWrap/>
            <w:vAlign w:val="bottom"/>
            <w:hideMark/>
          </w:tcPr>
          <w:p w:rsidR="00E863AA" w:rsidRPr="00DA1FCF" w:rsidRDefault="00E863AA" w:rsidP="005D051A">
            <w:pPr>
              <w:jc w:val="center"/>
              <w:rPr>
                <w:b/>
                <w:bCs/>
                <w:sz w:val="18"/>
                <w:szCs w:val="18"/>
              </w:rPr>
            </w:pPr>
            <w:r w:rsidRPr="00DA1FCF">
              <w:rPr>
                <w:b/>
                <w:bCs/>
                <w:sz w:val="18"/>
                <w:szCs w:val="18"/>
              </w:rPr>
              <w:t>спрямо разчет</w:t>
            </w:r>
          </w:p>
        </w:tc>
      </w:tr>
      <w:tr w:rsidR="00E863AA" w:rsidRPr="00151757" w:rsidTr="005D051A">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к.1</w:t>
            </w:r>
          </w:p>
        </w:tc>
        <w:tc>
          <w:tcPr>
            <w:tcW w:w="992" w:type="dxa"/>
            <w:tcBorders>
              <w:top w:val="nil"/>
              <w:left w:val="single" w:sz="4" w:space="0" w:color="auto"/>
              <w:bottom w:val="single" w:sz="8" w:space="0" w:color="auto"/>
              <w:right w:val="single" w:sz="4" w:space="0" w:color="auto"/>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к.2</w:t>
            </w:r>
          </w:p>
        </w:tc>
        <w:tc>
          <w:tcPr>
            <w:tcW w:w="1087" w:type="dxa"/>
            <w:tcBorders>
              <w:top w:val="nil"/>
              <w:left w:val="nil"/>
              <w:bottom w:val="single" w:sz="8" w:space="0" w:color="auto"/>
              <w:right w:val="single" w:sz="4" w:space="0" w:color="auto"/>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к.3=к.4+к.5</w:t>
            </w:r>
          </w:p>
        </w:tc>
        <w:tc>
          <w:tcPr>
            <w:tcW w:w="1252" w:type="dxa"/>
            <w:tcBorders>
              <w:top w:val="nil"/>
              <w:left w:val="nil"/>
              <w:bottom w:val="single" w:sz="8" w:space="0" w:color="auto"/>
              <w:right w:val="single" w:sz="4" w:space="0" w:color="auto"/>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к.4</w:t>
            </w:r>
          </w:p>
        </w:tc>
        <w:tc>
          <w:tcPr>
            <w:tcW w:w="1199" w:type="dxa"/>
            <w:tcBorders>
              <w:top w:val="nil"/>
              <w:left w:val="nil"/>
              <w:bottom w:val="single" w:sz="8" w:space="0" w:color="auto"/>
              <w:right w:val="single" w:sz="4" w:space="0" w:color="auto"/>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к.5</w:t>
            </w:r>
          </w:p>
        </w:tc>
        <w:tc>
          <w:tcPr>
            <w:tcW w:w="1300" w:type="dxa"/>
            <w:tcBorders>
              <w:top w:val="nil"/>
              <w:left w:val="nil"/>
              <w:bottom w:val="single" w:sz="8" w:space="0" w:color="auto"/>
              <w:right w:val="single" w:sz="8" w:space="0" w:color="auto"/>
            </w:tcBorders>
            <w:shd w:val="clear" w:color="000000" w:fill="D9D9D9"/>
            <w:noWrap/>
            <w:vAlign w:val="bottom"/>
            <w:hideMark/>
          </w:tcPr>
          <w:p w:rsidR="00E863AA" w:rsidRPr="00DA1FCF" w:rsidRDefault="00E863AA" w:rsidP="005D051A">
            <w:pPr>
              <w:jc w:val="center"/>
              <w:rPr>
                <w:sz w:val="18"/>
                <w:szCs w:val="18"/>
              </w:rPr>
            </w:pPr>
            <w:r w:rsidRPr="00DA1FCF">
              <w:rPr>
                <w:sz w:val="18"/>
                <w:szCs w:val="18"/>
              </w:rPr>
              <w:t>к.6=к.3:к.2</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b/>
                <w:bCs/>
                <w:sz w:val="18"/>
                <w:szCs w:val="18"/>
              </w:rPr>
            </w:pPr>
            <w:r w:rsidRPr="00DA1FCF">
              <w:rPr>
                <w:b/>
                <w:bCs/>
                <w:sz w:val="18"/>
                <w:szCs w:val="18"/>
              </w:rPr>
              <w:t>ПРИХОДИ, ПОМОЩИ И ДАРЕНИЯ</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b/>
                <w:bCs/>
                <w:sz w:val="18"/>
                <w:szCs w:val="18"/>
              </w:rPr>
            </w:pPr>
            <w:r>
              <w:rPr>
                <w:b/>
                <w:bCs/>
                <w:sz w:val="18"/>
                <w:szCs w:val="18"/>
              </w:rPr>
              <w:t>57 253,5</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b/>
                <w:bCs/>
                <w:sz w:val="18"/>
                <w:szCs w:val="18"/>
              </w:rPr>
            </w:pPr>
            <w:r>
              <w:rPr>
                <w:b/>
                <w:bCs/>
                <w:sz w:val="18"/>
                <w:szCs w:val="18"/>
              </w:rPr>
              <w:t>12 382,7</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11 910,7</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472,0</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b/>
                <w:bCs/>
                <w:sz w:val="18"/>
                <w:szCs w:val="18"/>
              </w:rPr>
            </w:pPr>
            <w:r>
              <w:rPr>
                <w:b/>
                <w:bCs/>
                <w:sz w:val="18"/>
                <w:szCs w:val="18"/>
              </w:rPr>
              <w:t>21,6%</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Данъчни приходи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45 015,1</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9 875,0</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9 875,0</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0,0</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21,9%</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Неданъчни приходи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7 103,1</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2 026,8</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2 028,4</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-1,6</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28,5%</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Помощи и дарения</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5 135,3</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480,9</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7,3</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473,6</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9,4%</w:t>
            </w:r>
          </w:p>
        </w:tc>
      </w:tr>
      <w:tr w:rsidR="00E863AA" w:rsidRPr="00151757" w:rsidTr="005D051A">
        <w:trPr>
          <w:trHeight w:val="480"/>
        </w:trPr>
        <w:tc>
          <w:tcPr>
            <w:tcW w:w="4263" w:type="dxa"/>
            <w:tcBorders>
              <w:top w:val="single" w:sz="4" w:space="0" w:color="auto"/>
              <w:left w:val="single" w:sz="8" w:space="0" w:color="auto"/>
              <w:bottom w:val="nil"/>
              <w:right w:val="nil"/>
            </w:tcBorders>
            <w:shd w:val="clear" w:color="auto" w:fill="auto"/>
            <w:vAlign w:val="bottom"/>
            <w:hideMark/>
          </w:tcPr>
          <w:p w:rsidR="00E863AA" w:rsidRPr="00DA1FCF" w:rsidRDefault="00E863AA" w:rsidP="005D051A">
            <w:pPr>
              <w:rPr>
                <w:b/>
                <w:bCs/>
                <w:sz w:val="18"/>
                <w:szCs w:val="18"/>
              </w:rPr>
            </w:pPr>
            <w:r w:rsidRPr="00DA1FCF">
              <w:rPr>
                <w:b/>
                <w:bCs/>
                <w:sz w:val="18"/>
                <w:szCs w:val="18"/>
              </w:rPr>
              <w:t>РАЗХОДИ И ВНОСКА ЗА ОБЩИЯ БЮДЖЕТ НА ЕС</w:t>
            </w:r>
          </w:p>
        </w:tc>
        <w:tc>
          <w:tcPr>
            <w:tcW w:w="992" w:type="dxa"/>
            <w:tcBorders>
              <w:top w:val="single" w:sz="4" w:space="0" w:color="auto"/>
              <w:left w:val="nil"/>
              <w:bottom w:val="nil"/>
              <w:right w:val="nil"/>
            </w:tcBorders>
            <w:shd w:val="clear" w:color="auto" w:fill="auto"/>
            <w:noWrap/>
            <w:vAlign w:val="bottom"/>
            <w:hideMark/>
          </w:tcPr>
          <w:p w:rsidR="00E863AA" w:rsidRDefault="00E863AA" w:rsidP="005D051A">
            <w:pPr>
              <w:jc w:val="right"/>
              <w:rPr>
                <w:b/>
                <w:bCs/>
                <w:sz w:val="18"/>
                <w:szCs w:val="18"/>
              </w:rPr>
            </w:pPr>
            <w:r>
              <w:rPr>
                <w:b/>
                <w:bCs/>
                <w:sz w:val="18"/>
                <w:szCs w:val="18"/>
              </w:rPr>
              <w:t>63 153,8</w:t>
            </w:r>
          </w:p>
        </w:tc>
        <w:tc>
          <w:tcPr>
            <w:tcW w:w="1087" w:type="dxa"/>
            <w:tcBorders>
              <w:top w:val="single" w:sz="4" w:space="0" w:color="auto"/>
              <w:left w:val="nil"/>
              <w:bottom w:val="nil"/>
              <w:right w:val="nil"/>
            </w:tcBorders>
            <w:shd w:val="clear" w:color="auto" w:fill="auto"/>
            <w:noWrap/>
            <w:vAlign w:val="bottom"/>
            <w:hideMark/>
          </w:tcPr>
          <w:p w:rsidR="00E863AA" w:rsidRDefault="00E863AA" w:rsidP="005D051A">
            <w:pPr>
              <w:jc w:val="right"/>
              <w:rPr>
                <w:b/>
                <w:bCs/>
                <w:sz w:val="18"/>
                <w:szCs w:val="18"/>
              </w:rPr>
            </w:pPr>
            <w:r>
              <w:rPr>
                <w:b/>
                <w:bCs/>
                <w:sz w:val="18"/>
                <w:szCs w:val="18"/>
              </w:rPr>
              <w:t>12 084,7</w:t>
            </w:r>
          </w:p>
        </w:tc>
        <w:tc>
          <w:tcPr>
            <w:tcW w:w="1252" w:type="dxa"/>
            <w:tcBorders>
              <w:top w:val="single" w:sz="4" w:space="0" w:color="auto"/>
              <w:left w:val="nil"/>
              <w:bottom w:val="nil"/>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11 423,9</w:t>
            </w:r>
          </w:p>
        </w:tc>
        <w:tc>
          <w:tcPr>
            <w:tcW w:w="1199" w:type="dxa"/>
            <w:tcBorders>
              <w:top w:val="single" w:sz="4" w:space="0" w:color="auto"/>
              <w:left w:val="nil"/>
              <w:bottom w:val="nil"/>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660,8</w:t>
            </w:r>
          </w:p>
        </w:tc>
        <w:tc>
          <w:tcPr>
            <w:tcW w:w="1300" w:type="dxa"/>
            <w:tcBorders>
              <w:top w:val="single" w:sz="4" w:space="0" w:color="auto"/>
              <w:left w:val="nil"/>
              <w:bottom w:val="nil"/>
              <w:right w:val="single" w:sz="8" w:space="0" w:color="auto"/>
            </w:tcBorders>
            <w:shd w:val="clear" w:color="auto" w:fill="auto"/>
            <w:noWrap/>
            <w:vAlign w:val="bottom"/>
            <w:hideMark/>
          </w:tcPr>
          <w:p w:rsidR="00E863AA" w:rsidRDefault="00E863AA" w:rsidP="005D051A">
            <w:pPr>
              <w:jc w:val="right"/>
              <w:rPr>
                <w:b/>
                <w:bCs/>
                <w:sz w:val="18"/>
                <w:szCs w:val="18"/>
              </w:rPr>
            </w:pPr>
            <w:r>
              <w:rPr>
                <w:b/>
                <w:bCs/>
                <w:sz w:val="18"/>
                <w:szCs w:val="18"/>
              </w:rPr>
              <w:t>19,1%</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Нелихвени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60 550,7</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11 347,3</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10 686,6</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660,8</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18,7%</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Текущи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52 293,5</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10 603,9</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10 311,0</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292,8</w:t>
            </w: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20,3%</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tcPr>
          <w:p w:rsidR="00E863AA" w:rsidRPr="00DA1FCF" w:rsidRDefault="00E863AA" w:rsidP="005D051A">
            <w:pPr>
              <w:rPr>
                <w:sz w:val="18"/>
                <w:szCs w:val="18"/>
              </w:rPr>
            </w:pPr>
            <w:r w:rsidRPr="00DA1FCF">
              <w:rPr>
                <w:sz w:val="18"/>
                <w:szCs w:val="18"/>
              </w:rPr>
              <w:t xml:space="preserve">    Предоставени </w:t>
            </w:r>
            <w:proofErr w:type="spellStart"/>
            <w:r w:rsidRPr="00DA1FCF">
              <w:rPr>
                <w:sz w:val="18"/>
                <w:szCs w:val="18"/>
              </w:rPr>
              <w:t>тек</w:t>
            </w:r>
            <w:proofErr w:type="spellEnd"/>
            <w:r w:rsidRPr="00DA1FCF">
              <w:rPr>
                <w:sz w:val="18"/>
                <w:szCs w:val="18"/>
              </w:rPr>
              <w:t xml:space="preserve">. и </w:t>
            </w:r>
            <w:proofErr w:type="spellStart"/>
            <w:r w:rsidRPr="00DA1FCF">
              <w:rPr>
                <w:sz w:val="18"/>
                <w:szCs w:val="18"/>
              </w:rPr>
              <w:t>капит</w:t>
            </w:r>
            <w:proofErr w:type="spellEnd"/>
            <w:r w:rsidRPr="00DA1FCF">
              <w:rPr>
                <w:sz w:val="18"/>
                <w:szCs w:val="18"/>
              </w:rPr>
              <w:t>. трансфери за чужбина</w:t>
            </w:r>
          </w:p>
        </w:tc>
        <w:tc>
          <w:tcPr>
            <w:tcW w:w="992" w:type="dxa"/>
            <w:tcBorders>
              <w:top w:val="nil"/>
              <w:left w:val="nil"/>
              <w:bottom w:val="nil"/>
              <w:right w:val="nil"/>
            </w:tcBorders>
            <w:shd w:val="clear" w:color="auto" w:fill="auto"/>
            <w:noWrap/>
            <w:vAlign w:val="bottom"/>
          </w:tcPr>
          <w:p w:rsidR="00E863AA" w:rsidRDefault="00E863AA" w:rsidP="005D051A">
            <w:pPr>
              <w:jc w:val="right"/>
              <w:rPr>
                <w:sz w:val="18"/>
                <w:szCs w:val="18"/>
              </w:rPr>
            </w:pPr>
            <w:r>
              <w:rPr>
                <w:sz w:val="18"/>
                <w:szCs w:val="18"/>
              </w:rPr>
              <w:t>19,1</w:t>
            </w:r>
          </w:p>
        </w:tc>
        <w:tc>
          <w:tcPr>
            <w:tcW w:w="1087" w:type="dxa"/>
            <w:tcBorders>
              <w:top w:val="nil"/>
              <w:left w:val="nil"/>
              <w:bottom w:val="nil"/>
              <w:right w:val="nil"/>
            </w:tcBorders>
            <w:shd w:val="clear" w:color="auto" w:fill="auto"/>
            <w:noWrap/>
            <w:vAlign w:val="bottom"/>
          </w:tcPr>
          <w:p w:rsidR="00E863AA" w:rsidRDefault="00E863AA" w:rsidP="005D051A">
            <w:pPr>
              <w:jc w:val="right"/>
              <w:rPr>
                <w:sz w:val="18"/>
                <w:szCs w:val="18"/>
              </w:rPr>
            </w:pPr>
            <w:r>
              <w:rPr>
                <w:sz w:val="18"/>
                <w:szCs w:val="18"/>
              </w:rPr>
              <w:t>6,6</w:t>
            </w:r>
          </w:p>
        </w:tc>
        <w:tc>
          <w:tcPr>
            <w:tcW w:w="1252" w:type="dxa"/>
            <w:tcBorders>
              <w:top w:val="nil"/>
              <w:left w:val="nil"/>
              <w:bottom w:val="nil"/>
              <w:right w:val="nil"/>
            </w:tcBorders>
            <w:shd w:val="clear" w:color="auto" w:fill="auto"/>
            <w:noWrap/>
            <w:vAlign w:val="bottom"/>
          </w:tcPr>
          <w:p w:rsidR="00E863AA" w:rsidRDefault="00E863AA" w:rsidP="005D051A">
            <w:pPr>
              <w:jc w:val="right"/>
              <w:rPr>
                <w:sz w:val="18"/>
                <w:szCs w:val="18"/>
              </w:rPr>
            </w:pPr>
            <w:r>
              <w:rPr>
                <w:sz w:val="18"/>
                <w:szCs w:val="18"/>
              </w:rPr>
              <w:t>1,2</w:t>
            </w:r>
          </w:p>
        </w:tc>
        <w:tc>
          <w:tcPr>
            <w:tcW w:w="1199" w:type="dxa"/>
            <w:tcBorders>
              <w:top w:val="nil"/>
              <w:left w:val="nil"/>
              <w:bottom w:val="nil"/>
              <w:right w:val="nil"/>
            </w:tcBorders>
            <w:shd w:val="clear" w:color="auto" w:fill="auto"/>
            <w:noWrap/>
            <w:vAlign w:val="bottom"/>
          </w:tcPr>
          <w:p w:rsidR="00E863AA" w:rsidRDefault="00E863AA" w:rsidP="005D051A">
            <w:pPr>
              <w:jc w:val="right"/>
              <w:rPr>
                <w:sz w:val="18"/>
                <w:szCs w:val="18"/>
              </w:rPr>
            </w:pPr>
            <w:r>
              <w:rPr>
                <w:sz w:val="18"/>
                <w:szCs w:val="18"/>
              </w:rPr>
              <w:t>5,4</w:t>
            </w:r>
          </w:p>
        </w:tc>
        <w:tc>
          <w:tcPr>
            <w:tcW w:w="1300" w:type="dxa"/>
            <w:tcBorders>
              <w:top w:val="nil"/>
              <w:left w:val="nil"/>
              <w:bottom w:val="nil"/>
              <w:right w:val="single" w:sz="4" w:space="0" w:color="auto"/>
            </w:tcBorders>
            <w:shd w:val="clear" w:color="auto" w:fill="auto"/>
            <w:noWrap/>
            <w:vAlign w:val="bottom"/>
          </w:tcPr>
          <w:p w:rsidR="00E863AA" w:rsidRDefault="00E863AA" w:rsidP="005D051A">
            <w:pPr>
              <w:jc w:val="right"/>
              <w:rPr>
                <w:sz w:val="18"/>
                <w:szCs w:val="18"/>
              </w:rPr>
            </w:pPr>
            <w:r>
              <w:rPr>
                <w:sz w:val="18"/>
                <w:szCs w:val="18"/>
              </w:rPr>
              <w:t>34,8%</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Капиталови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8 238,1</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736,8</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374,3</w:t>
            </w:r>
          </w:p>
        </w:tc>
        <w:tc>
          <w:tcPr>
            <w:tcW w:w="1199"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362,5</w:t>
            </w:r>
          </w:p>
        </w:tc>
        <w:tc>
          <w:tcPr>
            <w:tcW w:w="1300" w:type="dxa"/>
            <w:tcBorders>
              <w:top w:val="nil"/>
              <w:left w:val="nil"/>
              <w:bottom w:val="nil"/>
              <w:right w:val="single" w:sz="4" w:space="0" w:color="auto"/>
            </w:tcBorders>
            <w:shd w:val="clear" w:color="auto" w:fill="auto"/>
            <w:noWrap/>
            <w:vAlign w:val="bottom"/>
            <w:hideMark/>
          </w:tcPr>
          <w:p w:rsidR="00E863AA" w:rsidRDefault="00E863AA" w:rsidP="005D051A">
            <w:pPr>
              <w:jc w:val="right"/>
              <w:rPr>
                <w:sz w:val="18"/>
                <w:szCs w:val="18"/>
              </w:rPr>
            </w:pPr>
            <w:r>
              <w:rPr>
                <w:sz w:val="18"/>
                <w:szCs w:val="18"/>
              </w:rPr>
              <w:t>8,9%</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в т.ч. нетен прираст на държавния резерв</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31,3</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-3,7</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-3,7</w:t>
            </w:r>
          </w:p>
        </w:tc>
        <w:tc>
          <w:tcPr>
            <w:tcW w:w="1199" w:type="dxa"/>
            <w:tcBorders>
              <w:top w:val="nil"/>
              <w:left w:val="nil"/>
              <w:bottom w:val="nil"/>
              <w:right w:val="nil"/>
            </w:tcBorders>
            <w:shd w:val="clear" w:color="auto" w:fill="auto"/>
            <w:noWrap/>
            <w:vAlign w:val="bottom"/>
          </w:tcPr>
          <w:p w:rsidR="00E863AA" w:rsidRDefault="00E863AA" w:rsidP="005D051A">
            <w:pPr>
              <w:jc w:val="right"/>
              <w:rPr>
                <w:sz w:val="18"/>
                <w:szCs w:val="18"/>
              </w:rPr>
            </w:pPr>
          </w:p>
        </w:tc>
        <w:tc>
          <w:tcPr>
            <w:tcW w:w="1300" w:type="dxa"/>
            <w:tcBorders>
              <w:top w:val="nil"/>
              <w:left w:val="nil"/>
              <w:bottom w:val="nil"/>
              <w:right w:val="single" w:sz="4" w:space="0" w:color="auto"/>
            </w:tcBorders>
            <w:shd w:val="clear" w:color="auto" w:fill="auto"/>
            <w:noWrap/>
            <w:vAlign w:val="bottom"/>
          </w:tcPr>
          <w:p w:rsidR="00E863AA" w:rsidRDefault="00E863AA" w:rsidP="005D051A">
            <w:pPr>
              <w:jc w:val="right"/>
              <w:rPr>
                <w:sz w:val="18"/>
                <w:szCs w:val="18"/>
              </w:rPr>
            </w:pP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Лихвени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664,3</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335,6</w:t>
            </w:r>
          </w:p>
        </w:tc>
        <w:tc>
          <w:tcPr>
            <w:tcW w:w="1252" w:type="dxa"/>
            <w:tcBorders>
              <w:top w:val="nil"/>
              <w:left w:val="nil"/>
              <w:bottom w:val="nil"/>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335,6</w:t>
            </w:r>
          </w:p>
        </w:tc>
        <w:tc>
          <w:tcPr>
            <w:tcW w:w="1199" w:type="dxa"/>
            <w:tcBorders>
              <w:top w:val="nil"/>
              <w:left w:val="nil"/>
              <w:bottom w:val="nil"/>
              <w:right w:val="nil"/>
            </w:tcBorders>
            <w:shd w:val="clear" w:color="auto" w:fill="auto"/>
            <w:noWrap/>
            <w:vAlign w:val="bottom"/>
          </w:tcPr>
          <w:p w:rsidR="00E863AA" w:rsidRDefault="00E863AA" w:rsidP="005D051A">
            <w:pPr>
              <w:jc w:val="right"/>
              <w:rPr>
                <w:color w:val="000000"/>
                <w:sz w:val="18"/>
                <w:szCs w:val="18"/>
              </w:rPr>
            </w:pP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50,5%</w:t>
            </w:r>
          </w:p>
        </w:tc>
      </w:tr>
      <w:tr w:rsidR="00E863AA" w:rsidRPr="00151757" w:rsidTr="005D051A">
        <w:trPr>
          <w:trHeight w:val="255"/>
        </w:trPr>
        <w:tc>
          <w:tcPr>
            <w:tcW w:w="4263" w:type="dxa"/>
            <w:tcBorders>
              <w:top w:val="nil"/>
              <w:left w:val="single" w:sz="8" w:space="0" w:color="auto"/>
              <w:bottom w:val="nil"/>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Резерв за неотложни и непредвидени разходи</w:t>
            </w:r>
          </w:p>
        </w:tc>
        <w:tc>
          <w:tcPr>
            <w:tcW w:w="992"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r>
              <w:rPr>
                <w:sz w:val="18"/>
                <w:szCs w:val="18"/>
              </w:rPr>
              <w:t>255,5</w:t>
            </w:r>
          </w:p>
        </w:tc>
        <w:tc>
          <w:tcPr>
            <w:tcW w:w="1087" w:type="dxa"/>
            <w:tcBorders>
              <w:top w:val="nil"/>
              <w:left w:val="nil"/>
              <w:bottom w:val="nil"/>
              <w:right w:val="nil"/>
            </w:tcBorders>
            <w:shd w:val="clear" w:color="auto" w:fill="auto"/>
            <w:noWrap/>
            <w:vAlign w:val="bottom"/>
            <w:hideMark/>
          </w:tcPr>
          <w:p w:rsidR="00E863AA" w:rsidRDefault="00E863AA" w:rsidP="005D051A">
            <w:pPr>
              <w:jc w:val="right"/>
              <w:rPr>
                <w:sz w:val="18"/>
                <w:szCs w:val="18"/>
              </w:rPr>
            </w:pPr>
          </w:p>
        </w:tc>
        <w:tc>
          <w:tcPr>
            <w:tcW w:w="1252" w:type="dxa"/>
            <w:tcBorders>
              <w:top w:val="nil"/>
              <w:left w:val="nil"/>
              <w:bottom w:val="nil"/>
              <w:right w:val="nil"/>
            </w:tcBorders>
            <w:shd w:val="clear" w:color="auto" w:fill="auto"/>
            <w:noWrap/>
            <w:vAlign w:val="bottom"/>
            <w:hideMark/>
          </w:tcPr>
          <w:p w:rsidR="00E863AA" w:rsidRDefault="00E863AA" w:rsidP="005D051A">
            <w:pPr>
              <w:rPr>
                <w:sz w:val="20"/>
                <w:szCs w:val="20"/>
              </w:rPr>
            </w:pPr>
          </w:p>
        </w:tc>
        <w:tc>
          <w:tcPr>
            <w:tcW w:w="1199" w:type="dxa"/>
            <w:tcBorders>
              <w:top w:val="nil"/>
              <w:left w:val="nil"/>
              <w:bottom w:val="nil"/>
              <w:right w:val="nil"/>
            </w:tcBorders>
            <w:shd w:val="clear" w:color="auto" w:fill="auto"/>
            <w:noWrap/>
            <w:vAlign w:val="bottom"/>
          </w:tcPr>
          <w:p w:rsidR="00E863AA" w:rsidRDefault="00E863AA" w:rsidP="005D051A">
            <w:pPr>
              <w:rPr>
                <w:sz w:val="20"/>
                <w:szCs w:val="20"/>
              </w:rPr>
            </w:pPr>
          </w:p>
        </w:tc>
        <w:tc>
          <w:tcPr>
            <w:tcW w:w="1300" w:type="dxa"/>
            <w:tcBorders>
              <w:top w:val="nil"/>
              <w:left w:val="nil"/>
              <w:bottom w:val="nil"/>
              <w:right w:val="single" w:sz="8" w:space="0" w:color="auto"/>
            </w:tcBorders>
            <w:shd w:val="clear" w:color="auto" w:fill="auto"/>
            <w:noWrap/>
            <w:vAlign w:val="bottom"/>
            <w:hideMark/>
          </w:tcPr>
          <w:p w:rsidR="00E863AA" w:rsidRDefault="00E863AA" w:rsidP="005D051A">
            <w:pPr>
              <w:rPr>
                <w:sz w:val="18"/>
                <w:szCs w:val="18"/>
              </w:rPr>
            </w:pPr>
            <w:r>
              <w:rPr>
                <w:sz w:val="18"/>
                <w:szCs w:val="18"/>
              </w:rPr>
              <w:t> </w:t>
            </w:r>
          </w:p>
        </w:tc>
      </w:tr>
      <w:tr w:rsidR="00E863AA" w:rsidRPr="00151757" w:rsidTr="005D051A">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E863AA" w:rsidRPr="00DA1FCF" w:rsidRDefault="00E863AA" w:rsidP="005D051A">
            <w:pPr>
              <w:rPr>
                <w:sz w:val="18"/>
                <w:szCs w:val="18"/>
              </w:rPr>
            </w:pPr>
            <w:r w:rsidRPr="00DA1FCF">
              <w:rPr>
                <w:sz w:val="18"/>
                <w:szCs w:val="18"/>
              </w:rPr>
              <w:t xml:space="preserve">  Вноска за общия бюджет на ЕС</w:t>
            </w:r>
          </w:p>
        </w:tc>
        <w:tc>
          <w:tcPr>
            <w:tcW w:w="992" w:type="dxa"/>
            <w:tcBorders>
              <w:top w:val="nil"/>
              <w:left w:val="nil"/>
              <w:bottom w:val="single" w:sz="4" w:space="0" w:color="auto"/>
              <w:right w:val="nil"/>
            </w:tcBorders>
            <w:shd w:val="clear" w:color="auto" w:fill="auto"/>
            <w:noWrap/>
            <w:vAlign w:val="bottom"/>
            <w:hideMark/>
          </w:tcPr>
          <w:p w:rsidR="00E863AA" w:rsidRDefault="00E863AA" w:rsidP="005D051A">
            <w:pPr>
              <w:jc w:val="right"/>
              <w:rPr>
                <w:sz w:val="18"/>
                <w:szCs w:val="18"/>
              </w:rPr>
            </w:pPr>
            <w:r>
              <w:rPr>
                <w:sz w:val="18"/>
                <w:szCs w:val="18"/>
              </w:rPr>
              <w:t>1 683,3</w:t>
            </w:r>
          </w:p>
        </w:tc>
        <w:tc>
          <w:tcPr>
            <w:tcW w:w="1087" w:type="dxa"/>
            <w:tcBorders>
              <w:top w:val="nil"/>
              <w:left w:val="nil"/>
              <w:bottom w:val="single" w:sz="4" w:space="0" w:color="auto"/>
              <w:right w:val="nil"/>
            </w:tcBorders>
            <w:shd w:val="clear" w:color="auto" w:fill="auto"/>
            <w:noWrap/>
            <w:vAlign w:val="bottom"/>
            <w:hideMark/>
          </w:tcPr>
          <w:p w:rsidR="00E863AA" w:rsidRDefault="00E863AA" w:rsidP="005D051A">
            <w:pPr>
              <w:jc w:val="right"/>
              <w:rPr>
                <w:sz w:val="18"/>
                <w:szCs w:val="18"/>
              </w:rPr>
            </w:pPr>
            <w:r>
              <w:rPr>
                <w:sz w:val="18"/>
                <w:szCs w:val="18"/>
              </w:rPr>
              <w:t>401,8</w:t>
            </w:r>
          </w:p>
        </w:tc>
        <w:tc>
          <w:tcPr>
            <w:tcW w:w="1252" w:type="dxa"/>
            <w:tcBorders>
              <w:top w:val="nil"/>
              <w:left w:val="nil"/>
              <w:bottom w:val="single" w:sz="4" w:space="0" w:color="auto"/>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401,8</w:t>
            </w:r>
          </w:p>
        </w:tc>
        <w:tc>
          <w:tcPr>
            <w:tcW w:w="1199" w:type="dxa"/>
            <w:tcBorders>
              <w:top w:val="nil"/>
              <w:left w:val="nil"/>
              <w:bottom w:val="single" w:sz="4" w:space="0" w:color="auto"/>
              <w:right w:val="nil"/>
            </w:tcBorders>
            <w:shd w:val="clear" w:color="auto" w:fill="auto"/>
            <w:noWrap/>
            <w:vAlign w:val="bottom"/>
          </w:tcPr>
          <w:p w:rsidR="00E863AA" w:rsidRDefault="00E863AA" w:rsidP="005D051A">
            <w:pPr>
              <w:jc w:val="right"/>
              <w:rPr>
                <w:color w:val="000000"/>
                <w:sz w:val="18"/>
                <w:szCs w:val="18"/>
              </w:rPr>
            </w:pPr>
          </w:p>
        </w:tc>
        <w:tc>
          <w:tcPr>
            <w:tcW w:w="1300" w:type="dxa"/>
            <w:tcBorders>
              <w:top w:val="nil"/>
              <w:left w:val="nil"/>
              <w:bottom w:val="single" w:sz="4" w:space="0" w:color="auto"/>
              <w:right w:val="single" w:sz="8" w:space="0" w:color="auto"/>
            </w:tcBorders>
            <w:shd w:val="clear" w:color="auto" w:fill="auto"/>
            <w:noWrap/>
            <w:vAlign w:val="bottom"/>
            <w:hideMark/>
          </w:tcPr>
          <w:p w:rsidR="00E863AA" w:rsidRDefault="00E863AA" w:rsidP="005D051A">
            <w:pPr>
              <w:jc w:val="right"/>
              <w:rPr>
                <w:sz w:val="18"/>
                <w:szCs w:val="18"/>
              </w:rPr>
            </w:pPr>
            <w:r>
              <w:rPr>
                <w:sz w:val="18"/>
                <w:szCs w:val="18"/>
              </w:rPr>
              <w:t>23,9%</w:t>
            </w:r>
          </w:p>
        </w:tc>
      </w:tr>
      <w:tr w:rsidR="00E863AA" w:rsidRPr="00151757" w:rsidTr="005D051A">
        <w:trPr>
          <w:trHeight w:val="255"/>
        </w:trPr>
        <w:tc>
          <w:tcPr>
            <w:tcW w:w="4263" w:type="dxa"/>
            <w:tcBorders>
              <w:top w:val="nil"/>
              <w:left w:val="single" w:sz="8" w:space="0" w:color="auto"/>
              <w:bottom w:val="single" w:sz="4" w:space="0" w:color="auto"/>
              <w:right w:val="nil"/>
            </w:tcBorders>
            <w:shd w:val="clear" w:color="auto" w:fill="auto"/>
            <w:noWrap/>
            <w:vAlign w:val="bottom"/>
            <w:hideMark/>
          </w:tcPr>
          <w:p w:rsidR="00E863AA" w:rsidRPr="00DA1FCF" w:rsidRDefault="00E863AA" w:rsidP="005D051A">
            <w:pPr>
              <w:rPr>
                <w:sz w:val="18"/>
                <w:szCs w:val="18"/>
              </w:rPr>
            </w:pPr>
            <w:r w:rsidRPr="00DA1FCF">
              <w:rPr>
                <w:sz w:val="18"/>
                <w:szCs w:val="18"/>
              </w:rPr>
              <w:t>Трансфери</w:t>
            </w:r>
            <w:r w:rsidRPr="00DA1FCF">
              <w:rPr>
                <w:sz w:val="18"/>
                <w:szCs w:val="18"/>
                <w:lang w:val="en-US"/>
              </w:rPr>
              <w:t xml:space="preserve"> </w:t>
            </w:r>
            <w:r w:rsidRPr="00DA1FCF">
              <w:rPr>
                <w:sz w:val="18"/>
                <w:szCs w:val="18"/>
              </w:rPr>
              <w:t>-</w:t>
            </w:r>
            <w:r w:rsidRPr="00DA1FCF">
              <w:rPr>
                <w:sz w:val="18"/>
                <w:szCs w:val="18"/>
                <w:lang w:val="en-US"/>
              </w:rPr>
              <w:t xml:space="preserve"> </w:t>
            </w:r>
            <w:r w:rsidRPr="00DA1FCF">
              <w:rPr>
                <w:sz w:val="18"/>
                <w:szCs w:val="18"/>
              </w:rPr>
              <w:t>нето</w:t>
            </w:r>
          </w:p>
        </w:tc>
        <w:tc>
          <w:tcPr>
            <w:tcW w:w="992" w:type="dxa"/>
            <w:tcBorders>
              <w:top w:val="nil"/>
              <w:left w:val="nil"/>
              <w:bottom w:val="single" w:sz="4" w:space="0" w:color="auto"/>
              <w:right w:val="nil"/>
            </w:tcBorders>
            <w:shd w:val="clear" w:color="auto" w:fill="auto"/>
            <w:noWrap/>
            <w:vAlign w:val="bottom"/>
            <w:hideMark/>
          </w:tcPr>
          <w:p w:rsidR="00E863AA" w:rsidRPr="00151757" w:rsidRDefault="00E863AA" w:rsidP="005D051A">
            <w:pPr>
              <w:rPr>
                <w:color w:val="548DD4" w:themeColor="text2" w:themeTint="99"/>
                <w:sz w:val="18"/>
                <w:szCs w:val="18"/>
              </w:rPr>
            </w:pPr>
            <w:r w:rsidRPr="00151757">
              <w:rPr>
                <w:color w:val="548DD4" w:themeColor="text2" w:themeTint="99"/>
                <w:sz w:val="18"/>
                <w:szCs w:val="18"/>
              </w:rPr>
              <w:t> </w:t>
            </w:r>
          </w:p>
        </w:tc>
        <w:tc>
          <w:tcPr>
            <w:tcW w:w="1087" w:type="dxa"/>
            <w:tcBorders>
              <w:top w:val="nil"/>
              <w:left w:val="nil"/>
              <w:bottom w:val="single" w:sz="4" w:space="0" w:color="auto"/>
              <w:right w:val="nil"/>
            </w:tcBorders>
            <w:shd w:val="clear" w:color="auto" w:fill="auto"/>
            <w:noWrap/>
            <w:vAlign w:val="bottom"/>
            <w:hideMark/>
          </w:tcPr>
          <w:p w:rsidR="00E863AA" w:rsidRPr="00151757" w:rsidRDefault="00E863AA" w:rsidP="005D051A">
            <w:pPr>
              <w:rPr>
                <w:color w:val="548DD4" w:themeColor="text2" w:themeTint="99"/>
                <w:sz w:val="18"/>
                <w:szCs w:val="18"/>
              </w:rPr>
            </w:pPr>
            <w:r w:rsidRPr="00151757">
              <w:rPr>
                <w:color w:val="548DD4" w:themeColor="text2" w:themeTint="99"/>
                <w:sz w:val="18"/>
                <w:szCs w:val="18"/>
              </w:rPr>
              <w:t> </w:t>
            </w:r>
          </w:p>
        </w:tc>
        <w:tc>
          <w:tcPr>
            <w:tcW w:w="1252" w:type="dxa"/>
            <w:tcBorders>
              <w:top w:val="nil"/>
              <w:left w:val="nil"/>
              <w:bottom w:val="single" w:sz="4" w:space="0" w:color="auto"/>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-142,0</w:t>
            </w:r>
          </w:p>
        </w:tc>
        <w:tc>
          <w:tcPr>
            <w:tcW w:w="1199" w:type="dxa"/>
            <w:tcBorders>
              <w:top w:val="nil"/>
              <w:left w:val="nil"/>
              <w:bottom w:val="single" w:sz="4" w:space="0" w:color="auto"/>
              <w:right w:val="nil"/>
            </w:tcBorders>
            <w:shd w:val="clear" w:color="auto" w:fill="auto"/>
            <w:noWrap/>
            <w:vAlign w:val="bottom"/>
            <w:hideMark/>
          </w:tcPr>
          <w:p w:rsidR="00E863AA" w:rsidRDefault="00E863AA" w:rsidP="005D051A">
            <w:pPr>
              <w:jc w:val="right"/>
              <w:rPr>
                <w:color w:val="000000"/>
                <w:sz w:val="18"/>
                <w:szCs w:val="18"/>
              </w:rPr>
            </w:pPr>
            <w:r>
              <w:rPr>
                <w:color w:val="000000"/>
                <w:sz w:val="18"/>
                <w:szCs w:val="18"/>
              </w:rPr>
              <w:t>142,0</w:t>
            </w:r>
          </w:p>
        </w:tc>
        <w:tc>
          <w:tcPr>
            <w:tcW w:w="1300" w:type="dxa"/>
            <w:tcBorders>
              <w:top w:val="nil"/>
              <w:left w:val="nil"/>
              <w:bottom w:val="single" w:sz="4" w:space="0" w:color="auto"/>
              <w:right w:val="single" w:sz="8" w:space="0" w:color="auto"/>
            </w:tcBorders>
            <w:shd w:val="clear" w:color="auto" w:fill="auto"/>
            <w:noWrap/>
            <w:vAlign w:val="bottom"/>
            <w:hideMark/>
          </w:tcPr>
          <w:p w:rsidR="00E863AA" w:rsidRPr="00151757" w:rsidRDefault="00E863AA" w:rsidP="005D051A">
            <w:pPr>
              <w:rPr>
                <w:color w:val="548DD4" w:themeColor="text2" w:themeTint="99"/>
                <w:sz w:val="18"/>
                <w:szCs w:val="18"/>
              </w:rPr>
            </w:pPr>
            <w:r w:rsidRPr="00151757">
              <w:rPr>
                <w:color w:val="548DD4" w:themeColor="text2" w:themeTint="99"/>
                <w:sz w:val="18"/>
                <w:szCs w:val="18"/>
              </w:rPr>
              <w:t> </w:t>
            </w:r>
          </w:p>
        </w:tc>
      </w:tr>
      <w:tr w:rsidR="00E863AA" w:rsidRPr="00151757" w:rsidTr="005D051A">
        <w:trPr>
          <w:trHeight w:val="270"/>
        </w:trPr>
        <w:tc>
          <w:tcPr>
            <w:tcW w:w="4263" w:type="dxa"/>
            <w:tcBorders>
              <w:top w:val="nil"/>
              <w:left w:val="single" w:sz="8" w:space="0" w:color="auto"/>
              <w:bottom w:val="single" w:sz="8" w:space="0" w:color="auto"/>
              <w:right w:val="nil"/>
            </w:tcBorders>
            <w:shd w:val="clear" w:color="000000" w:fill="D9D9D9"/>
            <w:noWrap/>
            <w:vAlign w:val="bottom"/>
            <w:hideMark/>
          </w:tcPr>
          <w:p w:rsidR="00E863AA" w:rsidRPr="00DA1FCF" w:rsidRDefault="00E863AA" w:rsidP="005D051A">
            <w:pPr>
              <w:rPr>
                <w:b/>
                <w:bCs/>
                <w:sz w:val="18"/>
                <w:szCs w:val="18"/>
              </w:rPr>
            </w:pPr>
            <w:r w:rsidRPr="00DA1FCF">
              <w:rPr>
                <w:b/>
                <w:bCs/>
                <w:sz w:val="18"/>
                <w:szCs w:val="18"/>
              </w:rPr>
              <w:t>БЮДЖЕТНО САЛДО</w:t>
            </w:r>
          </w:p>
        </w:tc>
        <w:tc>
          <w:tcPr>
            <w:tcW w:w="992" w:type="dxa"/>
            <w:tcBorders>
              <w:top w:val="nil"/>
              <w:left w:val="nil"/>
              <w:bottom w:val="single" w:sz="8" w:space="0" w:color="auto"/>
              <w:right w:val="nil"/>
            </w:tcBorders>
            <w:shd w:val="clear" w:color="auto" w:fill="auto"/>
            <w:noWrap/>
            <w:vAlign w:val="bottom"/>
            <w:hideMark/>
          </w:tcPr>
          <w:p w:rsidR="00E863AA" w:rsidRDefault="00E863AA" w:rsidP="005D051A">
            <w:pPr>
              <w:jc w:val="right"/>
              <w:rPr>
                <w:b/>
                <w:bCs/>
                <w:sz w:val="18"/>
                <w:szCs w:val="18"/>
              </w:rPr>
            </w:pPr>
            <w:r>
              <w:rPr>
                <w:b/>
                <w:bCs/>
                <w:sz w:val="18"/>
                <w:szCs w:val="18"/>
              </w:rPr>
              <w:t>-5 900,3</w:t>
            </w:r>
          </w:p>
        </w:tc>
        <w:tc>
          <w:tcPr>
            <w:tcW w:w="1087" w:type="dxa"/>
            <w:tcBorders>
              <w:top w:val="nil"/>
              <w:left w:val="nil"/>
              <w:bottom w:val="single" w:sz="8" w:space="0" w:color="auto"/>
              <w:right w:val="nil"/>
            </w:tcBorders>
            <w:shd w:val="clear" w:color="auto" w:fill="auto"/>
            <w:noWrap/>
            <w:vAlign w:val="bottom"/>
            <w:hideMark/>
          </w:tcPr>
          <w:p w:rsidR="00E863AA" w:rsidRDefault="00E863AA" w:rsidP="005D051A">
            <w:pPr>
              <w:jc w:val="right"/>
              <w:rPr>
                <w:b/>
                <w:bCs/>
                <w:sz w:val="18"/>
                <w:szCs w:val="18"/>
              </w:rPr>
            </w:pPr>
            <w:r>
              <w:rPr>
                <w:b/>
                <w:bCs/>
                <w:sz w:val="18"/>
                <w:szCs w:val="18"/>
              </w:rPr>
              <w:t>298,0</w:t>
            </w:r>
          </w:p>
        </w:tc>
        <w:tc>
          <w:tcPr>
            <w:tcW w:w="1252" w:type="dxa"/>
            <w:tcBorders>
              <w:top w:val="nil"/>
              <w:left w:val="nil"/>
              <w:bottom w:val="single" w:sz="8" w:space="0" w:color="auto"/>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344,7</w:t>
            </w:r>
          </w:p>
        </w:tc>
        <w:tc>
          <w:tcPr>
            <w:tcW w:w="1199" w:type="dxa"/>
            <w:tcBorders>
              <w:top w:val="nil"/>
              <w:left w:val="nil"/>
              <w:bottom w:val="single" w:sz="8" w:space="0" w:color="auto"/>
              <w:right w:val="nil"/>
            </w:tcBorders>
            <w:shd w:val="clear" w:color="auto" w:fill="auto"/>
            <w:noWrap/>
            <w:vAlign w:val="bottom"/>
            <w:hideMark/>
          </w:tcPr>
          <w:p w:rsidR="00E863AA" w:rsidRDefault="00E863AA" w:rsidP="005D051A">
            <w:pPr>
              <w:jc w:val="right"/>
              <w:rPr>
                <w:b/>
                <w:bCs/>
                <w:color w:val="000000"/>
                <w:sz w:val="18"/>
                <w:szCs w:val="18"/>
              </w:rPr>
            </w:pPr>
            <w:r>
              <w:rPr>
                <w:b/>
                <w:bCs/>
                <w:color w:val="000000"/>
                <w:sz w:val="18"/>
                <w:szCs w:val="18"/>
              </w:rPr>
              <w:t>-46,7</w:t>
            </w:r>
          </w:p>
        </w:tc>
        <w:tc>
          <w:tcPr>
            <w:tcW w:w="1300" w:type="dxa"/>
            <w:tcBorders>
              <w:top w:val="nil"/>
              <w:left w:val="nil"/>
              <w:bottom w:val="single" w:sz="8" w:space="0" w:color="auto"/>
              <w:right w:val="single" w:sz="8" w:space="0" w:color="auto"/>
            </w:tcBorders>
            <w:shd w:val="clear" w:color="auto" w:fill="auto"/>
            <w:noWrap/>
            <w:vAlign w:val="bottom"/>
            <w:hideMark/>
          </w:tcPr>
          <w:p w:rsidR="00E863AA" w:rsidRDefault="00E863AA" w:rsidP="005D051A">
            <w:pPr>
              <w:rPr>
                <w:b/>
                <w:bCs/>
                <w:sz w:val="18"/>
                <w:szCs w:val="18"/>
              </w:rPr>
            </w:pPr>
            <w:r>
              <w:rPr>
                <w:b/>
                <w:bCs/>
                <w:sz w:val="18"/>
                <w:szCs w:val="18"/>
              </w:rPr>
              <w:t> </w:t>
            </w:r>
          </w:p>
        </w:tc>
      </w:tr>
    </w:tbl>
    <w:p w:rsidR="00E863AA" w:rsidRPr="00151757" w:rsidRDefault="00E863AA" w:rsidP="00E863AA">
      <w:pPr>
        <w:ind w:left="360"/>
        <w:jc w:val="both"/>
        <w:rPr>
          <w:color w:val="548DD4" w:themeColor="text2" w:themeTint="99"/>
          <w:sz w:val="22"/>
        </w:rPr>
      </w:pPr>
    </w:p>
    <w:p w:rsidR="00E863AA" w:rsidRPr="00151757" w:rsidRDefault="00E863AA" w:rsidP="00E863AA">
      <w:pPr>
        <w:numPr>
          <w:ilvl w:val="1"/>
          <w:numId w:val="11"/>
        </w:numPr>
        <w:tabs>
          <w:tab w:val="num" w:pos="426"/>
        </w:tabs>
        <w:ind w:left="0" w:firstLine="0"/>
        <w:jc w:val="both"/>
        <w:rPr>
          <w:rFonts w:eastAsia="Calibri"/>
          <w:color w:val="548DD4" w:themeColor="text2" w:themeTint="99"/>
        </w:rPr>
      </w:pPr>
      <w:r w:rsidRPr="006748BD">
        <w:rPr>
          <w:b/>
        </w:rPr>
        <w:t>Приходите, помощите и даренията по консолидираната фискална програма</w:t>
      </w:r>
      <w:r w:rsidRPr="006748BD">
        <w:t xml:space="preserve"> (КФП) за</w:t>
      </w:r>
      <w:r w:rsidRPr="006748BD">
        <w:rPr>
          <w:b/>
        </w:rPr>
        <w:t xml:space="preserve"> </w:t>
      </w:r>
      <w:r w:rsidRPr="006748BD">
        <w:t xml:space="preserve">първото тримесечие на 2022 г. са в размер на </w:t>
      </w:r>
      <w:r w:rsidRPr="006748BD">
        <w:rPr>
          <w:b/>
          <w:bCs/>
        </w:rPr>
        <w:t>12 382,7 </w:t>
      </w:r>
      <w:r w:rsidRPr="006748BD">
        <w:rPr>
          <w:b/>
        </w:rPr>
        <w:t>млн. лв.,</w:t>
      </w:r>
      <w:r w:rsidRPr="006748BD">
        <w:t xml:space="preserve"> което представлява 21,6 % от годишните разчети към ЗДБРБ за 2022 г. </w:t>
      </w:r>
      <w:r w:rsidRPr="00E725B3">
        <w:rPr>
          <w:rFonts w:eastAsia="Calibri"/>
        </w:rPr>
        <w:t>Постъпленията нарастват с 1 032,3 млн. лв. (9,1</w:t>
      </w:r>
      <w:r>
        <w:rPr>
          <w:rFonts w:eastAsia="Calibri"/>
        </w:rPr>
        <w:t> </w:t>
      </w:r>
      <w:r w:rsidRPr="00E725B3">
        <w:rPr>
          <w:rFonts w:eastAsia="Calibri"/>
        </w:rPr>
        <w:t>%) спрямо отчетените към март 2021 г. Данъчните и неданъчните приходи по КФП нарастват номинално с 1 255,2 млн. лв., докато постъпленията в частта на помощите и даренията (основно грантове по програмите и фондовете на ЕС) намаляват с 222,9 млн. лв. спрямо отчетените за същия период на предходната година</w:t>
      </w:r>
      <w:r w:rsidRPr="00151757">
        <w:rPr>
          <w:rFonts w:eastAsia="Calibri"/>
          <w:color w:val="548DD4" w:themeColor="text2" w:themeTint="99"/>
        </w:rPr>
        <w:t>.</w:t>
      </w:r>
    </w:p>
    <w:p w:rsidR="00E863AA" w:rsidRPr="00151757" w:rsidRDefault="00E863AA" w:rsidP="00E863AA">
      <w:pPr>
        <w:spacing w:before="120"/>
        <w:jc w:val="both"/>
        <w:rPr>
          <w:color w:val="548DD4" w:themeColor="text2" w:themeTint="99"/>
        </w:rPr>
      </w:pPr>
      <w:r w:rsidRPr="00CE5438">
        <w:t>Общата сума</w:t>
      </w:r>
      <w:r w:rsidRPr="00CE5438">
        <w:rPr>
          <w:b/>
        </w:rPr>
        <w:t xml:space="preserve"> </w:t>
      </w:r>
      <w:r w:rsidRPr="00CE5438">
        <w:t>на</w:t>
      </w:r>
      <w:r w:rsidRPr="00CE5438">
        <w:rPr>
          <w:b/>
        </w:rPr>
        <w:t xml:space="preserve"> </w:t>
      </w:r>
      <w:r w:rsidRPr="00CE5438">
        <w:rPr>
          <w:b/>
          <w:i/>
        </w:rPr>
        <w:t>данъчните постъпления</w:t>
      </w:r>
      <w:r w:rsidRPr="00CE5438">
        <w:t xml:space="preserve"> (вкл. приходите от осигурителни вноски) са в размер на </w:t>
      </w:r>
      <w:r w:rsidRPr="00CE5438">
        <w:rPr>
          <w:b/>
          <w:i/>
        </w:rPr>
        <w:t>9 875,0 млн. лв</w:t>
      </w:r>
      <w:r w:rsidRPr="00CE5438">
        <w:rPr>
          <w:i/>
        </w:rPr>
        <w:t>.</w:t>
      </w:r>
      <w:r w:rsidRPr="00CE5438">
        <w:t xml:space="preserve">, което представлява 79,7 % от общите постъпления по КФП за периода. Постъпленията в групата представляват 21,9 % от разчета за годината и нарастват номинално с 1 044,1 млн. лв. (11,8 %) спрямо отчетените към март 2021 година. </w:t>
      </w:r>
    </w:p>
    <w:p w:rsidR="00E863AA" w:rsidRPr="00E32AFF" w:rsidRDefault="00E863AA" w:rsidP="00E863AA">
      <w:pPr>
        <w:spacing w:before="120"/>
        <w:jc w:val="both"/>
      </w:pPr>
      <w:r w:rsidRPr="00933699">
        <w:t xml:space="preserve">Приходите в частта на </w:t>
      </w:r>
      <w:r w:rsidRPr="00933699">
        <w:rPr>
          <w:i/>
        </w:rPr>
        <w:t xml:space="preserve">преките данъци </w:t>
      </w:r>
      <w:r w:rsidRPr="00933699">
        <w:t xml:space="preserve">възлизат на 1 247,4 млн. лв., което представлява 13,6 % от разчета за </w:t>
      </w:r>
      <w:r w:rsidRPr="001406B4">
        <w:t>2022 г. Съпоставени със същия период на 2021 г., преките данъци намаляват с 1,3 % (15,9 млн. лв.).</w:t>
      </w:r>
      <w:r w:rsidRPr="001406B4">
        <w:rPr>
          <w:rFonts w:ascii="Arial" w:hAnsi="Arial" w:cs="Arial"/>
        </w:rPr>
        <w:t xml:space="preserve"> </w:t>
      </w:r>
      <w:r w:rsidRPr="0023402F">
        <w:t xml:space="preserve">Приходите от </w:t>
      </w:r>
      <w:r w:rsidRPr="0023402F">
        <w:rPr>
          <w:i/>
        </w:rPr>
        <w:t>косвени данъци</w:t>
      </w:r>
      <w:r w:rsidRPr="0023402F">
        <w:t xml:space="preserve"> са в размер на 5 188,3 млн. лв., което представлява 24,6 % от годишния разчет. Съпоставени с първото тримесечие на </w:t>
      </w:r>
      <w:r w:rsidRPr="007E3820">
        <w:t xml:space="preserve">2021 г., косвените данъци  отчитат увеличение от 17,8 % (785,6 млн. лв.). Постъпленията от </w:t>
      </w:r>
      <w:r w:rsidRPr="007E3820">
        <w:rPr>
          <w:i/>
        </w:rPr>
        <w:t>други данъци</w:t>
      </w:r>
      <w:r w:rsidRPr="007E3820">
        <w:t xml:space="preserve"> (включват други данъци по ЗКПО, имуществени данъци и др.) са 388,8 млн. лв., което представлява 28,2 % от разчетите към ЗДБРБ за 2022 г. и сравнени със същия период на </w:t>
      </w:r>
      <w:r w:rsidRPr="00E32AFF">
        <w:t xml:space="preserve">2021 г. нарастват с 15,5 % (52,3 млн. лв.). Приходите от </w:t>
      </w:r>
      <w:proofErr w:type="spellStart"/>
      <w:r w:rsidRPr="00E32AFF">
        <w:rPr>
          <w:b/>
          <w:i/>
        </w:rPr>
        <w:t>социалноосигурителни</w:t>
      </w:r>
      <w:proofErr w:type="spellEnd"/>
      <w:r w:rsidRPr="00E32AFF">
        <w:rPr>
          <w:b/>
          <w:i/>
        </w:rPr>
        <w:t xml:space="preserve"> и здравни вноски</w:t>
      </w:r>
      <w:r w:rsidRPr="00E32AFF">
        <w:rPr>
          <w:b/>
        </w:rPr>
        <w:t xml:space="preserve"> </w:t>
      </w:r>
      <w:r w:rsidRPr="00E32AFF">
        <w:t xml:space="preserve">към 31.03.2022 г. са в размер на 3 050,5 млн. лв. или 22,8 % от планираните за годината, като спрямо същия период на предходната година нарастват с 222,2 млн. лева. (7,9 %). </w:t>
      </w:r>
    </w:p>
    <w:p w:rsidR="00E863AA" w:rsidRPr="00151757" w:rsidRDefault="00E863AA" w:rsidP="00E863AA">
      <w:pPr>
        <w:spacing w:before="120"/>
        <w:jc w:val="both"/>
        <w:rPr>
          <w:color w:val="548DD4" w:themeColor="text2" w:themeTint="99"/>
        </w:rPr>
      </w:pPr>
      <w:r w:rsidRPr="00146E2B">
        <w:rPr>
          <w:b/>
          <w:bCs/>
          <w:i/>
          <w:iCs/>
        </w:rPr>
        <w:lastRenderedPageBreak/>
        <w:t>Неданъчните приходи</w:t>
      </w:r>
      <w:r w:rsidRPr="00146E2B">
        <w:rPr>
          <w:b/>
          <w:bCs/>
          <w:iCs/>
        </w:rPr>
        <w:t xml:space="preserve"> </w:t>
      </w:r>
      <w:r w:rsidRPr="00146E2B">
        <w:t xml:space="preserve">са в размер на </w:t>
      </w:r>
      <w:r w:rsidRPr="00146E2B">
        <w:rPr>
          <w:b/>
          <w:i/>
        </w:rPr>
        <w:t xml:space="preserve">2 026,8 </w:t>
      </w:r>
      <w:r w:rsidRPr="00146E2B">
        <w:rPr>
          <w:b/>
          <w:bCs/>
          <w:i/>
        </w:rPr>
        <w:t>млн. лв.,</w:t>
      </w:r>
      <w:r w:rsidRPr="00146E2B">
        <w:rPr>
          <w:b/>
          <w:i/>
        </w:rPr>
        <w:t xml:space="preserve"> </w:t>
      </w:r>
      <w:r w:rsidRPr="00146E2B">
        <w:t>което представлява</w:t>
      </w:r>
      <w:r w:rsidRPr="00146E2B">
        <w:rPr>
          <w:i/>
        </w:rPr>
        <w:t xml:space="preserve"> </w:t>
      </w:r>
      <w:r w:rsidRPr="00146E2B">
        <w:t>28,5 %</w:t>
      </w:r>
      <w:r w:rsidRPr="00146E2B">
        <w:rPr>
          <w:b/>
          <w:i/>
        </w:rPr>
        <w:t xml:space="preserve"> </w:t>
      </w:r>
      <w:r w:rsidRPr="00146E2B">
        <w:t>от</w:t>
      </w:r>
      <w:r w:rsidRPr="00146E2B">
        <w:rPr>
          <w:b/>
          <w:i/>
        </w:rPr>
        <w:t xml:space="preserve"> </w:t>
      </w:r>
      <w:r w:rsidRPr="00146E2B">
        <w:t>годишните разчети</w:t>
      </w:r>
      <w:r w:rsidRPr="00146E2B">
        <w:rPr>
          <w:rFonts w:eastAsia="Calibri"/>
          <w:bCs/>
        </w:rPr>
        <w:t xml:space="preserve"> и се формират основно от приходи от държавни, общински и съдебни такси, приходи и доходи от собственост, приходи от концесии, приходи от продажба на квоти за емисии на парникови газове и други</w:t>
      </w:r>
      <w:r w:rsidRPr="00151757">
        <w:rPr>
          <w:color w:val="548DD4" w:themeColor="text2" w:themeTint="99"/>
        </w:rPr>
        <w:t xml:space="preserve">. </w:t>
      </w:r>
    </w:p>
    <w:p w:rsidR="00E863AA" w:rsidRPr="00573C17" w:rsidRDefault="00E863AA" w:rsidP="00E863AA">
      <w:pPr>
        <w:spacing w:before="120" w:after="120"/>
        <w:jc w:val="both"/>
      </w:pPr>
      <w:r w:rsidRPr="00573C17">
        <w:t xml:space="preserve">Постъпленията от </w:t>
      </w:r>
      <w:r w:rsidRPr="00573C17">
        <w:rPr>
          <w:b/>
          <w:i/>
        </w:rPr>
        <w:t>помощи</w:t>
      </w:r>
      <w:r w:rsidRPr="00573C17">
        <w:t xml:space="preserve"> </w:t>
      </w:r>
      <w:r w:rsidRPr="00573C17">
        <w:rPr>
          <w:b/>
          <w:i/>
        </w:rPr>
        <w:t xml:space="preserve">и дарения </w:t>
      </w:r>
      <w:r w:rsidRPr="00573C17">
        <w:t xml:space="preserve">от страната и чужбина (основно помощи от фондовете на ЕС) към март 2022 г. са в размер на </w:t>
      </w:r>
      <w:r w:rsidRPr="00573C17">
        <w:rPr>
          <w:b/>
        </w:rPr>
        <w:t>480,9 млн. л</w:t>
      </w:r>
      <w:r>
        <w:rPr>
          <w:b/>
        </w:rPr>
        <w:t>е</w:t>
      </w:r>
      <w:r w:rsidRPr="00573C17">
        <w:rPr>
          <w:b/>
        </w:rPr>
        <w:t>в</w:t>
      </w:r>
      <w:r>
        <w:rPr>
          <w:b/>
        </w:rPr>
        <w:t>а</w:t>
      </w:r>
      <w:r w:rsidRPr="00573C17">
        <w:rPr>
          <w:b/>
        </w:rPr>
        <w:t>.</w:t>
      </w:r>
      <w:r w:rsidRPr="00573C17">
        <w:t xml:space="preserve"> </w:t>
      </w:r>
    </w:p>
    <w:p w:rsidR="00E863AA" w:rsidRPr="00151757" w:rsidRDefault="00E863AA" w:rsidP="00E863AA">
      <w:pPr>
        <w:spacing w:after="120"/>
        <w:jc w:val="both"/>
        <w:rPr>
          <w:rFonts w:eastAsia="Calibri"/>
          <w:color w:val="548DD4" w:themeColor="text2" w:themeTint="99"/>
        </w:rPr>
      </w:pPr>
      <w:r w:rsidRPr="00CA66E3">
        <w:rPr>
          <w:rFonts w:eastAsia="Calibri"/>
          <w:b/>
        </w:rPr>
        <w:t>Разходите</w:t>
      </w:r>
      <w:r w:rsidRPr="00CA66E3">
        <w:rPr>
          <w:rFonts w:eastAsia="Calibri"/>
        </w:rPr>
        <w:t xml:space="preserve"> по КФП (вкл. вноската на Република България в бюджета на ЕС) </w:t>
      </w:r>
      <w:r w:rsidR="00DD64A2" w:rsidRPr="003A41A4">
        <w:rPr>
          <w:rFonts w:eastAsia="Calibri"/>
        </w:rPr>
        <w:t>за първо тримесечие на</w:t>
      </w:r>
      <w:r w:rsidR="00DD64A2" w:rsidRPr="00CA66E3">
        <w:rPr>
          <w:rFonts w:eastAsia="Calibri"/>
        </w:rPr>
        <w:t xml:space="preserve"> </w:t>
      </w:r>
      <w:r w:rsidRPr="00CA66E3">
        <w:rPr>
          <w:rFonts w:eastAsia="Calibri"/>
        </w:rPr>
        <w:t xml:space="preserve">2022 г. възлизат на </w:t>
      </w:r>
      <w:r w:rsidRPr="00CA66E3">
        <w:rPr>
          <w:rFonts w:eastAsia="Calibri"/>
          <w:b/>
        </w:rPr>
        <w:t xml:space="preserve">12 084,7  млн. лв., </w:t>
      </w:r>
      <w:r w:rsidRPr="00CA66E3">
        <w:rPr>
          <w:rFonts w:eastAsia="Calibri"/>
        </w:rPr>
        <w:t>което е 19,1 % от годишните разчети.</w:t>
      </w:r>
      <w:r w:rsidRPr="00CA66E3">
        <w:rPr>
          <w:rFonts w:eastAsia="Calibri"/>
          <w:b/>
        </w:rPr>
        <w:t xml:space="preserve"> </w:t>
      </w:r>
      <w:r w:rsidRPr="00CA66E3">
        <w:rPr>
          <w:rFonts w:eastAsia="Calibri"/>
        </w:rPr>
        <w:t>За сравнение разходите по КФП към март 2021 г. бяха в размер на 11 976,3 млн. лева</w:t>
      </w:r>
      <w:r w:rsidRPr="00151757">
        <w:rPr>
          <w:rFonts w:eastAsia="Calibri"/>
          <w:color w:val="548DD4" w:themeColor="text2" w:themeTint="99"/>
        </w:rPr>
        <w:t>.</w:t>
      </w:r>
    </w:p>
    <w:p w:rsidR="00E863AA" w:rsidRPr="00151757" w:rsidRDefault="00E863AA" w:rsidP="00E863AA">
      <w:pPr>
        <w:spacing w:before="240" w:after="120"/>
        <w:jc w:val="both"/>
        <w:rPr>
          <w:color w:val="548DD4" w:themeColor="text2" w:themeTint="99"/>
        </w:rPr>
      </w:pPr>
      <w:r w:rsidRPr="00FE0C5E">
        <w:rPr>
          <w:b/>
          <w:i/>
        </w:rPr>
        <w:t>Нелихвените разходи</w:t>
      </w:r>
      <w:r w:rsidRPr="00FE0C5E">
        <w:t xml:space="preserve"> към март 2022 г. са в размер на 11</w:t>
      </w:r>
      <w:r>
        <w:t> 347,3</w:t>
      </w:r>
      <w:r w:rsidRPr="00FE0C5E">
        <w:t xml:space="preserve"> млн. лв.</w:t>
      </w:r>
      <w:r w:rsidRPr="00FE0C5E">
        <w:rPr>
          <w:rFonts w:eastAsia="Calibri"/>
          <w:bCs/>
        </w:rPr>
        <w:t xml:space="preserve">, </w:t>
      </w:r>
      <w:r w:rsidRPr="00FE0C5E">
        <w:t>което представлява 18,7 % от годишния разчет</w:t>
      </w:r>
      <w:r w:rsidRPr="00FE0C5E">
        <w:rPr>
          <w:rFonts w:eastAsia="Calibri"/>
          <w:bCs/>
        </w:rPr>
        <w:t>.</w:t>
      </w:r>
      <w:r w:rsidRPr="00FE0C5E">
        <w:t xml:space="preserve"> </w:t>
      </w:r>
      <w:r w:rsidRPr="00FE0C5E">
        <w:rPr>
          <w:i/>
        </w:rPr>
        <w:t>Текущите нелихвени разходи</w:t>
      </w:r>
      <w:r w:rsidRPr="00FE0C5E">
        <w:t xml:space="preserve"> са в размер на 10 603,9 млн. лева. </w:t>
      </w:r>
      <w:r w:rsidRPr="00FE0C5E">
        <w:rPr>
          <w:i/>
        </w:rPr>
        <w:t>Капиталовите разходи</w:t>
      </w:r>
      <w:r w:rsidRPr="00FE0C5E">
        <w:t xml:space="preserve"> (вкл. нетния прираст на държавния резерв) възлизат на 736,8 млн. лева. </w:t>
      </w:r>
      <w:r w:rsidRPr="00FE0C5E">
        <w:rPr>
          <w:i/>
        </w:rPr>
        <w:t>Предоставените текущи и капиталови трансфери за чужбина</w:t>
      </w:r>
      <w:r w:rsidRPr="00FE0C5E">
        <w:t xml:space="preserve"> са в размер на 6,6 млн. лева. </w:t>
      </w:r>
      <w:r w:rsidRPr="00FE0C5E">
        <w:rPr>
          <w:b/>
          <w:i/>
        </w:rPr>
        <w:t>Лихвените плащания</w:t>
      </w:r>
      <w:r w:rsidRPr="00FE0C5E">
        <w:t xml:space="preserve"> са в размер на 335,6 млн. лв. </w:t>
      </w:r>
      <w:r w:rsidRPr="00FE0C5E">
        <w:rPr>
          <w:rFonts w:eastAsia="Calibri"/>
          <w:bCs/>
        </w:rPr>
        <w:t>(50,5 % от планираните за 2022</w:t>
      </w:r>
      <w:r>
        <w:rPr>
          <w:rFonts w:eastAsia="Calibri"/>
          <w:bCs/>
        </w:rPr>
        <w:t> </w:t>
      </w:r>
      <w:r w:rsidRPr="00FE0C5E">
        <w:rPr>
          <w:rFonts w:eastAsia="Calibri"/>
          <w:bCs/>
        </w:rPr>
        <w:t>година)</w:t>
      </w:r>
      <w:r w:rsidRPr="00151757">
        <w:rPr>
          <w:color w:val="548DD4" w:themeColor="text2" w:themeTint="99"/>
        </w:rPr>
        <w:t>.</w:t>
      </w:r>
    </w:p>
    <w:p w:rsidR="00E863AA" w:rsidRPr="007649E5" w:rsidRDefault="00E863AA" w:rsidP="00E863AA">
      <w:pPr>
        <w:spacing w:after="120"/>
        <w:jc w:val="both"/>
      </w:pPr>
      <w:r w:rsidRPr="007649E5">
        <w:rPr>
          <w:b/>
          <w:szCs w:val="20"/>
        </w:rPr>
        <w:t>Частта от вноската на Република България в общия бюджет на ЕС</w:t>
      </w:r>
      <w:r w:rsidRPr="007649E5">
        <w:rPr>
          <w:szCs w:val="20"/>
        </w:rPr>
        <w:t xml:space="preserve">, </w:t>
      </w:r>
      <w:r w:rsidRPr="007649E5">
        <w:t xml:space="preserve">изплатена към 31.03.2022 г. от централния бюджет, възлиза на </w:t>
      </w:r>
      <w:r w:rsidRPr="007649E5">
        <w:rPr>
          <w:b/>
        </w:rPr>
        <w:t>401,8 млн. лв.</w:t>
      </w:r>
      <w:r w:rsidRPr="007649E5">
        <w:t xml:space="preserve">, </w:t>
      </w:r>
      <w:r w:rsidRPr="007649E5">
        <w:rPr>
          <w:rFonts w:eastAsia="Calibri"/>
        </w:rPr>
        <w:t>което е в изпълнение на действащото към момента законодателство в областта на собствените ресурси на ЕС</w:t>
      </w:r>
      <w:r w:rsidRPr="007649E5">
        <w:t xml:space="preserve">. </w:t>
      </w:r>
    </w:p>
    <w:p w:rsidR="00E863AA" w:rsidRPr="00151757" w:rsidRDefault="00E863AA" w:rsidP="00E863AA">
      <w:pPr>
        <w:spacing w:after="120"/>
        <w:jc w:val="both"/>
        <w:rPr>
          <w:color w:val="548DD4" w:themeColor="text2" w:themeTint="99"/>
          <w:lang w:eastAsia="bg-BG"/>
        </w:rPr>
      </w:pPr>
      <w:r w:rsidRPr="007C5821">
        <w:rPr>
          <w:b/>
        </w:rPr>
        <w:t>Бюджетното салдо</w:t>
      </w:r>
      <w:r w:rsidRPr="007C5821">
        <w:rPr>
          <w:bCs/>
        </w:rPr>
        <w:t xml:space="preserve"> по консолидираната фискална програма </w:t>
      </w:r>
      <w:r w:rsidR="005170B4" w:rsidRPr="003A41A4">
        <w:rPr>
          <w:rFonts w:eastAsia="Calibri"/>
        </w:rPr>
        <w:t>за първо тримесечие на</w:t>
      </w:r>
      <w:r w:rsidR="005170B4" w:rsidRPr="007C5821">
        <w:t xml:space="preserve"> </w:t>
      </w:r>
      <w:r w:rsidRPr="007C5821">
        <w:t>2022</w:t>
      </w:r>
      <w:r w:rsidRPr="007C5821">
        <w:rPr>
          <w:bCs/>
        </w:rPr>
        <w:t xml:space="preserve"> г. е </w:t>
      </w:r>
      <w:r w:rsidRPr="007C5821">
        <w:rPr>
          <w:b/>
          <w:bCs/>
        </w:rPr>
        <w:t xml:space="preserve">положително </w:t>
      </w:r>
      <w:r w:rsidRPr="007C5821">
        <w:rPr>
          <w:bCs/>
        </w:rPr>
        <w:t xml:space="preserve">в размер на </w:t>
      </w:r>
      <w:r w:rsidRPr="007C5821">
        <w:rPr>
          <w:b/>
          <w:bCs/>
          <w:lang w:val="ru-RU"/>
        </w:rPr>
        <w:t>298,0</w:t>
      </w:r>
      <w:r w:rsidRPr="007C5821">
        <w:rPr>
          <w:b/>
          <w:bCs/>
        </w:rPr>
        <w:t xml:space="preserve"> </w:t>
      </w:r>
      <w:r w:rsidRPr="007C5821">
        <w:rPr>
          <w:b/>
        </w:rPr>
        <w:t>млн. лв.</w:t>
      </w:r>
      <w:r w:rsidRPr="007C5821">
        <w:t xml:space="preserve"> </w:t>
      </w:r>
      <w:r w:rsidRPr="007C5821">
        <w:rPr>
          <w:rFonts w:eastAsia="Calibri"/>
        </w:rPr>
        <w:t xml:space="preserve">(0,2 % от прогнозния БВП) </w:t>
      </w:r>
      <w:r w:rsidRPr="007C5821">
        <w:t xml:space="preserve">и се формира от превишение на </w:t>
      </w:r>
      <w:r w:rsidRPr="00E66EBD">
        <w:t>приходите над разходите по националния бюджет в размер на 344,7 млн. лв. и дефицит по европейските средства в размер на 46,7 млн. лева</w:t>
      </w:r>
      <w:r w:rsidRPr="00151757">
        <w:rPr>
          <w:color w:val="548DD4" w:themeColor="text2" w:themeTint="99"/>
          <w:lang w:eastAsia="bg-BG"/>
        </w:rPr>
        <w:t>.</w:t>
      </w:r>
    </w:p>
    <w:p w:rsidR="00E863AA" w:rsidRPr="00151757" w:rsidRDefault="00E863AA" w:rsidP="00E863AA">
      <w:pPr>
        <w:numPr>
          <w:ilvl w:val="0"/>
          <w:numId w:val="9"/>
        </w:numPr>
        <w:tabs>
          <w:tab w:val="num" w:pos="0"/>
          <w:tab w:val="left" w:pos="426"/>
          <w:tab w:val="left" w:pos="720"/>
        </w:tabs>
        <w:spacing w:before="240" w:after="60"/>
        <w:ind w:left="0" w:firstLine="0"/>
        <w:jc w:val="both"/>
        <w:rPr>
          <w:color w:val="548DD4" w:themeColor="text2" w:themeTint="99"/>
          <w:sz w:val="22"/>
        </w:rPr>
      </w:pPr>
      <w:r w:rsidRPr="001C0681">
        <w:rPr>
          <w:b/>
          <w:szCs w:val="28"/>
        </w:rPr>
        <w:t>Общият размер</w:t>
      </w:r>
      <w:r w:rsidRPr="001C0681">
        <w:rPr>
          <w:bCs/>
          <w:sz w:val="22"/>
        </w:rPr>
        <w:t xml:space="preserve"> </w:t>
      </w:r>
      <w:r w:rsidRPr="001C0681">
        <w:rPr>
          <w:b/>
          <w:bCs/>
          <w:szCs w:val="28"/>
        </w:rPr>
        <w:t>на касовите постъпления от ЕС</w:t>
      </w:r>
      <w:r w:rsidRPr="001C0681">
        <w:rPr>
          <w:bCs/>
          <w:szCs w:val="28"/>
        </w:rPr>
        <w:t xml:space="preserve"> (от Структурните и Кохезионния фондове, от</w:t>
      </w:r>
      <w:r w:rsidRPr="001C0681">
        <w:rPr>
          <w:szCs w:val="28"/>
        </w:rPr>
        <w:t xml:space="preserve"> ЕЗФРСР и ЕФР</w:t>
      </w:r>
      <w:r w:rsidRPr="001C0681">
        <w:rPr>
          <w:bCs/>
          <w:szCs w:val="28"/>
        </w:rPr>
        <w:t xml:space="preserve">, от средства за директни плащания към земеделските производители и плащания по пазарни мерки и др.) за </w:t>
      </w:r>
      <w:r w:rsidRPr="001C0681">
        <w:rPr>
          <w:szCs w:val="28"/>
        </w:rPr>
        <w:t>първото тримесечие на 2022</w:t>
      </w:r>
      <w:r w:rsidRPr="001C0681">
        <w:rPr>
          <w:bCs/>
          <w:szCs w:val="28"/>
        </w:rPr>
        <w:t xml:space="preserve"> г. е </w:t>
      </w:r>
      <w:r w:rsidRPr="001C0681">
        <w:rPr>
          <w:b/>
          <w:bCs/>
          <w:szCs w:val="28"/>
        </w:rPr>
        <w:t>1 310,9 млн. лв.</w:t>
      </w:r>
      <w:r w:rsidRPr="001C0681">
        <w:rPr>
          <w:b/>
          <w:szCs w:val="28"/>
        </w:rPr>
        <w:t xml:space="preserve"> </w:t>
      </w:r>
      <w:r w:rsidRPr="001C0681">
        <w:rPr>
          <w:b/>
          <w:bCs/>
          <w:szCs w:val="28"/>
        </w:rPr>
        <w:t xml:space="preserve">Нетните постъпления от ЕС към 31.03.2022 г. </w:t>
      </w:r>
      <w:r w:rsidRPr="001C0681">
        <w:rPr>
          <w:bCs/>
          <w:szCs w:val="28"/>
        </w:rPr>
        <w:t xml:space="preserve">(касови постъпления от ЕС, намалени с вноската в общия бюджет на ЕС) са положителни в размер на </w:t>
      </w:r>
      <w:r w:rsidRPr="001C0681">
        <w:rPr>
          <w:b/>
          <w:bCs/>
          <w:szCs w:val="28"/>
        </w:rPr>
        <w:t>909,1 млн. лева</w:t>
      </w:r>
      <w:r w:rsidRPr="001C0681">
        <w:rPr>
          <w:sz w:val="22"/>
        </w:rPr>
        <w:t>.</w:t>
      </w:r>
    </w:p>
    <w:p w:rsidR="00E863AA" w:rsidRPr="00151757" w:rsidRDefault="00E863AA" w:rsidP="00E863AA">
      <w:pPr>
        <w:numPr>
          <w:ilvl w:val="2"/>
          <w:numId w:val="16"/>
        </w:numPr>
        <w:tabs>
          <w:tab w:val="left" w:pos="426"/>
        </w:tabs>
        <w:spacing w:before="120" w:after="240"/>
        <w:ind w:left="0" w:firstLine="0"/>
        <w:jc w:val="both"/>
        <w:rPr>
          <w:color w:val="548DD4" w:themeColor="text2" w:themeTint="99"/>
          <w:sz w:val="8"/>
          <w:szCs w:val="8"/>
        </w:rPr>
      </w:pPr>
      <w:r w:rsidRPr="007435AD">
        <w:rPr>
          <w:b/>
        </w:rPr>
        <w:t>Фискалният резерв</w:t>
      </w:r>
      <w:r w:rsidRPr="007435AD">
        <w:rPr>
          <w:b/>
          <w:bCs/>
          <w:vertAlign w:val="superscript"/>
          <w:lang w:eastAsia="bg-BG"/>
        </w:rPr>
        <w:footnoteReference w:id="6"/>
      </w:r>
      <w:r w:rsidRPr="007435AD">
        <w:rPr>
          <w:bCs/>
          <w:lang w:eastAsia="bg-BG"/>
        </w:rPr>
        <w:t xml:space="preserve"> към </w:t>
      </w:r>
      <w:r w:rsidRPr="007435AD">
        <w:rPr>
          <w:bCs/>
        </w:rPr>
        <w:t xml:space="preserve">31.03.2022 г. е </w:t>
      </w:r>
      <w:r w:rsidRPr="007435AD">
        <w:rPr>
          <w:b/>
          <w:bCs/>
        </w:rPr>
        <w:t>7,5 млрд. лв</w:t>
      </w:r>
      <w:r w:rsidRPr="007435AD">
        <w:rPr>
          <w:bCs/>
        </w:rPr>
        <w:t xml:space="preserve">., в т.ч. 6,9 млрд. лв. депозити на </w:t>
      </w:r>
      <w:r w:rsidRPr="00250A11">
        <w:rPr>
          <w:bCs/>
        </w:rPr>
        <w:t>фискалния резерв в БНБ и банки и 0,6 млрд. лв. вземания от фондовете на Европейския съюз за сертифицирани разходи, аванси и други</w:t>
      </w:r>
      <w:r w:rsidRPr="00151757">
        <w:rPr>
          <w:bCs/>
          <w:color w:val="548DD4" w:themeColor="text2" w:themeTint="99"/>
          <w:lang w:eastAsia="bg-BG"/>
        </w:rPr>
        <w:t>.</w:t>
      </w:r>
      <w:r w:rsidRPr="00151757">
        <w:rPr>
          <w:bCs/>
          <w:color w:val="548DD4" w:themeColor="text2" w:themeTint="99"/>
        </w:rPr>
        <w:t xml:space="preserve"> </w:t>
      </w:r>
    </w:p>
    <w:p w:rsidR="002E2C27" w:rsidRPr="00D6063B" w:rsidRDefault="002E2C27" w:rsidP="00D6063B">
      <w:pPr>
        <w:pStyle w:val="Heading1"/>
        <w:numPr>
          <w:ilvl w:val="0"/>
          <w:numId w:val="10"/>
        </w:numPr>
        <w:ind w:right="-108"/>
        <w:jc w:val="both"/>
        <w:rPr>
          <w:sz w:val="24"/>
        </w:rPr>
      </w:pPr>
      <w:r w:rsidRPr="00D6063B">
        <w:rPr>
          <w:sz w:val="24"/>
        </w:rPr>
        <w:t>Промени в данъчното законодателство за 202</w:t>
      </w:r>
      <w:r w:rsidR="00CD61A5" w:rsidRPr="00D6063B">
        <w:rPr>
          <w:sz w:val="24"/>
        </w:rPr>
        <w:t>2</w:t>
      </w:r>
      <w:r w:rsidRPr="00D6063B">
        <w:rPr>
          <w:sz w:val="24"/>
        </w:rPr>
        <w:t xml:space="preserve"> г.</w:t>
      </w:r>
    </w:p>
    <w:p w:rsidR="00D6063B" w:rsidRPr="00D6063B" w:rsidRDefault="00D6063B" w:rsidP="00C00CBC">
      <w:pPr>
        <w:pStyle w:val="ListParagraph"/>
        <w:numPr>
          <w:ilvl w:val="0"/>
          <w:numId w:val="30"/>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Приети са изменения в ЗАДС (ЗИД на ЗАДС, </w:t>
      </w:r>
      <w:proofErr w:type="spellStart"/>
      <w:r w:rsidRPr="00D6063B">
        <w:rPr>
          <w:rFonts w:ascii="Times New Roman" w:hAnsi="Times New Roman"/>
          <w:b/>
          <w:bCs/>
          <w:i/>
          <w:iCs/>
          <w:szCs w:val="24"/>
        </w:rPr>
        <w:t>обн</w:t>
      </w:r>
      <w:proofErr w:type="spellEnd"/>
      <w:r w:rsidRPr="00D6063B">
        <w:rPr>
          <w:rFonts w:ascii="Times New Roman" w:hAnsi="Times New Roman"/>
          <w:b/>
          <w:bCs/>
          <w:i/>
          <w:iCs/>
          <w:szCs w:val="24"/>
        </w:rPr>
        <w:t xml:space="preserve">., ДВ, бр. 12 от 11.02.2022 г.) с цел да се хармонизира националното законодателство с изискванията на европейското, като се намери баланс между необходимостта да се улесни законната </w:t>
      </w:r>
      <w:proofErr w:type="spellStart"/>
      <w:r w:rsidRPr="00D6063B">
        <w:rPr>
          <w:rFonts w:ascii="Times New Roman" w:hAnsi="Times New Roman"/>
          <w:b/>
          <w:bCs/>
          <w:i/>
          <w:iCs/>
          <w:szCs w:val="24"/>
        </w:rPr>
        <w:t>презгранична</w:t>
      </w:r>
      <w:proofErr w:type="spellEnd"/>
      <w:r w:rsidRPr="00D6063B">
        <w:rPr>
          <w:rFonts w:ascii="Times New Roman" w:hAnsi="Times New Roman"/>
          <w:b/>
          <w:bCs/>
          <w:i/>
          <w:iCs/>
          <w:szCs w:val="24"/>
        </w:rPr>
        <w:t xml:space="preserve"> търговия и необходимостта да се осигури осъществяването на ефективен контрол и мониторинг с цел събиране на акцизните задължения</w:t>
      </w:r>
    </w:p>
    <w:p w:rsidR="00D6063B" w:rsidRDefault="00D6063B" w:rsidP="00D6063B">
      <w:pPr>
        <w:spacing w:before="120"/>
        <w:jc w:val="both"/>
        <w:rPr>
          <w:bCs/>
        </w:rPr>
      </w:pPr>
      <w:r>
        <w:rPr>
          <w:bCs/>
        </w:rPr>
        <w:t>Промените са за</w:t>
      </w:r>
      <w:r>
        <w:t xml:space="preserve"> въвеждане в националното законодателство на изискванията на </w:t>
      </w:r>
      <w:r>
        <w:rPr>
          <w:bCs/>
        </w:rPr>
        <w:t>Директива (ЕС) 2020/262 на Съвета от 19 декември 2019 г. за определяне на общия режим на облагане с акциз,</w:t>
      </w:r>
      <w:r>
        <w:rPr>
          <w:b/>
          <w:bCs/>
        </w:rPr>
        <w:t xml:space="preserve"> </w:t>
      </w:r>
      <w:r>
        <w:rPr>
          <w:bCs/>
        </w:rPr>
        <w:t xml:space="preserve">на Директива (ЕС) 2020/1151 на Съвета от 29 юли 2020 година за изменение на Директива 92/83/ЕИО за хармонизиране на структурата на акцизите върху алкохола и алкохолните напитки; свързани са и </w:t>
      </w:r>
      <w:r>
        <w:t xml:space="preserve">с въвеждането </w:t>
      </w:r>
      <w:r>
        <w:rPr>
          <w:bCs/>
        </w:rPr>
        <w:t>на разпоредбите на Директива (ЕС) 2019/2235 на Съвета от 16 декември 2019 година за изменение на Директива 2006/112/ЕО относно общата система на данъка върху добавената стойност и Директива 2008/118/ЕО относно общия режим на облагане с акциз по отношение на отбранителните дейности в рамките на Съюза.</w:t>
      </w:r>
    </w:p>
    <w:p w:rsidR="00D6063B" w:rsidRDefault="00D6063B" w:rsidP="00D6063B">
      <w:pPr>
        <w:spacing w:before="120"/>
        <w:jc w:val="both"/>
        <w:rPr>
          <w:bCs/>
        </w:rPr>
      </w:pPr>
      <w:r>
        <w:rPr>
          <w:bCs/>
        </w:rPr>
        <w:lastRenderedPageBreak/>
        <w:t>Промените са с цел засилване на борбата с данъчните измами и премахването на определени данъчни пречки при свободното движение на акцизни стоки между държавите членки. Предвижда се разширяване на функционалността на компютърната система, която досега се използва за движението на акцизни стоки под режим „отложено плащане на акциз“, чрез възможност за обхващане и движението на акцизни стоки, които са освободени за потребление на територията на една държава членка и се движат към територията на друга държава членка, с цел да бъдат доставени там за търговски цели. По този начин ще се опрости мониторингът на тези движения и ще се осигури правилното функциониране на вътрешния пазар. С оглед въвеждането на новите режими, се въвеждат нови понятия и правни субекти.</w:t>
      </w:r>
    </w:p>
    <w:p w:rsidR="00D6063B" w:rsidRDefault="00D6063B" w:rsidP="00D6063B">
      <w:pPr>
        <w:spacing w:before="120"/>
        <w:jc w:val="both"/>
      </w:pPr>
      <w:r>
        <w:t xml:space="preserve">Измененията относно въвеждането </w:t>
      </w:r>
      <w:r>
        <w:rPr>
          <w:bCs/>
        </w:rPr>
        <w:t xml:space="preserve">на Директива (ЕС) 2020/1151 на Съвета от 29 юли 2020 г. за изменение на Директива 92/83/ЕИО за хармонизиране на структурата на акцизите върху алкохола и алкохолните напитки </w:t>
      </w:r>
      <w:r>
        <w:t>са свързани с пояснение на разпоредбите за измерването на градусите Плато на бирата и по-конкретно, разпоредбите във връзка с измерването на градусите Плато на подсладената или ароматизираната бира. Предложено е и актуализиране на определенията, свързани с позоваванията на кодовете по Комбинираната номенклатура, използвани за описание на алкохолните продукти.</w:t>
      </w:r>
    </w:p>
    <w:p w:rsidR="00D6063B" w:rsidRDefault="00D6063B" w:rsidP="00D6063B">
      <w:pPr>
        <w:spacing w:before="120"/>
        <w:jc w:val="both"/>
        <w:rPr>
          <w:b/>
          <w:u w:val="single"/>
        </w:rPr>
      </w:pPr>
      <w:r>
        <w:rPr>
          <w:b/>
          <w:u w:val="single"/>
        </w:rPr>
        <w:t>Подобряване на бизнес средата и намаляване на административната тежест и разходите за бизнеса и гражданите</w:t>
      </w:r>
    </w:p>
    <w:p w:rsidR="00D6063B" w:rsidRDefault="00D6063B" w:rsidP="00D6063B">
      <w:pPr>
        <w:spacing w:before="120"/>
        <w:jc w:val="both"/>
        <w:rPr>
          <w:bCs/>
          <w:iCs/>
          <w:lang w:eastAsia="bg-BG"/>
        </w:rPr>
      </w:pPr>
      <w:r>
        <w:rPr>
          <w:bCs/>
          <w:iCs/>
        </w:rPr>
        <w:t xml:space="preserve">В Закона за данък върху добавената стойност са приети промени (ЗИД на ЗДДС, </w:t>
      </w:r>
      <w:proofErr w:type="spellStart"/>
      <w:r>
        <w:rPr>
          <w:bCs/>
          <w:iCs/>
        </w:rPr>
        <w:t>обн</w:t>
      </w:r>
      <w:proofErr w:type="spellEnd"/>
      <w:r>
        <w:rPr>
          <w:bCs/>
          <w:iCs/>
        </w:rPr>
        <w:t>., ДВ, бр. 14 от 18.02.2022 г.) за въвеждане на европейски директиви, отстраняване на констатирани несъответствия с правото на Европейския съюз и привеждане на ДДС законодателството в съответствие с решения на Съда на Европейския съюз (СЕС). Направени са изменения, които обхващат корекции при грешно данъчно третиране на доставка, установено с влязъл в сила ревизионен акт.</w:t>
      </w:r>
    </w:p>
    <w:p w:rsidR="00D6063B" w:rsidRPr="00C00CBC" w:rsidRDefault="00D6063B" w:rsidP="00C00CBC">
      <w:pPr>
        <w:pStyle w:val="ListParagraph"/>
        <w:numPr>
          <w:ilvl w:val="0"/>
          <w:numId w:val="30"/>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Промени, свързани с въвеждане в ЗДДС на Директива 2019/2235 на Съвета от 16 декември 2019 година за изменение на Директива 2006/112/ЕО относно общата система на данъка върху добавената стойност и Директива 2008/118/ЕО относно общия режим на облагане с акциз по отношение на отбранителните дейности в рамките на Съюза (Директива (ЕС) 2019/2235)</w:t>
      </w:r>
    </w:p>
    <w:p w:rsidR="00D6063B" w:rsidRDefault="00D6063B" w:rsidP="00D6063B">
      <w:pPr>
        <w:spacing w:before="120"/>
        <w:jc w:val="both"/>
        <w:rPr>
          <w:bCs/>
          <w:iCs/>
        </w:rPr>
      </w:pPr>
      <w:r>
        <w:rPr>
          <w:bCs/>
          <w:iCs/>
        </w:rPr>
        <w:t>С Директива (ЕС) 2019/2235 се въвежда освобождаване от ДДС, което обхваща доставката на стоки или услуги, предназначени или за ползване от въоръжените сили на държава членка на ЕС или от придружаващия ги цивилен персонал, или за снабдяването на техните трапезарии или столове, когато тези сили участват в отбранителни дейности, имащи за цел изпълнение на дейност на Съюза в рамките на общата политика за сигурност и отбрана (ОПСО), извън своята държава членка. Тези освобождавания се предвижда да се прилагат само в ситуации, при които въоръжените сили изпълняват задачи, пряко свързани с дейности за отбрана по линия на ОПСО и няма да обхващат граждански мисии по същата линия. За въвеждане на директивата в ЗАДС е предвидено също освобождаване от акциз на въоръжените сили на всяка държава членка, различна от държавата членка, в която се дължи акцизът, за ползване от тези сили, за нуждите на цивилния персонал, който ги придружава, или за снабдяването на техните трапезарии или столови, когато тези сили вземат участие в отбранителни дейности, имащи за цел изпълнение на дейност на Съюза в рамките на общата политика за сигурност и отбрана.</w:t>
      </w:r>
    </w:p>
    <w:p w:rsidR="00D6063B" w:rsidRPr="00D6063B" w:rsidRDefault="00D6063B" w:rsidP="00C00CBC">
      <w:pPr>
        <w:pStyle w:val="ListParagraph"/>
        <w:numPr>
          <w:ilvl w:val="0"/>
          <w:numId w:val="31"/>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Отпадане на разпоредбата на ЗДДС, с която ваучерите за храна са изключени от обхвата на ваучерите с конкретна цел и </w:t>
      </w:r>
      <w:proofErr w:type="spellStart"/>
      <w:r w:rsidRPr="00D6063B">
        <w:rPr>
          <w:rFonts w:ascii="Times New Roman" w:hAnsi="Times New Roman"/>
          <w:b/>
          <w:bCs/>
          <w:i/>
          <w:iCs/>
          <w:szCs w:val="24"/>
        </w:rPr>
        <w:t>многоцелевите</w:t>
      </w:r>
      <w:proofErr w:type="spellEnd"/>
      <w:r w:rsidRPr="00D6063B">
        <w:rPr>
          <w:rFonts w:ascii="Times New Roman" w:hAnsi="Times New Roman"/>
          <w:b/>
          <w:bCs/>
          <w:i/>
          <w:iCs/>
          <w:szCs w:val="24"/>
        </w:rPr>
        <w:t xml:space="preserve"> ваучери </w:t>
      </w:r>
    </w:p>
    <w:p w:rsidR="00D6063B" w:rsidRDefault="00D6063B" w:rsidP="00D6063B">
      <w:pPr>
        <w:spacing w:before="120"/>
        <w:jc w:val="both"/>
        <w:rPr>
          <w:bCs/>
          <w:iCs/>
        </w:rPr>
      </w:pPr>
      <w:r>
        <w:rPr>
          <w:bCs/>
          <w:iCs/>
        </w:rPr>
        <w:t xml:space="preserve">Промяната е в резултат на констатирани от ЕК несъответствия с разпоредбите на Директива 2006/112/ЕО на Съвета от 28 ноември 2006 година относно общата система на данъка върху добавената стойност (Директивата за ДДС) - запитване по информационна фаза с № EUP (2021) 10016. Европейската комисия обръща внимание, че ваучерите за храна по член 131в, ал. 2, т. 3 от ЗДДС отговарят на необходимите условия, за да бъдат смятани за „ваучери“ по смисъла на член 30а, точка 1 от Директивата за ДДС. </w:t>
      </w:r>
    </w:p>
    <w:p w:rsidR="00D6063B" w:rsidRPr="00D6063B" w:rsidRDefault="00D6063B" w:rsidP="00C00CBC">
      <w:pPr>
        <w:pStyle w:val="ListParagraph"/>
        <w:numPr>
          <w:ilvl w:val="0"/>
          <w:numId w:val="33"/>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lastRenderedPageBreak/>
        <w:t>Предвидени са разпоредби, които дават възможност за корекции при грешно данъчно третиране на доставка, установено с влязъл в сила ревизионен акт във връзка с необходимостта от усъвършенстване на правната уредба в съответствие с достиженията на правото на ЕС, като се гарантират принципите на правна сигурност и на неутралност на ДДС</w:t>
      </w:r>
    </w:p>
    <w:p w:rsidR="00D6063B" w:rsidRDefault="00D6063B" w:rsidP="00D6063B">
      <w:pPr>
        <w:spacing w:before="120"/>
        <w:jc w:val="both"/>
        <w:rPr>
          <w:bCs/>
          <w:iCs/>
        </w:rPr>
      </w:pPr>
      <w:r>
        <w:rPr>
          <w:bCs/>
          <w:iCs/>
        </w:rPr>
        <w:t>В решения на Съда на Европейския съюз (СЕС) по дела – C-314/17 „</w:t>
      </w:r>
      <w:proofErr w:type="spellStart"/>
      <w:r>
        <w:rPr>
          <w:bCs/>
          <w:iCs/>
        </w:rPr>
        <w:t>Джиосайкъл</w:t>
      </w:r>
      <w:proofErr w:type="spellEnd"/>
      <w:r>
        <w:rPr>
          <w:bCs/>
          <w:iCs/>
        </w:rPr>
        <w:t xml:space="preserve"> България“ ЕООД, C 111/14 „ГСТ - </w:t>
      </w:r>
      <w:proofErr w:type="spellStart"/>
      <w:r>
        <w:rPr>
          <w:bCs/>
          <w:iCs/>
        </w:rPr>
        <w:t>Сървиз</w:t>
      </w:r>
      <w:proofErr w:type="spellEnd"/>
      <w:r>
        <w:rPr>
          <w:bCs/>
          <w:iCs/>
        </w:rPr>
        <w:t xml:space="preserve"> АГ Германия“, C-835/18 SC </w:t>
      </w:r>
      <w:proofErr w:type="spellStart"/>
      <w:r>
        <w:rPr>
          <w:bCs/>
          <w:iCs/>
        </w:rPr>
        <w:t>Terracult</w:t>
      </w:r>
      <w:proofErr w:type="spellEnd"/>
      <w:r>
        <w:rPr>
          <w:bCs/>
          <w:iCs/>
        </w:rPr>
        <w:t xml:space="preserve"> SRL, C-138/12„Руседеспред“ ООД и др., СЕС приема, че за да осигурят неутралността на ДДС държавите членки следва да предвидят във вътрешния си правен ред възможността да се коригира фактуриран данък, който не е следвало да бъде начислен, при наличие на влязъл в сила ревизионен акт.</w:t>
      </w:r>
      <w:r>
        <w:t xml:space="preserve"> </w:t>
      </w:r>
      <w:r>
        <w:rPr>
          <w:bCs/>
          <w:iCs/>
        </w:rPr>
        <w:t>В тази връзка са приети съответните промени в ЗДДС.</w:t>
      </w:r>
    </w:p>
    <w:p w:rsidR="00D6063B" w:rsidRPr="00D6063B" w:rsidRDefault="00D6063B" w:rsidP="00C00CBC">
      <w:pPr>
        <w:pStyle w:val="ListParagraph"/>
        <w:numPr>
          <w:ilvl w:val="0"/>
          <w:numId w:val="33"/>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Прецизиране на действащите от 1 юли 2021 г. режими за облагане на доставки на стоки и услуги, осъществени по електронен път към получатели – данъчно незадължени лица</w:t>
      </w:r>
    </w:p>
    <w:p w:rsidR="00D6063B" w:rsidRDefault="00D6063B" w:rsidP="00D6063B">
      <w:pPr>
        <w:spacing w:before="120"/>
        <w:jc w:val="both"/>
        <w:rPr>
          <w:bCs/>
          <w:iCs/>
        </w:rPr>
      </w:pPr>
      <w:r>
        <w:rPr>
          <w:bCs/>
          <w:iCs/>
        </w:rPr>
        <w:t>Приети са прецизиращи текстовете на закона и уточняващи промени, свързани с различни параметри на установените режими.</w:t>
      </w:r>
    </w:p>
    <w:p w:rsidR="00D6063B" w:rsidRPr="00D6063B" w:rsidRDefault="00D6063B" w:rsidP="00C00CBC">
      <w:pPr>
        <w:pStyle w:val="ListParagraph"/>
        <w:numPr>
          <w:ilvl w:val="0"/>
          <w:numId w:val="33"/>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Промени, свързани с редактиране на разпоредби във връзка с възникнали затруднения при практическото прилагане на ЗДДС </w:t>
      </w:r>
    </w:p>
    <w:p w:rsidR="00D6063B" w:rsidRDefault="00D6063B" w:rsidP="00D6063B">
      <w:pPr>
        <w:spacing w:before="120"/>
        <w:jc w:val="both"/>
        <w:rPr>
          <w:bCs/>
          <w:iCs/>
        </w:rPr>
      </w:pPr>
      <w:r>
        <w:rPr>
          <w:bCs/>
          <w:iCs/>
        </w:rPr>
        <w:t xml:space="preserve">Направена е редакционна промяна на разпоредбата, свързана с основанията за задължителна </w:t>
      </w:r>
      <w:proofErr w:type="spellStart"/>
      <w:r>
        <w:rPr>
          <w:bCs/>
          <w:iCs/>
        </w:rPr>
        <w:t>дерегистрация</w:t>
      </w:r>
      <w:proofErr w:type="spellEnd"/>
      <w:r>
        <w:rPr>
          <w:bCs/>
          <w:iCs/>
        </w:rPr>
        <w:t xml:space="preserve"> при прекратяването на юридическо лице – с или без ликвидация. Предвижда се още като основание за задължителна </w:t>
      </w:r>
      <w:proofErr w:type="spellStart"/>
      <w:r>
        <w:rPr>
          <w:bCs/>
          <w:iCs/>
        </w:rPr>
        <w:t>дерегистрация</w:t>
      </w:r>
      <w:proofErr w:type="spellEnd"/>
      <w:r>
        <w:rPr>
          <w:bCs/>
          <w:iCs/>
        </w:rPr>
        <w:t xml:space="preserve"> по закона заличаването на клонове на чуждестранни юридически лица. </w:t>
      </w:r>
    </w:p>
    <w:p w:rsidR="00D6063B" w:rsidRDefault="00D6063B" w:rsidP="00D6063B">
      <w:pPr>
        <w:spacing w:before="120"/>
        <w:jc w:val="both"/>
        <w:rPr>
          <w:bCs/>
          <w:iCs/>
        </w:rPr>
      </w:pPr>
      <w:r>
        <w:rPr>
          <w:bCs/>
          <w:iCs/>
        </w:rPr>
        <w:t xml:space="preserve">Във връзка с търговията със стоки след </w:t>
      </w:r>
      <w:proofErr w:type="spellStart"/>
      <w:r>
        <w:rPr>
          <w:bCs/>
          <w:iCs/>
        </w:rPr>
        <w:t>Брекзит</w:t>
      </w:r>
      <w:proofErr w:type="spellEnd"/>
      <w:r>
        <w:rPr>
          <w:bCs/>
          <w:iCs/>
        </w:rPr>
        <w:t xml:space="preserve"> е приета редакционна промяна на разпоредбата, касаеща доставките от или до Обединеното кралство Великобритания и Северна Ирландия, като се конкретизира обектът на доставка. Освен това е приет текст по отношение на посредник в тристранни операции, като се уточнява, че за целите на този закон Северна Ирландия се смята за територия на държава членка и когато данъчно задължено лице с идентификационен номер по ДДС, който съдържа знак/префикс „XI“ е посредник в тристранни операции. </w:t>
      </w:r>
    </w:p>
    <w:p w:rsidR="00D6063B" w:rsidRPr="00D6063B" w:rsidRDefault="00D6063B" w:rsidP="00C00CBC">
      <w:pPr>
        <w:pStyle w:val="ListParagraph"/>
        <w:numPr>
          <w:ilvl w:val="0"/>
          <w:numId w:val="34"/>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Промяна, с която определени хибридни образувания, учредени или установени в страната, които са извън обхвата на данъчно задължените лица, посочени в действащия ЗКПО, в случай че са налице такива, се приравняват на данъчно задължени лица за целит</w:t>
      </w:r>
      <w:r w:rsidR="00446778">
        <w:rPr>
          <w:rFonts w:ascii="Times New Roman" w:hAnsi="Times New Roman"/>
          <w:b/>
          <w:bCs/>
          <w:i/>
          <w:iCs/>
          <w:szCs w:val="24"/>
        </w:rPr>
        <w:t xml:space="preserve">е на закона (ЗИД на ЗКПО, </w:t>
      </w:r>
      <w:proofErr w:type="spellStart"/>
      <w:r w:rsidR="00446778">
        <w:rPr>
          <w:rFonts w:ascii="Times New Roman" w:hAnsi="Times New Roman"/>
          <w:b/>
          <w:bCs/>
          <w:i/>
          <w:iCs/>
          <w:szCs w:val="24"/>
        </w:rPr>
        <w:t>обн</w:t>
      </w:r>
      <w:proofErr w:type="spellEnd"/>
      <w:r w:rsidR="00446778">
        <w:rPr>
          <w:rFonts w:ascii="Times New Roman" w:hAnsi="Times New Roman"/>
          <w:b/>
          <w:bCs/>
          <w:i/>
          <w:iCs/>
          <w:szCs w:val="24"/>
        </w:rPr>
        <w:t>.,</w:t>
      </w:r>
      <w:r w:rsidRPr="00D6063B">
        <w:rPr>
          <w:rFonts w:ascii="Times New Roman" w:hAnsi="Times New Roman"/>
          <w:b/>
          <w:bCs/>
          <w:i/>
          <w:iCs/>
          <w:szCs w:val="24"/>
        </w:rPr>
        <w:t>ДВ, бр. 14 от 18.02.2022</w:t>
      </w:r>
      <w:r w:rsidR="00446778">
        <w:rPr>
          <w:rFonts w:ascii="Times New Roman" w:hAnsi="Times New Roman"/>
          <w:b/>
          <w:bCs/>
          <w:i/>
          <w:iCs/>
          <w:szCs w:val="24"/>
        </w:rPr>
        <w:t xml:space="preserve"> </w:t>
      </w:r>
      <w:r w:rsidRPr="00D6063B">
        <w:rPr>
          <w:rFonts w:ascii="Times New Roman" w:hAnsi="Times New Roman"/>
          <w:b/>
          <w:bCs/>
          <w:i/>
          <w:iCs/>
          <w:szCs w:val="24"/>
        </w:rPr>
        <w:t>)</w:t>
      </w:r>
    </w:p>
    <w:p w:rsidR="00D6063B" w:rsidRDefault="00D6063B" w:rsidP="00D6063B">
      <w:pPr>
        <w:spacing w:before="120"/>
        <w:jc w:val="both"/>
      </w:pPr>
      <w:r>
        <w:t xml:space="preserve">Промяната е направена във връзка с необходимостта от пълно въвеждане в националното данъчно законодателство на Директива (ЕС) 2016/1164.  Тези правила не се прилагат за колективна инвестиционна схема, която е инвестиционен фонд или схема, отговаряща едновременно на условията да има множество собственици, да притежава </w:t>
      </w:r>
      <w:proofErr w:type="spellStart"/>
      <w:r>
        <w:t>диверсифициран</w:t>
      </w:r>
      <w:proofErr w:type="spellEnd"/>
      <w:r>
        <w:t xml:space="preserve"> портфейл от ценни книжа и да е предмет на нормативна уредба в защита на инвеститорите.</w:t>
      </w:r>
    </w:p>
    <w:p w:rsidR="00D6063B" w:rsidRPr="00D6063B" w:rsidRDefault="00D6063B" w:rsidP="00C00CBC">
      <w:pPr>
        <w:pStyle w:val="ListParagraph"/>
        <w:numPr>
          <w:ilvl w:val="0"/>
          <w:numId w:val="34"/>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Промяна, свързана с изрично уреждане на данъчното третиране по ЗКПО на резултата от договори за продажба с обратен лизинг, класифициран като оперативен в случаите, в които се прилагат Международните счетоводни стандарти</w:t>
      </w:r>
    </w:p>
    <w:p w:rsidR="00D6063B" w:rsidRDefault="00D6063B" w:rsidP="00D6063B">
      <w:pPr>
        <w:spacing w:before="120"/>
        <w:jc w:val="both"/>
      </w:pPr>
      <w:r>
        <w:t>Уточнено е, че счетоводно отчетените разходи, приходи, печалби и загуби във връзка с договори за продажба с обратен лизинг, класифициран като оперативен лизинг, съгласно Международните счетоводни стандарти, при лизингополучатели, не се признават за данъчни цели, като за данъчни цели в тези случаи се признават разходи, приходи, печалби и загуби, определени съгласно правилата на Счетоводен стандарт 17 „Лизинг“ относно договори за продажба с обратен лизинг, класифициран като експлоатационен лизинг.</w:t>
      </w:r>
    </w:p>
    <w:p w:rsidR="00D6063B" w:rsidRPr="00D6063B" w:rsidRDefault="00D6063B" w:rsidP="00C00CBC">
      <w:pPr>
        <w:pStyle w:val="ListParagraph"/>
        <w:numPr>
          <w:ilvl w:val="0"/>
          <w:numId w:val="35"/>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lastRenderedPageBreak/>
        <w:t>Промяна в ЗКПО, свързана с отстраняване на несъответствие при транспонирането в българското национално законодателство на Директива (ЕС) 2016/1164</w:t>
      </w:r>
    </w:p>
    <w:p w:rsidR="00D6063B" w:rsidRDefault="00D6063B" w:rsidP="00D6063B">
      <w:pPr>
        <w:spacing w:before="120"/>
        <w:jc w:val="both"/>
      </w:pPr>
      <w:r>
        <w:t xml:space="preserve">Направено е изменение във връзка с поет ангажимент на Република България за отстраняване на констатирано от Европейската комисия несъответствие на националното законодателство с Директива (ЕС) 2016/1164. След промяната, всички данъчно задължени лица в Република България, които подлежат на облагане с корпоративен данък и имат контролирани чуждестранни дружества, независимо от формата на облагане на тези дружества, попадат в обхвата на специфичните правила за определяне на данъчния финансов резултат в случаите на контролирано чуждестранно дружество. </w:t>
      </w:r>
    </w:p>
    <w:p w:rsidR="00D6063B" w:rsidRPr="00C95E32" w:rsidRDefault="00D6063B" w:rsidP="00C95E32">
      <w:pPr>
        <w:pStyle w:val="ListParagraph"/>
        <w:numPr>
          <w:ilvl w:val="0"/>
          <w:numId w:val="41"/>
        </w:numPr>
        <w:autoSpaceDN w:val="0"/>
        <w:spacing w:before="120" w:after="200" w:line="240" w:lineRule="auto"/>
        <w:rPr>
          <w:rFonts w:ascii="Times New Roman" w:hAnsi="Times New Roman"/>
          <w:b/>
          <w:bCs/>
          <w:i/>
          <w:iCs/>
          <w:szCs w:val="24"/>
        </w:rPr>
      </w:pPr>
      <w:r w:rsidRPr="00C95E32">
        <w:rPr>
          <w:rFonts w:ascii="Times New Roman" w:hAnsi="Times New Roman"/>
          <w:b/>
          <w:bCs/>
          <w:i/>
          <w:iCs/>
          <w:szCs w:val="24"/>
        </w:rPr>
        <w:t xml:space="preserve">Намаление на ставката на данъка върху разходите в натура </w:t>
      </w:r>
    </w:p>
    <w:p w:rsidR="00D6063B" w:rsidRDefault="00D6063B" w:rsidP="00D6063B">
      <w:pPr>
        <w:spacing w:before="120"/>
        <w:jc w:val="both"/>
      </w:pPr>
      <w:r>
        <w:t>Със ЗИД на ЗКПО (</w:t>
      </w:r>
      <w:proofErr w:type="spellStart"/>
      <w:r>
        <w:t>обн</w:t>
      </w:r>
      <w:proofErr w:type="spellEnd"/>
      <w:r>
        <w:t>., ДВ, бр. 17 от 01.03.2022 г.) е прието намаление на ставката от 10% на 3% на данъка върху разходите в натура по чл. 204, ал. 1, т. 4 от ЗКПО</w:t>
      </w:r>
      <w:r w:rsidR="003615A7">
        <w:t>.</w:t>
      </w:r>
    </w:p>
    <w:p w:rsidR="00D6063B" w:rsidRPr="00D6063B" w:rsidRDefault="00D6063B" w:rsidP="00C00CBC">
      <w:pPr>
        <w:pStyle w:val="ListParagraph"/>
        <w:numPr>
          <w:ilvl w:val="0"/>
          <w:numId w:val="36"/>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Със Закона за държавния бюджет на Република България за 2022 г. е прието като временна мярка за 2022 г. да се предостави възможност за използване на ваучерите за храна по чл. 209, ал. 1 от Закона за корпоративното подоходно облагане за заплащане не само за храна, но и за заплащане на ползвани за битови нужди електрическа и топлинна енергия, природен газ и вода, на дейности, осъществявани от културни организации по Закона за закрила и развитие на културата и на показ на филми съгласно Закона за филмовата индустрия.</w:t>
      </w:r>
    </w:p>
    <w:p w:rsidR="00D6063B" w:rsidRDefault="00D6063B" w:rsidP="00D6063B">
      <w:pPr>
        <w:spacing w:before="120"/>
        <w:jc w:val="both"/>
      </w:pPr>
      <w:r>
        <w:t>С въвеждането на тази временна мярка ще се предостави възможност на работниците и служителите да използват ваучерите за храна не само за закупуване на хранителни стоки, но и за задоволяване на други социално-битови нужди. За целта операторите е необходимо да сключат договори с доставчици, които са лица, осъществяващи дейност по предоставяне на електрическа и топлинна енергия, природен газ и вода за битови нужди, културни организации по Закона за закрила и развитие на културата и лица, осъществяващи показ на филми съгласно Закона за филмовата индустрия, и да предоставят на работодателите списъци с обекти, които приемат отпечатаните от съответния оператор ваучери. Разпоредбите на закона и на Наредба № 7 от 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 следва да се прилагат съответно. Приетият размер за 2022 г. на общата годишна квота, включително посочената в чл. 1, т. 1 от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здравноосигурителна каса за 2021 г. (</w:t>
      </w:r>
      <w:proofErr w:type="spellStart"/>
      <w:r>
        <w:t>обн</w:t>
      </w:r>
      <w:proofErr w:type="spellEnd"/>
      <w:r>
        <w:t>., ДВ, бр. 8 от 28.01.2022 г., в сила от 01.01.2022 г.), е 1 млрд. лева. Увеличен е и размерът от 80 на 200 лв. месечно на предоставените под формата на ваучери за храна на всяко наето лице, които не се облагат с данък върху разходите социалните разходи за 2022 г. по чл. 204, ал. 1, т. 2, буква „б“ от ЗКПО.</w:t>
      </w:r>
    </w:p>
    <w:p w:rsidR="00D6063B" w:rsidRPr="00D6063B" w:rsidRDefault="00D6063B" w:rsidP="00C00CBC">
      <w:pPr>
        <w:pStyle w:val="ListParagraph"/>
        <w:numPr>
          <w:ilvl w:val="0"/>
          <w:numId w:val="37"/>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В ЗДДФЛ е направена промяна (ЗИД на ЗКПО, </w:t>
      </w:r>
      <w:proofErr w:type="spellStart"/>
      <w:r w:rsidRPr="00D6063B">
        <w:rPr>
          <w:rFonts w:ascii="Times New Roman" w:hAnsi="Times New Roman"/>
          <w:b/>
          <w:bCs/>
          <w:i/>
          <w:iCs/>
          <w:szCs w:val="24"/>
        </w:rPr>
        <w:t>обн</w:t>
      </w:r>
      <w:proofErr w:type="spellEnd"/>
      <w:r w:rsidRPr="00D6063B">
        <w:rPr>
          <w:rFonts w:ascii="Times New Roman" w:hAnsi="Times New Roman"/>
          <w:b/>
          <w:bCs/>
          <w:i/>
          <w:iCs/>
          <w:szCs w:val="24"/>
        </w:rPr>
        <w:t xml:space="preserve">., ДВ, бр. 14 от 18.02.2022 г.), с която в случаите на починали еднолични търговци или </w:t>
      </w:r>
      <w:proofErr w:type="spellStart"/>
      <w:r w:rsidRPr="00D6063B">
        <w:rPr>
          <w:rFonts w:ascii="Times New Roman" w:hAnsi="Times New Roman"/>
          <w:b/>
          <w:bCs/>
          <w:i/>
          <w:iCs/>
          <w:szCs w:val="24"/>
        </w:rPr>
        <w:t>самоосигуряващи</w:t>
      </w:r>
      <w:proofErr w:type="spellEnd"/>
      <w:r w:rsidRPr="00D6063B">
        <w:rPr>
          <w:rFonts w:ascii="Times New Roman" w:hAnsi="Times New Roman"/>
          <w:b/>
          <w:bCs/>
          <w:i/>
          <w:iCs/>
          <w:szCs w:val="24"/>
        </w:rPr>
        <w:t xml:space="preserve"> се лица, е предоставена възможност справките за изплатените през годината доходи и за удържаните през годината данък и задължителни осигурителни вноски да могат да бъдат подавани от техните наследниците по закон или по завещание, както и от </w:t>
      </w:r>
      <w:proofErr w:type="spellStart"/>
      <w:r w:rsidRPr="00D6063B">
        <w:rPr>
          <w:rFonts w:ascii="Times New Roman" w:hAnsi="Times New Roman"/>
          <w:b/>
          <w:bCs/>
          <w:i/>
          <w:iCs/>
          <w:szCs w:val="24"/>
        </w:rPr>
        <w:t>заветниците</w:t>
      </w:r>
      <w:proofErr w:type="spellEnd"/>
      <w:r w:rsidRPr="00D6063B">
        <w:rPr>
          <w:rFonts w:ascii="Times New Roman" w:hAnsi="Times New Roman"/>
          <w:b/>
          <w:bCs/>
          <w:i/>
          <w:iCs/>
          <w:szCs w:val="24"/>
        </w:rPr>
        <w:t xml:space="preserve"> или от техните законни представители, за годината, в която починалите лица са били работодатели или платци на доходи </w:t>
      </w:r>
    </w:p>
    <w:p w:rsidR="00D6063B" w:rsidRDefault="00D6063B" w:rsidP="00D6063B">
      <w:pPr>
        <w:spacing w:before="120"/>
        <w:jc w:val="both"/>
        <w:rPr>
          <w:b/>
        </w:rPr>
      </w:pPr>
      <w:r>
        <w:t>Предвиден е и преходен режим, съгласно който промяната може да бъде приложена и за справките, за които задължението за подаване възниква след 31 декември 2021 г.</w:t>
      </w:r>
      <w:r>
        <w:rPr>
          <w:b/>
        </w:rPr>
        <w:t xml:space="preserve"> </w:t>
      </w:r>
    </w:p>
    <w:p w:rsidR="00D6063B" w:rsidRPr="00D6063B" w:rsidRDefault="00D6063B" w:rsidP="00C00CBC">
      <w:pPr>
        <w:pStyle w:val="ListParagraph"/>
        <w:numPr>
          <w:ilvl w:val="0"/>
          <w:numId w:val="37"/>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Отмяна на окончателния данък върху придобитите от местни физически лица доходи от лихви по банкови сметки</w:t>
      </w:r>
    </w:p>
    <w:p w:rsidR="00D6063B" w:rsidRDefault="00D6063B" w:rsidP="00D6063B">
      <w:pPr>
        <w:spacing w:before="120"/>
        <w:jc w:val="both"/>
      </w:pPr>
      <w:r>
        <w:lastRenderedPageBreak/>
        <w:t xml:space="preserve">Считано от 01.04.2022 г. е приета отмяна на окончателния данък върху придобитите от местни физически лица доходи от лихви по банкови сметки по чл. 38, ал. 13 от ЗДДФЛ (ЗИД на ЗКПО, </w:t>
      </w:r>
      <w:proofErr w:type="spellStart"/>
      <w:r>
        <w:t>обн</w:t>
      </w:r>
      <w:proofErr w:type="spellEnd"/>
      <w:r>
        <w:t>., ДВ, бр. 17 от 01.03.2022 г.). Тези доходи ще бъдат в обхвата на необлагаемите доходи по чл. 13, ал. 1, т. 8 от ЗДДФЛ.</w:t>
      </w:r>
    </w:p>
    <w:p w:rsidR="00D6063B" w:rsidRPr="00446778" w:rsidRDefault="00D6063B" w:rsidP="00D6063B">
      <w:pPr>
        <w:spacing w:before="120"/>
        <w:jc w:val="both"/>
        <w:rPr>
          <w:sz w:val="12"/>
          <w:szCs w:val="12"/>
        </w:rPr>
      </w:pPr>
    </w:p>
    <w:p w:rsidR="00D6063B" w:rsidRDefault="00D6063B" w:rsidP="00D6063B">
      <w:pPr>
        <w:spacing w:before="120"/>
        <w:jc w:val="both"/>
        <w:rPr>
          <w:b/>
          <w:u w:val="single"/>
        </w:rPr>
      </w:pPr>
      <w:r>
        <w:rPr>
          <w:b/>
          <w:u w:val="single"/>
        </w:rPr>
        <w:t>Мерки в областта на данъчната политика, предприети в отговор на COVID-19</w:t>
      </w:r>
    </w:p>
    <w:p w:rsidR="00D6063B" w:rsidRPr="00446778" w:rsidRDefault="00D6063B" w:rsidP="00D6063B">
      <w:pPr>
        <w:spacing w:before="120"/>
        <w:jc w:val="both"/>
        <w:rPr>
          <w:b/>
          <w:sz w:val="12"/>
          <w:szCs w:val="12"/>
          <w:u w:val="single"/>
        </w:rPr>
      </w:pPr>
    </w:p>
    <w:p w:rsidR="00D6063B" w:rsidRDefault="00D6063B" w:rsidP="00D6063B">
      <w:pPr>
        <w:spacing w:before="120"/>
        <w:jc w:val="both"/>
        <w:rPr>
          <w:rFonts w:eastAsia="Calibri"/>
        </w:rPr>
      </w:pPr>
      <w:r>
        <w:rPr>
          <w:rFonts w:eastAsia="Calibri"/>
        </w:rPr>
        <w:t>Законодателните мерки в областта на данъчната политика, свързани с преодоляване на последиците от разпространението на заразата с COVID-19, включват:</w:t>
      </w:r>
    </w:p>
    <w:p w:rsidR="00D6063B" w:rsidRDefault="00D6063B" w:rsidP="00D6063B">
      <w:pPr>
        <w:spacing w:before="120"/>
        <w:jc w:val="both"/>
        <w:rPr>
          <w:rFonts w:eastAsia="Calibri"/>
          <w:b/>
        </w:rPr>
      </w:pPr>
      <w:r>
        <w:rPr>
          <w:rFonts w:eastAsia="Calibri"/>
        </w:rPr>
        <w:t xml:space="preserve">По </w:t>
      </w:r>
      <w:r>
        <w:rPr>
          <w:rFonts w:eastAsia="Calibri"/>
          <w:b/>
        </w:rPr>
        <w:t>Закона за данък върху добавената стойност:</w:t>
      </w:r>
    </w:p>
    <w:p w:rsidR="00D6063B" w:rsidRPr="00D6063B" w:rsidRDefault="00D6063B" w:rsidP="00C00CBC">
      <w:pPr>
        <w:pStyle w:val="ListParagraph"/>
        <w:numPr>
          <w:ilvl w:val="0"/>
          <w:numId w:val="38"/>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Намаляване на ставката за ДДС от 20% на 9% за доставките на ресторантьорски и кетъринг услуги, на книги, на храна подходяща за бебета или за малки деца и на бебешки пелени и подобни хигиенни артикули, както и за консумацията на бира и вино в питейни заведения, за доставките на услуги за използване на спортни съоръжения и за доставка на обща туристическа услуга в случаите по чл. 136 от ЗДДС</w:t>
      </w:r>
    </w:p>
    <w:p w:rsidR="00D6063B" w:rsidRDefault="00D6063B" w:rsidP="00D6063B">
      <w:pPr>
        <w:spacing w:before="120"/>
        <w:jc w:val="both"/>
        <w:rPr>
          <w:rFonts w:eastAsia="Calibri"/>
        </w:rPr>
      </w:pPr>
      <w:r>
        <w:rPr>
          <w:rFonts w:eastAsia="Calibri"/>
          <w:bCs/>
          <w:iCs/>
        </w:rPr>
        <w:t xml:space="preserve">Със Закона за изменение на Закона за данък върху добавената стойност (ДВ, бр. 111 от 31.12.2021 г.), е удължен срокът за прилагане на намалената ставка от 9 на сто за горепосочените стоки и услуги до 31 декември 2022 г. </w:t>
      </w:r>
    </w:p>
    <w:p w:rsidR="00D6063B" w:rsidRPr="00D6063B" w:rsidRDefault="00D6063B" w:rsidP="00C00CBC">
      <w:pPr>
        <w:pStyle w:val="ListParagraph"/>
        <w:numPr>
          <w:ilvl w:val="0"/>
          <w:numId w:val="38"/>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Освобождаване с право на приспадане на данъчен кредит (т.е. чрез прилагане на нулева ставка на данъка) на следните доставки, облагаеми на територията на страната: 1. Доставката на ваксини срещу COVID-19 и услугите, пряко свързани с тези ваксини; 2. Доставката на медицински изделия за инвитро диагностика на COVID-19 и услугите, пряко свързани с тези изделия. В обхвата на тези освободени доставки влизат и </w:t>
      </w:r>
      <w:proofErr w:type="spellStart"/>
      <w:r w:rsidRPr="00D6063B">
        <w:rPr>
          <w:rFonts w:ascii="Times New Roman" w:hAnsi="Times New Roman"/>
          <w:b/>
          <w:bCs/>
          <w:i/>
          <w:iCs/>
          <w:szCs w:val="24"/>
        </w:rPr>
        <w:t>вътреобщностните</w:t>
      </w:r>
      <w:proofErr w:type="spellEnd"/>
      <w:r w:rsidRPr="00D6063B">
        <w:rPr>
          <w:rFonts w:ascii="Times New Roman" w:hAnsi="Times New Roman"/>
          <w:b/>
          <w:bCs/>
          <w:i/>
          <w:iCs/>
          <w:szCs w:val="24"/>
        </w:rPr>
        <w:t xml:space="preserve"> придобивания (покупки от други държави-членки на ЕС). </w:t>
      </w:r>
    </w:p>
    <w:p w:rsidR="00D6063B" w:rsidRDefault="00D6063B" w:rsidP="00D6063B">
      <w:pPr>
        <w:spacing w:before="120"/>
        <w:jc w:val="both"/>
        <w:rPr>
          <w:rFonts w:eastAsia="Calibri"/>
          <w:bCs/>
          <w:iCs/>
        </w:rPr>
      </w:pPr>
      <w:r>
        <w:rPr>
          <w:rFonts w:eastAsia="Calibri"/>
          <w:bCs/>
          <w:iCs/>
        </w:rPr>
        <w:t>Целта е да се намалят разходите за ваксини срещу COVID-19 и медицински изделия за инвитро диагностика на COVID-19, както и на услугите, тясно свързани с такива ваксини и изделия. Облекченията са с временен характер и ще се прилагат за периода от 01.01.2021 г. до 31.12.2022 г.</w:t>
      </w:r>
    </w:p>
    <w:p w:rsidR="00D6063B" w:rsidRPr="00D6063B" w:rsidRDefault="00D6063B" w:rsidP="00C00CBC">
      <w:pPr>
        <w:pStyle w:val="ListParagraph"/>
        <w:numPr>
          <w:ilvl w:val="0"/>
          <w:numId w:val="39"/>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 xml:space="preserve">Предложени са промени, свързани с въвеждане в ЗДДС на Директива (ЕС) 2021/1159 на Съвета от 13 юли 2021 година за изменение на Директива 2006/112/ЕО по отношение на временните освобождавания при внос и някои доставки в отговор на пандемията от COVID-19 (Директива (ЕС) 2021/1159) </w:t>
      </w:r>
    </w:p>
    <w:p w:rsidR="00D6063B" w:rsidRDefault="00D6063B" w:rsidP="00D6063B">
      <w:pPr>
        <w:spacing w:before="120"/>
        <w:jc w:val="both"/>
        <w:rPr>
          <w:rFonts w:eastAsia="Calibri"/>
        </w:rPr>
      </w:pPr>
      <w:r>
        <w:rPr>
          <w:rFonts w:eastAsia="Calibri"/>
          <w:bCs/>
          <w:iCs/>
        </w:rPr>
        <w:t xml:space="preserve">Разпоредбите на Директива (ЕС) 2021/1159 имат за цел да се осигури освобождаване от ДДС при внос, осъществен от Европейската комисия (ЕК) или от агенция или орган, създадени съгласно правото на ЕС, съответно прилагане на нулева ставка на данъка, при доставки на стоки и услуги с място на изпълнение на територията на страната, по които получатели са същите органи, при изпълнение на задачи за справяне с последствията от пандемията COVID-19.  Освобождаването, съответно прилагането на нулева ставка, няма да се прилага, когато внесените или получени стоки или услуги се използват незабавно или на по-късна дата за последващи доставки срещу възнаграждение. Когато условията за освобождаване при внос престанат да се прилагат, ЕК или съответната агенция или орган информира страната, че приложеното освобождаване при внос на тези стоки подлежи на облагане с данък при условията, приложими към този момент. Аналогично, когато условията за прилагане на нулева ставка, ЕК или съответната агенция или орган, получила доставка, за която е приложена нулева ставка, информира страната, и доставката на тези стоки или услуги подлежи на облагане с данък при условията, приложими към този момент. </w:t>
      </w:r>
      <w:r>
        <w:rPr>
          <w:rFonts w:eastAsia="Calibri"/>
        </w:rPr>
        <w:t xml:space="preserve">Въведените с Директива (ЕС) 2021/1159 изключения следва да се прилагат със задна дата, считано от 1 януари 2021 г., поради </w:t>
      </w:r>
      <w:r>
        <w:rPr>
          <w:rFonts w:eastAsia="Calibri"/>
        </w:rPr>
        <w:lastRenderedPageBreak/>
        <w:t>спешността на ситуацията и за да се създаде готовност за прилагане на мерките за справяне с последиците от пандемията от COVID-19.</w:t>
      </w:r>
    </w:p>
    <w:p w:rsidR="00D6063B" w:rsidRDefault="00D6063B" w:rsidP="00D6063B">
      <w:pPr>
        <w:keepNext/>
        <w:spacing w:before="120"/>
        <w:jc w:val="both"/>
        <w:rPr>
          <w:rFonts w:eastAsia="Calibri"/>
          <w:b/>
        </w:rPr>
      </w:pPr>
      <w:r>
        <w:rPr>
          <w:rFonts w:eastAsia="Calibri"/>
        </w:rPr>
        <w:t xml:space="preserve">По </w:t>
      </w:r>
      <w:r>
        <w:rPr>
          <w:rFonts w:eastAsia="Calibri"/>
          <w:b/>
        </w:rPr>
        <w:t>Закона за данъците върху доходите на физическите лица:</w:t>
      </w:r>
    </w:p>
    <w:p w:rsidR="00D6063B" w:rsidRPr="00D6063B" w:rsidRDefault="00D6063B" w:rsidP="00C00CBC">
      <w:pPr>
        <w:pStyle w:val="ListParagraph"/>
        <w:numPr>
          <w:ilvl w:val="0"/>
          <w:numId w:val="40"/>
        </w:numPr>
        <w:autoSpaceDN w:val="0"/>
        <w:spacing w:before="120" w:after="200" w:line="240" w:lineRule="auto"/>
        <w:rPr>
          <w:rFonts w:ascii="Times New Roman" w:hAnsi="Times New Roman"/>
          <w:b/>
          <w:bCs/>
          <w:i/>
          <w:iCs/>
          <w:szCs w:val="24"/>
        </w:rPr>
      </w:pPr>
      <w:r w:rsidRPr="00D6063B">
        <w:rPr>
          <w:rFonts w:ascii="Times New Roman" w:hAnsi="Times New Roman"/>
          <w:b/>
          <w:bCs/>
          <w:i/>
          <w:iCs/>
          <w:szCs w:val="24"/>
        </w:rPr>
        <w:t>Увеличаване на размера на данъчните облекчения за деца и деца с увреждания за придобитите през 2021 г. доходи. С промяната се увеличава размерът на данъчното облекчение за деца по чл. 22в от ЗДДФЛ, като от сумата от годишните данъчни основи по чл. 17 от ЗДДФЛ се приспадат следните суми: 4 500 лв. – при едно ненавършило пълнолетие дете; 9 000 лв. – при две ненавършили пълнолетие деца; 13 500 лв. – при три и повече ненавършили пълнолетие деца. Увеличен е и размерът на данъчното облекчение за деца с увреждания по чл. 22г от Закона за данъците върху доходите на физическите лица, като сумата от годишните данъчни основи по чл. 17 от ЗДДФЛ се намалява с 9 000 лв. за отглеждане на дете с 50 и с над 50 на сто вид и степен на увреждане, определени с влязло в сила решение на компетентен орган. Предложено е мярката да се прилага и за придобитите през 2022 г. доходи</w:t>
      </w:r>
    </w:p>
    <w:p w:rsidR="00D6063B" w:rsidRDefault="00D6063B" w:rsidP="00D6063B">
      <w:pPr>
        <w:spacing w:before="120"/>
        <w:jc w:val="both"/>
        <w:rPr>
          <w:rFonts w:eastAsia="Calibri"/>
        </w:rPr>
      </w:pPr>
      <w:r>
        <w:rPr>
          <w:rFonts w:eastAsia="Calibri"/>
        </w:rPr>
        <w:t>По Постановление № 75 на Министерския съвет от 2007 г. за прилагане на членове 43 - 52, 53, 55, 57, 59, 61, 67, 68 и 74 от Регламент (ЕО) № 1186/2009 на Съвета от 16 ноември 2009 г. за установяване на система на Общността за митнически освобождавания (кодифицирана версия) (ОВ, L 324 от 10.12.2009 г.)</w:t>
      </w:r>
    </w:p>
    <w:p w:rsidR="00D6063B" w:rsidRDefault="00D6063B" w:rsidP="00C00CBC">
      <w:pPr>
        <w:numPr>
          <w:ilvl w:val="0"/>
          <w:numId w:val="40"/>
        </w:numPr>
        <w:spacing w:before="120" w:after="200"/>
        <w:jc w:val="both"/>
        <w:rPr>
          <w:rFonts w:eastAsia="Calibri"/>
          <w:b/>
          <w:i/>
        </w:rPr>
      </w:pPr>
      <w:r>
        <w:rPr>
          <w:rFonts w:eastAsia="Calibri"/>
          <w:b/>
          <w:i/>
        </w:rPr>
        <w:t xml:space="preserve">Освобождаване от ДДС и мита върху вноса на някои медицински стоки, необходими за борба с последиците от пандемията на COVID-19, в съответствие с Решение 2020/491 от 03.04.2020 г. на Европейската комисия и на основание приетото ПМС № 80 от 2020 г., с което е допълнено ПМС № 75 от 2007 г. </w:t>
      </w:r>
    </w:p>
    <w:p w:rsidR="00481909" w:rsidRDefault="00481909" w:rsidP="00481909">
      <w:pPr>
        <w:spacing w:before="120"/>
        <w:jc w:val="both"/>
        <w:rPr>
          <w:rFonts w:eastAsia="Calibri"/>
        </w:rPr>
      </w:pPr>
      <w:r>
        <w:rPr>
          <w:rFonts w:eastAsia="Calibri"/>
        </w:rPr>
        <w:t>Във връзка с освобождаването ЕК прие Решение (ЕС) 2021/2313 от 22 декември 2021 година, във връзка с което, подалите искане държави членки, включително и Република България, да прилагат освобождаване от вносни мита и освобождаване от ДДС при внос, предоставено за стоки, необходими за борба с последиците от пандемията от COVID-19 през 2022 г., което ще се прилага за стоки, внесени в периода от 1 януари 2022 г. до 30 юни 2022 г.</w:t>
      </w:r>
    </w:p>
    <w:p w:rsidR="002E2C27" w:rsidRDefault="002E2C27"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446778" w:rsidRDefault="00446778" w:rsidP="002E2C27">
      <w:pPr>
        <w:tabs>
          <w:tab w:val="left" w:pos="426"/>
        </w:tabs>
        <w:spacing w:before="120" w:after="120"/>
        <w:jc w:val="both"/>
        <w:rPr>
          <w:color w:val="548DD4" w:themeColor="text2" w:themeTint="99"/>
          <w:sz w:val="8"/>
          <w:szCs w:val="8"/>
        </w:rPr>
      </w:pPr>
    </w:p>
    <w:p w:rsidR="002509DA" w:rsidRDefault="002509DA">
      <w:pPr>
        <w:rPr>
          <w:color w:val="548DD4" w:themeColor="text2" w:themeTint="99"/>
          <w:sz w:val="8"/>
          <w:szCs w:val="8"/>
        </w:rPr>
      </w:pPr>
      <w:r>
        <w:rPr>
          <w:color w:val="548DD4" w:themeColor="text2" w:themeTint="99"/>
          <w:sz w:val="8"/>
          <w:szCs w:val="8"/>
        </w:rPr>
        <w:br w:type="page"/>
      </w:r>
    </w:p>
    <w:p w:rsidR="00B13128" w:rsidRPr="00411FD7" w:rsidRDefault="00B13128" w:rsidP="00D75CD0">
      <w:pPr>
        <w:keepNext/>
        <w:numPr>
          <w:ilvl w:val="0"/>
          <w:numId w:val="10"/>
        </w:numPr>
        <w:ind w:right="-108"/>
        <w:jc w:val="both"/>
        <w:outlineLvl w:val="0"/>
        <w:rPr>
          <w:b/>
          <w:bCs/>
        </w:rPr>
      </w:pPr>
      <w:r w:rsidRPr="00411FD7">
        <w:rPr>
          <w:b/>
          <w:bCs/>
        </w:rPr>
        <w:lastRenderedPageBreak/>
        <w:t>Изпълнение на държавния бюджет</w:t>
      </w:r>
      <w:r w:rsidRPr="00411FD7">
        <w:rPr>
          <w:b/>
          <w:sz w:val="20"/>
          <w:szCs w:val="20"/>
          <w:vertAlign w:val="superscript"/>
        </w:rPr>
        <w:footnoteReference w:id="7"/>
      </w:r>
      <w:r w:rsidRPr="00411FD7">
        <w:rPr>
          <w:b/>
          <w:bCs/>
        </w:rPr>
        <w:t xml:space="preserve"> </w:t>
      </w:r>
      <w:r w:rsidR="00D75CD0" w:rsidRPr="00D75CD0">
        <w:rPr>
          <w:b/>
          <w:bCs/>
        </w:rPr>
        <w:t xml:space="preserve">за първото тримесечие на </w:t>
      </w:r>
      <w:r w:rsidRPr="00411FD7">
        <w:rPr>
          <w:b/>
          <w:bCs/>
        </w:rPr>
        <w:t>20</w:t>
      </w:r>
      <w:r w:rsidR="00300C77" w:rsidRPr="00411FD7">
        <w:rPr>
          <w:b/>
          <w:bCs/>
        </w:rPr>
        <w:t>2</w:t>
      </w:r>
      <w:r w:rsidR="00411FD7" w:rsidRPr="00411FD7">
        <w:rPr>
          <w:b/>
          <w:bCs/>
        </w:rPr>
        <w:t>2</w:t>
      </w:r>
      <w:r w:rsidR="00642E5B">
        <w:rPr>
          <w:b/>
          <w:bCs/>
        </w:rPr>
        <w:t xml:space="preserve"> </w:t>
      </w:r>
      <w:r w:rsidRPr="00411FD7">
        <w:rPr>
          <w:b/>
          <w:bCs/>
        </w:rPr>
        <w:t>г.</w:t>
      </w:r>
    </w:p>
    <w:p w:rsidR="00B13128" w:rsidRDefault="00B13128" w:rsidP="00B13128">
      <w:pPr>
        <w:tabs>
          <w:tab w:val="left" w:pos="1080"/>
        </w:tabs>
        <w:spacing w:before="120"/>
        <w:jc w:val="both"/>
      </w:pPr>
      <w:r w:rsidRPr="00411FD7">
        <w:t>Изпълнението на основните показатели по държавния бюджет, на база месечните отчети на първостепенните разпоредители с бюджет е, както следва:</w:t>
      </w:r>
    </w:p>
    <w:p w:rsidR="00B13128" w:rsidRPr="00411FD7" w:rsidRDefault="00B13128" w:rsidP="00B13128">
      <w:pPr>
        <w:tabs>
          <w:tab w:val="left" w:pos="1080"/>
        </w:tabs>
        <w:spacing w:before="120"/>
        <w:jc w:val="both"/>
        <w:rPr>
          <w:sz w:val="2"/>
          <w:szCs w:val="2"/>
        </w:rPr>
      </w:pPr>
    </w:p>
    <w:p w:rsidR="00820875" w:rsidRPr="00CC3E53" w:rsidRDefault="00820875" w:rsidP="00820875">
      <w:pPr>
        <w:ind w:right="-242"/>
        <w:rPr>
          <w:b/>
          <w:bCs/>
          <w:sz w:val="20"/>
          <w:szCs w:val="20"/>
        </w:rPr>
      </w:pPr>
      <w:r w:rsidRPr="00CC3E53">
        <w:rPr>
          <w:b/>
          <w:bCs/>
          <w:sz w:val="20"/>
          <w:szCs w:val="20"/>
        </w:rPr>
        <w:t xml:space="preserve">            Таблица</w:t>
      </w:r>
      <w:r w:rsidRPr="00CC3E53">
        <w:rPr>
          <w:rStyle w:val="FootnoteReference"/>
        </w:rPr>
        <w:footnoteReference w:id="8"/>
      </w:r>
      <w:r w:rsidRPr="00CC3E53">
        <w:rPr>
          <w:b/>
          <w:bCs/>
          <w:sz w:val="20"/>
          <w:szCs w:val="20"/>
        </w:rPr>
        <w:t xml:space="preserve">  №1      </w:t>
      </w:r>
      <w:r w:rsidRPr="00CC3E53">
        <w:rPr>
          <w:b/>
          <w:bCs/>
          <w:sz w:val="20"/>
          <w:szCs w:val="20"/>
        </w:rPr>
        <w:tab/>
      </w:r>
      <w:r w:rsidRPr="00CC3E53">
        <w:rPr>
          <w:b/>
          <w:bCs/>
          <w:sz w:val="20"/>
          <w:szCs w:val="20"/>
        </w:rPr>
        <w:tab/>
        <w:t xml:space="preserve">                                          </w:t>
      </w:r>
      <w:r w:rsidRPr="00CC3E53">
        <w:rPr>
          <w:b/>
          <w:bCs/>
          <w:sz w:val="20"/>
          <w:szCs w:val="20"/>
        </w:rPr>
        <w:tab/>
      </w:r>
      <w:r w:rsidRPr="00CC3E53">
        <w:rPr>
          <w:b/>
          <w:bCs/>
          <w:sz w:val="20"/>
          <w:szCs w:val="20"/>
        </w:rPr>
        <w:tab/>
      </w:r>
      <w:r w:rsidRPr="00CC3E53">
        <w:rPr>
          <w:b/>
          <w:bCs/>
          <w:sz w:val="20"/>
          <w:szCs w:val="20"/>
        </w:rPr>
        <w:tab/>
      </w:r>
      <w:r w:rsidRPr="00CC3E53">
        <w:rPr>
          <w:b/>
          <w:bCs/>
          <w:sz w:val="20"/>
          <w:szCs w:val="20"/>
        </w:rPr>
        <w:tab/>
        <w:t xml:space="preserve">  (млн. лв.)</w:t>
      </w:r>
    </w:p>
    <w:p w:rsidR="00820875" w:rsidRPr="00DA7CB9" w:rsidRDefault="00820875" w:rsidP="00820875">
      <w:pPr>
        <w:ind w:right="-242"/>
        <w:rPr>
          <w:b/>
          <w:bCs/>
          <w:color w:val="0070C0"/>
          <w:sz w:val="6"/>
          <w:szCs w:val="6"/>
        </w:rPr>
      </w:pPr>
    </w:p>
    <w:tbl>
      <w:tblPr>
        <w:tblW w:w="9050" w:type="dxa"/>
        <w:jc w:val="center"/>
        <w:tblCellMar>
          <w:left w:w="70" w:type="dxa"/>
          <w:right w:w="70" w:type="dxa"/>
        </w:tblCellMar>
        <w:tblLook w:val="0000" w:firstRow="0" w:lastRow="0" w:firstColumn="0" w:lastColumn="0" w:noHBand="0" w:noVBand="0"/>
      </w:tblPr>
      <w:tblGrid>
        <w:gridCol w:w="4854"/>
        <w:gridCol w:w="1276"/>
        <w:gridCol w:w="1616"/>
        <w:gridCol w:w="1304"/>
      </w:tblGrid>
      <w:tr w:rsidR="00820875" w:rsidRPr="00DA7CB9" w:rsidTr="005D051A">
        <w:trPr>
          <w:trHeight w:val="520"/>
          <w:jc w:val="center"/>
        </w:trPr>
        <w:tc>
          <w:tcPr>
            <w:tcW w:w="4854" w:type="dxa"/>
            <w:tcBorders>
              <w:top w:val="single" w:sz="8" w:space="0" w:color="auto"/>
              <w:left w:val="single" w:sz="8" w:space="0" w:color="auto"/>
              <w:bottom w:val="nil"/>
              <w:right w:val="single" w:sz="8" w:space="0" w:color="auto"/>
            </w:tcBorders>
            <w:shd w:val="clear" w:color="auto" w:fill="auto"/>
            <w:noWrap/>
            <w:vAlign w:val="center"/>
          </w:tcPr>
          <w:p w:rsidR="00820875" w:rsidRPr="00CC3E53" w:rsidRDefault="00820875" w:rsidP="005D051A">
            <w:pPr>
              <w:jc w:val="center"/>
              <w:rPr>
                <w:b/>
                <w:bCs/>
                <w:sz w:val="18"/>
                <w:szCs w:val="18"/>
              </w:rPr>
            </w:pPr>
            <w:r w:rsidRPr="00CC3E53">
              <w:rPr>
                <w:b/>
                <w:bCs/>
                <w:sz w:val="18"/>
                <w:szCs w:val="18"/>
              </w:rPr>
              <w:t>ПОКАЗАТЕЛИ</w:t>
            </w:r>
          </w:p>
        </w:tc>
        <w:tc>
          <w:tcPr>
            <w:tcW w:w="1276" w:type="dxa"/>
            <w:tcBorders>
              <w:top w:val="single" w:sz="8" w:space="0" w:color="auto"/>
              <w:left w:val="nil"/>
              <w:bottom w:val="single" w:sz="4" w:space="0" w:color="auto"/>
              <w:right w:val="nil"/>
            </w:tcBorders>
            <w:shd w:val="clear" w:color="auto" w:fill="auto"/>
            <w:vAlign w:val="center"/>
          </w:tcPr>
          <w:p w:rsidR="00820875" w:rsidRPr="00CC3E53" w:rsidRDefault="00820875" w:rsidP="005D051A">
            <w:pPr>
              <w:jc w:val="center"/>
              <w:rPr>
                <w:b/>
                <w:bCs/>
                <w:sz w:val="18"/>
                <w:szCs w:val="18"/>
              </w:rPr>
            </w:pPr>
            <w:r w:rsidRPr="00CC3E53">
              <w:rPr>
                <w:b/>
                <w:bCs/>
                <w:sz w:val="18"/>
                <w:szCs w:val="18"/>
              </w:rPr>
              <w:t xml:space="preserve">ЗДБРБ    </w:t>
            </w:r>
            <w:r w:rsidRPr="00CC3E53">
              <w:rPr>
                <w:b/>
                <w:bCs/>
                <w:sz w:val="18"/>
                <w:szCs w:val="18"/>
                <w:highlight w:val="yellow"/>
              </w:rPr>
              <w:t xml:space="preserve"> </w:t>
            </w:r>
            <w:r w:rsidRPr="00CC3E53">
              <w:rPr>
                <w:b/>
                <w:bCs/>
                <w:sz w:val="18"/>
                <w:szCs w:val="18"/>
              </w:rPr>
              <w:t>2022 г.</w:t>
            </w:r>
            <w:r w:rsidRPr="00CC3E53">
              <w:rPr>
                <w:rStyle w:val="FootnoteReference"/>
                <w:b/>
                <w:bCs/>
                <w:sz w:val="18"/>
                <w:szCs w:val="18"/>
              </w:rPr>
              <w:footnoteReference w:id="9"/>
            </w:r>
          </w:p>
        </w:tc>
        <w:tc>
          <w:tcPr>
            <w:tcW w:w="1616" w:type="dxa"/>
            <w:tcBorders>
              <w:top w:val="single" w:sz="8" w:space="0" w:color="auto"/>
              <w:left w:val="nil"/>
              <w:bottom w:val="single" w:sz="4" w:space="0" w:color="auto"/>
              <w:right w:val="nil"/>
            </w:tcBorders>
            <w:shd w:val="clear" w:color="auto" w:fill="auto"/>
            <w:vAlign w:val="center"/>
          </w:tcPr>
          <w:p w:rsidR="00820875" w:rsidRPr="00CC3E53" w:rsidRDefault="00820875" w:rsidP="005D051A">
            <w:pPr>
              <w:jc w:val="center"/>
              <w:rPr>
                <w:b/>
                <w:bCs/>
                <w:sz w:val="18"/>
                <w:szCs w:val="18"/>
              </w:rPr>
            </w:pPr>
            <w:r w:rsidRPr="00CC3E53">
              <w:rPr>
                <w:b/>
                <w:bCs/>
                <w:sz w:val="18"/>
                <w:szCs w:val="18"/>
              </w:rPr>
              <w:t xml:space="preserve">Отчет </w:t>
            </w:r>
          </w:p>
          <w:p w:rsidR="00820875" w:rsidRPr="00CC3E53" w:rsidRDefault="00820875" w:rsidP="005D051A">
            <w:pPr>
              <w:jc w:val="center"/>
              <w:rPr>
                <w:b/>
                <w:bCs/>
                <w:sz w:val="18"/>
                <w:szCs w:val="18"/>
              </w:rPr>
            </w:pPr>
            <w:r w:rsidRPr="00CC3E53">
              <w:rPr>
                <w:b/>
                <w:bCs/>
                <w:sz w:val="18"/>
                <w:szCs w:val="18"/>
              </w:rPr>
              <w:t>март 2022 г.</w:t>
            </w:r>
          </w:p>
        </w:tc>
        <w:tc>
          <w:tcPr>
            <w:tcW w:w="1304" w:type="dxa"/>
            <w:tcBorders>
              <w:top w:val="single" w:sz="8" w:space="0" w:color="auto"/>
              <w:left w:val="nil"/>
              <w:bottom w:val="single" w:sz="4" w:space="0" w:color="auto"/>
              <w:right w:val="single" w:sz="8" w:space="0" w:color="auto"/>
            </w:tcBorders>
            <w:shd w:val="clear" w:color="auto" w:fill="auto"/>
            <w:vAlign w:val="center"/>
          </w:tcPr>
          <w:p w:rsidR="00820875" w:rsidRPr="00CC3E53" w:rsidRDefault="00820875" w:rsidP="005D051A">
            <w:pPr>
              <w:jc w:val="center"/>
              <w:rPr>
                <w:b/>
                <w:bCs/>
                <w:sz w:val="18"/>
                <w:szCs w:val="18"/>
              </w:rPr>
            </w:pPr>
            <w:r w:rsidRPr="00CC3E53">
              <w:rPr>
                <w:b/>
                <w:bCs/>
                <w:sz w:val="18"/>
                <w:szCs w:val="18"/>
              </w:rPr>
              <w:t>Изпълнение спрямо    закон 2022 г.</w:t>
            </w:r>
          </w:p>
        </w:tc>
      </w:tr>
      <w:tr w:rsidR="00820875" w:rsidRPr="00DA7CB9" w:rsidTr="005D051A">
        <w:trPr>
          <w:trHeight w:val="92"/>
          <w:jc w:val="center"/>
        </w:trPr>
        <w:tc>
          <w:tcPr>
            <w:tcW w:w="4854" w:type="dxa"/>
            <w:tcBorders>
              <w:top w:val="single" w:sz="4" w:space="0" w:color="auto"/>
              <w:left w:val="single" w:sz="8" w:space="0" w:color="auto"/>
              <w:bottom w:val="single" w:sz="4" w:space="0" w:color="auto"/>
              <w:right w:val="single" w:sz="8" w:space="0" w:color="auto"/>
            </w:tcBorders>
            <w:shd w:val="clear" w:color="auto" w:fill="auto"/>
            <w:noWrap/>
            <w:vAlign w:val="bottom"/>
          </w:tcPr>
          <w:p w:rsidR="00820875" w:rsidRPr="00CC3E53" w:rsidRDefault="00820875" w:rsidP="005D051A">
            <w:pPr>
              <w:rPr>
                <w:b/>
                <w:bCs/>
                <w:sz w:val="18"/>
                <w:szCs w:val="18"/>
              </w:rPr>
            </w:pPr>
            <w:r w:rsidRPr="00CC3E53">
              <w:rPr>
                <w:b/>
                <w:bCs/>
                <w:sz w:val="18"/>
                <w:szCs w:val="18"/>
              </w:rPr>
              <w:t>Общо приходи, помощи и дарения</w:t>
            </w:r>
          </w:p>
        </w:tc>
        <w:tc>
          <w:tcPr>
            <w:tcW w:w="1276" w:type="dxa"/>
            <w:tcBorders>
              <w:top w:val="single" w:sz="4" w:space="0" w:color="auto"/>
              <w:left w:val="nil"/>
              <w:bottom w:val="single" w:sz="4" w:space="0" w:color="auto"/>
              <w:right w:val="nil"/>
            </w:tcBorders>
            <w:shd w:val="clear" w:color="auto" w:fill="auto"/>
            <w:noWrap/>
            <w:vAlign w:val="bottom"/>
          </w:tcPr>
          <w:p w:rsidR="00820875" w:rsidRPr="00CC3E53" w:rsidRDefault="00820875" w:rsidP="005D051A">
            <w:pPr>
              <w:jc w:val="right"/>
              <w:rPr>
                <w:b/>
                <w:bCs/>
                <w:sz w:val="18"/>
                <w:szCs w:val="18"/>
              </w:rPr>
            </w:pPr>
            <w:r w:rsidRPr="00CC3E53">
              <w:rPr>
                <w:b/>
                <w:bCs/>
                <w:sz w:val="18"/>
                <w:szCs w:val="18"/>
              </w:rPr>
              <w:t>32 764,8</w:t>
            </w:r>
          </w:p>
        </w:tc>
        <w:tc>
          <w:tcPr>
            <w:tcW w:w="1616" w:type="dxa"/>
            <w:tcBorders>
              <w:top w:val="single" w:sz="4" w:space="0" w:color="auto"/>
              <w:left w:val="nil"/>
              <w:bottom w:val="single" w:sz="4" w:space="0" w:color="auto"/>
              <w:right w:val="nil"/>
            </w:tcBorders>
            <w:shd w:val="clear" w:color="auto" w:fill="auto"/>
            <w:noWrap/>
            <w:vAlign w:val="bottom"/>
          </w:tcPr>
          <w:p w:rsidR="00820875" w:rsidRDefault="00820875" w:rsidP="005D051A">
            <w:pPr>
              <w:jc w:val="right"/>
              <w:rPr>
                <w:b/>
                <w:bCs/>
                <w:sz w:val="18"/>
                <w:szCs w:val="18"/>
              </w:rPr>
            </w:pPr>
            <w:r>
              <w:rPr>
                <w:b/>
                <w:bCs/>
                <w:sz w:val="18"/>
                <w:szCs w:val="18"/>
              </w:rPr>
              <w:t>7 197,1</w:t>
            </w:r>
          </w:p>
        </w:tc>
        <w:tc>
          <w:tcPr>
            <w:tcW w:w="1304" w:type="dxa"/>
            <w:tcBorders>
              <w:top w:val="single" w:sz="4" w:space="0" w:color="auto"/>
              <w:left w:val="nil"/>
              <w:bottom w:val="single" w:sz="4" w:space="0" w:color="auto"/>
              <w:right w:val="single" w:sz="8" w:space="0" w:color="auto"/>
            </w:tcBorders>
            <w:shd w:val="clear" w:color="auto" w:fill="auto"/>
            <w:noWrap/>
            <w:vAlign w:val="bottom"/>
          </w:tcPr>
          <w:p w:rsidR="00820875" w:rsidRDefault="00820875" w:rsidP="005D051A">
            <w:pPr>
              <w:jc w:val="right"/>
              <w:rPr>
                <w:b/>
                <w:bCs/>
                <w:sz w:val="18"/>
                <w:szCs w:val="18"/>
              </w:rPr>
            </w:pPr>
            <w:r>
              <w:rPr>
                <w:b/>
                <w:bCs/>
                <w:sz w:val="18"/>
                <w:szCs w:val="18"/>
              </w:rPr>
              <w:t>22,0%</w:t>
            </w:r>
          </w:p>
        </w:tc>
      </w:tr>
      <w:tr w:rsidR="00820875" w:rsidRPr="00DA7CB9" w:rsidTr="005D051A">
        <w:trPr>
          <w:trHeight w:val="80"/>
          <w:jc w:val="center"/>
        </w:trPr>
        <w:tc>
          <w:tcPr>
            <w:tcW w:w="4854" w:type="dxa"/>
            <w:tcBorders>
              <w:top w:val="single" w:sz="4" w:space="0" w:color="auto"/>
              <w:left w:val="single" w:sz="8" w:space="0" w:color="auto"/>
              <w:bottom w:val="nil"/>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-Данъчни приходи</w:t>
            </w:r>
          </w:p>
        </w:tc>
        <w:tc>
          <w:tcPr>
            <w:tcW w:w="1276" w:type="dxa"/>
            <w:tcBorders>
              <w:top w:val="single" w:sz="4" w:space="0" w:color="auto"/>
              <w:left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30 352,6</w:t>
            </w:r>
          </w:p>
        </w:tc>
        <w:tc>
          <w:tcPr>
            <w:tcW w:w="1616" w:type="dxa"/>
            <w:tcBorders>
              <w:top w:val="single" w:sz="4" w:space="0" w:color="auto"/>
              <w:left w:val="nil"/>
              <w:bottom w:val="nil"/>
              <w:right w:val="nil"/>
            </w:tcBorders>
            <w:shd w:val="clear" w:color="auto" w:fill="auto"/>
            <w:noWrap/>
            <w:vAlign w:val="bottom"/>
          </w:tcPr>
          <w:p w:rsidR="00820875" w:rsidRDefault="00820875" w:rsidP="005D051A">
            <w:pPr>
              <w:jc w:val="right"/>
              <w:rPr>
                <w:sz w:val="18"/>
                <w:szCs w:val="18"/>
              </w:rPr>
            </w:pPr>
            <w:r>
              <w:rPr>
                <w:sz w:val="18"/>
                <w:szCs w:val="18"/>
              </w:rPr>
              <w:t>6 460,3</w:t>
            </w:r>
          </w:p>
        </w:tc>
        <w:tc>
          <w:tcPr>
            <w:tcW w:w="1304" w:type="dxa"/>
            <w:tcBorders>
              <w:top w:val="single" w:sz="4" w:space="0" w:color="auto"/>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21,3%</w:t>
            </w:r>
          </w:p>
        </w:tc>
      </w:tr>
      <w:tr w:rsidR="00820875" w:rsidRPr="00DA7CB9" w:rsidTr="005D051A">
        <w:trPr>
          <w:trHeight w:val="80"/>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Корпоративни данъци</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3 929,3</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158,6</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4,0%</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w:t>
            </w:r>
            <w:r w:rsidRPr="00CC3E53">
              <w:rPr>
                <w:sz w:val="18"/>
                <w:szCs w:val="18"/>
                <w:lang w:val="en-US"/>
              </w:rPr>
              <w:t xml:space="preserve"> </w:t>
            </w:r>
            <w:r w:rsidRPr="00CC3E53">
              <w:rPr>
                <w:sz w:val="18"/>
                <w:szCs w:val="18"/>
              </w:rPr>
              <w:t>ДДФЛ</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5 245,0</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1 084,0</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20,7%</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w:t>
            </w:r>
            <w:r w:rsidRPr="00CC3E53">
              <w:rPr>
                <w:sz w:val="18"/>
                <w:szCs w:val="18"/>
                <w:lang w:val="en-US"/>
              </w:rPr>
              <w:t xml:space="preserve"> </w:t>
            </w:r>
            <w:r w:rsidRPr="00CC3E53">
              <w:rPr>
                <w:sz w:val="18"/>
                <w:szCs w:val="18"/>
              </w:rPr>
              <w:t>ДДС</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14 780,0</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3 812,3</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25,8%</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w:t>
            </w:r>
            <w:r w:rsidRPr="00CC3E53">
              <w:rPr>
                <w:sz w:val="18"/>
                <w:szCs w:val="18"/>
                <w:lang w:val="en-US"/>
              </w:rPr>
              <w:t xml:space="preserve"> </w:t>
            </w:r>
            <w:r w:rsidRPr="00CC3E53">
              <w:rPr>
                <w:sz w:val="18"/>
                <w:szCs w:val="18"/>
              </w:rPr>
              <w:t xml:space="preserve">Акцизи </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5 915,0</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1 263,5</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21,4%</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Данък в/у застрахователните премии</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52,0</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12,2</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23,5%</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w:t>
            </w:r>
            <w:r w:rsidRPr="00CC3E53">
              <w:rPr>
                <w:sz w:val="18"/>
                <w:szCs w:val="18"/>
                <w:lang w:val="en-US"/>
              </w:rPr>
              <w:t xml:space="preserve"> </w:t>
            </w:r>
            <w:r w:rsidRPr="00CC3E53">
              <w:rPr>
                <w:sz w:val="18"/>
                <w:szCs w:val="18"/>
              </w:rPr>
              <w:t>Мита и митнически такси</w:t>
            </w:r>
          </w:p>
        </w:tc>
        <w:tc>
          <w:tcPr>
            <w:tcW w:w="1276" w:type="dxa"/>
            <w:tcBorders>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303,1</w:t>
            </w:r>
          </w:p>
        </w:tc>
        <w:tc>
          <w:tcPr>
            <w:tcW w:w="1616" w:type="dxa"/>
            <w:tcBorders>
              <w:left w:val="nil"/>
              <w:bottom w:val="nil"/>
              <w:right w:val="nil"/>
            </w:tcBorders>
            <w:shd w:val="clear" w:color="auto" w:fill="auto"/>
            <w:noWrap/>
            <w:vAlign w:val="bottom"/>
          </w:tcPr>
          <w:p w:rsidR="00820875" w:rsidRDefault="00820875" w:rsidP="005D051A">
            <w:pPr>
              <w:jc w:val="right"/>
              <w:rPr>
                <w:sz w:val="18"/>
                <w:szCs w:val="18"/>
              </w:rPr>
            </w:pPr>
            <w:r>
              <w:rPr>
                <w:sz w:val="18"/>
                <w:szCs w:val="18"/>
              </w:rPr>
              <w:t>100,2</w:t>
            </w:r>
          </w:p>
        </w:tc>
        <w:tc>
          <w:tcPr>
            <w:tcW w:w="1304" w:type="dxa"/>
            <w:tcBorders>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33,1%</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w:t>
            </w:r>
            <w:r w:rsidRPr="00CC3E53">
              <w:rPr>
                <w:sz w:val="18"/>
                <w:szCs w:val="18"/>
                <w:lang w:val="en-US"/>
              </w:rPr>
              <w:t xml:space="preserve"> </w:t>
            </w:r>
            <w:r w:rsidRPr="00CC3E53">
              <w:rPr>
                <w:sz w:val="18"/>
                <w:szCs w:val="18"/>
              </w:rPr>
              <w:t>Други данъци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128,2</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29,3</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22,9%</w:t>
            </w:r>
          </w:p>
        </w:tc>
      </w:tr>
      <w:tr w:rsidR="00820875" w:rsidRPr="00DA7CB9" w:rsidTr="005D051A">
        <w:trPr>
          <w:trHeight w:val="165"/>
          <w:jc w:val="center"/>
        </w:trPr>
        <w:tc>
          <w:tcPr>
            <w:tcW w:w="4854" w:type="dxa"/>
            <w:tcBorders>
              <w:left w:val="single" w:sz="8"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-Неданъчни приходи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2 412,2</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736,0</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30,5%</w:t>
            </w:r>
          </w:p>
        </w:tc>
      </w:tr>
      <w:tr w:rsidR="00820875" w:rsidRPr="00DA7CB9" w:rsidTr="005D051A">
        <w:trPr>
          <w:trHeight w:val="165"/>
          <w:jc w:val="center"/>
        </w:trPr>
        <w:tc>
          <w:tcPr>
            <w:tcW w:w="4854" w:type="dxa"/>
            <w:tcBorders>
              <w:left w:val="single" w:sz="8" w:space="0" w:color="auto"/>
              <w:bottom w:val="single" w:sz="4" w:space="0" w:color="auto"/>
              <w:right w:val="single" w:sz="8"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-Помощи и дарения</w:t>
            </w:r>
          </w:p>
        </w:tc>
        <w:tc>
          <w:tcPr>
            <w:tcW w:w="1276" w:type="dxa"/>
            <w:tcBorders>
              <w:top w:val="nil"/>
              <w:left w:val="nil"/>
              <w:bottom w:val="single" w:sz="4" w:space="0" w:color="auto"/>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0,0</w:t>
            </w:r>
          </w:p>
        </w:tc>
        <w:tc>
          <w:tcPr>
            <w:tcW w:w="1616" w:type="dxa"/>
            <w:tcBorders>
              <w:top w:val="nil"/>
              <w:left w:val="nil"/>
              <w:bottom w:val="single" w:sz="4" w:space="0" w:color="auto"/>
              <w:right w:val="nil"/>
            </w:tcBorders>
            <w:shd w:val="clear" w:color="auto" w:fill="auto"/>
            <w:noWrap/>
            <w:vAlign w:val="bottom"/>
          </w:tcPr>
          <w:p w:rsidR="00820875" w:rsidRDefault="00820875" w:rsidP="005D051A">
            <w:pPr>
              <w:jc w:val="right"/>
              <w:rPr>
                <w:sz w:val="18"/>
                <w:szCs w:val="18"/>
              </w:rPr>
            </w:pPr>
            <w:r>
              <w:rPr>
                <w:sz w:val="18"/>
                <w:szCs w:val="18"/>
              </w:rPr>
              <w:t>0,9</w:t>
            </w:r>
          </w:p>
        </w:tc>
        <w:tc>
          <w:tcPr>
            <w:tcW w:w="1304" w:type="dxa"/>
            <w:tcBorders>
              <w:top w:val="nil"/>
              <w:left w:val="nil"/>
              <w:bottom w:val="single" w:sz="4" w:space="0" w:color="auto"/>
              <w:right w:val="single" w:sz="8" w:space="0" w:color="auto"/>
            </w:tcBorders>
            <w:shd w:val="clear" w:color="auto" w:fill="auto"/>
            <w:noWrap/>
            <w:vAlign w:val="bottom"/>
          </w:tcPr>
          <w:p w:rsidR="00820875" w:rsidRDefault="00820875" w:rsidP="005D051A">
            <w:pPr>
              <w:jc w:val="center"/>
              <w:rPr>
                <w:sz w:val="18"/>
                <w:szCs w:val="18"/>
              </w:rPr>
            </w:pPr>
          </w:p>
        </w:tc>
      </w:tr>
      <w:tr w:rsidR="00820875" w:rsidRPr="00DA7CB9" w:rsidTr="005D051A">
        <w:trPr>
          <w:trHeight w:val="199"/>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875" w:rsidRPr="00CC3E53" w:rsidRDefault="00820875" w:rsidP="005D051A">
            <w:pPr>
              <w:rPr>
                <w:b/>
                <w:bCs/>
                <w:sz w:val="18"/>
                <w:szCs w:val="18"/>
              </w:rPr>
            </w:pPr>
            <w:r w:rsidRPr="00CC3E53">
              <w:rPr>
                <w:b/>
                <w:bCs/>
                <w:sz w:val="18"/>
                <w:szCs w:val="18"/>
              </w:rPr>
              <w:t xml:space="preserve"> Разходи, трансфери и вноска в бюджета на ЕС</w:t>
            </w:r>
          </w:p>
        </w:tc>
        <w:tc>
          <w:tcPr>
            <w:tcW w:w="1276" w:type="dxa"/>
            <w:tcBorders>
              <w:top w:val="single" w:sz="4" w:space="0" w:color="auto"/>
              <w:left w:val="nil"/>
              <w:bottom w:val="single" w:sz="4" w:space="0" w:color="auto"/>
              <w:right w:val="nil"/>
            </w:tcBorders>
            <w:shd w:val="clear" w:color="auto" w:fill="auto"/>
            <w:noWrap/>
            <w:vAlign w:val="bottom"/>
          </w:tcPr>
          <w:p w:rsidR="00820875" w:rsidRPr="00CC3E53" w:rsidRDefault="00820875" w:rsidP="005D051A">
            <w:pPr>
              <w:jc w:val="right"/>
              <w:rPr>
                <w:b/>
                <w:bCs/>
                <w:sz w:val="18"/>
                <w:szCs w:val="18"/>
              </w:rPr>
            </w:pPr>
            <w:r w:rsidRPr="00CC3E53">
              <w:rPr>
                <w:b/>
                <w:bCs/>
                <w:sz w:val="18"/>
                <w:szCs w:val="18"/>
              </w:rPr>
              <w:t>39 018,0</w:t>
            </w:r>
          </w:p>
        </w:tc>
        <w:tc>
          <w:tcPr>
            <w:tcW w:w="1616" w:type="dxa"/>
            <w:tcBorders>
              <w:top w:val="single" w:sz="4" w:space="0" w:color="auto"/>
              <w:left w:val="nil"/>
              <w:bottom w:val="single" w:sz="4" w:space="0" w:color="auto"/>
              <w:right w:val="nil"/>
            </w:tcBorders>
            <w:shd w:val="clear" w:color="auto" w:fill="auto"/>
            <w:noWrap/>
            <w:vAlign w:val="bottom"/>
          </w:tcPr>
          <w:p w:rsidR="00820875" w:rsidRDefault="00820875" w:rsidP="005D051A">
            <w:pPr>
              <w:jc w:val="right"/>
              <w:rPr>
                <w:b/>
                <w:bCs/>
                <w:sz w:val="18"/>
                <w:szCs w:val="18"/>
              </w:rPr>
            </w:pPr>
            <w:r>
              <w:rPr>
                <w:b/>
                <w:bCs/>
                <w:sz w:val="18"/>
                <w:szCs w:val="18"/>
              </w:rPr>
              <w:t>7 807,7</w:t>
            </w:r>
          </w:p>
        </w:tc>
        <w:tc>
          <w:tcPr>
            <w:tcW w:w="1304" w:type="dxa"/>
            <w:tcBorders>
              <w:top w:val="single" w:sz="4" w:space="0" w:color="auto"/>
              <w:left w:val="nil"/>
              <w:bottom w:val="single" w:sz="4" w:space="0" w:color="auto"/>
              <w:right w:val="single" w:sz="8" w:space="0" w:color="auto"/>
            </w:tcBorders>
            <w:shd w:val="clear" w:color="auto" w:fill="auto"/>
            <w:noWrap/>
            <w:vAlign w:val="bottom"/>
          </w:tcPr>
          <w:p w:rsidR="00820875" w:rsidRDefault="00820875" w:rsidP="005D051A">
            <w:pPr>
              <w:jc w:val="right"/>
              <w:rPr>
                <w:b/>
                <w:bCs/>
                <w:sz w:val="18"/>
                <w:szCs w:val="18"/>
              </w:rPr>
            </w:pPr>
            <w:r>
              <w:rPr>
                <w:b/>
                <w:bCs/>
                <w:sz w:val="18"/>
                <w:szCs w:val="18"/>
              </w:rPr>
              <w:t>20,0%</w:t>
            </w:r>
          </w:p>
        </w:tc>
      </w:tr>
      <w:tr w:rsidR="00820875" w:rsidRPr="00DA7CB9" w:rsidTr="005D051A">
        <w:trPr>
          <w:trHeight w:val="101"/>
          <w:jc w:val="center"/>
        </w:trPr>
        <w:tc>
          <w:tcPr>
            <w:tcW w:w="4854" w:type="dxa"/>
            <w:tcBorders>
              <w:top w:val="single" w:sz="4" w:space="0" w:color="auto"/>
              <w:left w:val="single" w:sz="4" w:space="0" w:color="auto"/>
              <w:bottom w:val="nil"/>
              <w:right w:val="single" w:sz="4" w:space="0" w:color="auto"/>
            </w:tcBorders>
            <w:shd w:val="clear" w:color="auto" w:fill="auto"/>
            <w:noWrap/>
            <w:vAlign w:val="bottom"/>
          </w:tcPr>
          <w:p w:rsidR="00820875" w:rsidRPr="00CC3E53" w:rsidRDefault="00820875" w:rsidP="005D051A">
            <w:pPr>
              <w:rPr>
                <w:b/>
                <w:i/>
                <w:sz w:val="18"/>
                <w:szCs w:val="18"/>
              </w:rPr>
            </w:pPr>
            <w:r w:rsidRPr="00CC3E53">
              <w:rPr>
                <w:b/>
                <w:i/>
                <w:sz w:val="18"/>
                <w:szCs w:val="18"/>
              </w:rPr>
              <w:t xml:space="preserve">   -Нелихвени разходи</w:t>
            </w:r>
          </w:p>
        </w:tc>
        <w:tc>
          <w:tcPr>
            <w:tcW w:w="1276" w:type="dxa"/>
            <w:tcBorders>
              <w:top w:val="single" w:sz="4" w:space="0" w:color="auto"/>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19 350,7</w:t>
            </w:r>
          </w:p>
        </w:tc>
        <w:tc>
          <w:tcPr>
            <w:tcW w:w="1616" w:type="dxa"/>
            <w:tcBorders>
              <w:top w:val="single" w:sz="4" w:space="0" w:color="auto"/>
              <w:left w:val="nil"/>
              <w:bottom w:val="nil"/>
              <w:right w:val="nil"/>
            </w:tcBorders>
            <w:shd w:val="clear" w:color="auto" w:fill="auto"/>
            <w:noWrap/>
            <w:vAlign w:val="bottom"/>
          </w:tcPr>
          <w:p w:rsidR="00820875" w:rsidRDefault="00820875" w:rsidP="005D051A">
            <w:pPr>
              <w:jc w:val="right"/>
              <w:rPr>
                <w:sz w:val="18"/>
                <w:szCs w:val="18"/>
              </w:rPr>
            </w:pPr>
            <w:r>
              <w:rPr>
                <w:sz w:val="18"/>
                <w:szCs w:val="18"/>
              </w:rPr>
              <w:t>2 787,8</w:t>
            </w:r>
          </w:p>
        </w:tc>
        <w:tc>
          <w:tcPr>
            <w:tcW w:w="1304" w:type="dxa"/>
            <w:tcBorders>
              <w:top w:val="single" w:sz="4" w:space="0" w:color="auto"/>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14,4%</w:t>
            </w:r>
          </w:p>
        </w:tc>
      </w:tr>
      <w:tr w:rsidR="00820875" w:rsidRPr="00DA7CB9" w:rsidTr="005D051A">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Текущи </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16 317,6</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2 559,2</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15,7%</w:t>
            </w:r>
          </w:p>
        </w:tc>
      </w:tr>
      <w:tr w:rsidR="00820875" w:rsidRPr="00DA7CB9" w:rsidTr="005D051A">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Предоставени </w:t>
            </w:r>
            <w:proofErr w:type="spellStart"/>
            <w:r w:rsidRPr="00CC3E53">
              <w:rPr>
                <w:sz w:val="18"/>
                <w:szCs w:val="18"/>
              </w:rPr>
              <w:t>тек</w:t>
            </w:r>
            <w:proofErr w:type="spellEnd"/>
            <w:r w:rsidRPr="00CC3E53">
              <w:rPr>
                <w:sz w:val="18"/>
                <w:szCs w:val="18"/>
              </w:rPr>
              <w:t xml:space="preserve">. и </w:t>
            </w:r>
            <w:proofErr w:type="spellStart"/>
            <w:r w:rsidRPr="00CC3E53">
              <w:rPr>
                <w:sz w:val="18"/>
                <w:szCs w:val="18"/>
              </w:rPr>
              <w:t>капит</w:t>
            </w:r>
            <w:proofErr w:type="spellEnd"/>
            <w:r w:rsidRPr="00CC3E53">
              <w:rPr>
                <w:sz w:val="18"/>
                <w:szCs w:val="18"/>
              </w:rPr>
              <w:t>. трансфери за чужбина</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19,1</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0,9</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4,5%</w:t>
            </w:r>
          </w:p>
        </w:tc>
      </w:tr>
      <w:tr w:rsidR="00820875" w:rsidRPr="00DA7CB9" w:rsidTr="005D051A">
        <w:trPr>
          <w:trHeight w:val="179"/>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Капиталови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3 014,0</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227,8</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7,6%</w:t>
            </w:r>
          </w:p>
        </w:tc>
      </w:tr>
      <w:tr w:rsidR="00820875" w:rsidRPr="00DA7CB9" w:rsidTr="005D051A">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b/>
                <w:i/>
                <w:sz w:val="18"/>
                <w:szCs w:val="18"/>
              </w:rPr>
            </w:pPr>
            <w:r w:rsidRPr="00CC3E53">
              <w:rPr>
                <w:b/>
                <w:i/>
                <w:sz w:val="18"/>
                <w:szCs w:val="18"/>
              </w:rPr>
              <w:t xml:space="preserve">   -Лихви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629,8</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327,1</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51,9%</w:t>
            </w:r>
          </w:p>
        </w:tc>
      </w:tr>
      <w:tr w:rsidR="00820875" w:rsidRPr="00DA7CB9" w:rsidTr="005D051A">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По външни заеми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487,0</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282,8</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58,1%</w:t>
            </w:r>
          </w:p>
        </w:tc>
      </w:tr>
      <w:tr w:rsidR="00820875" w:rsidRPr="00DA7CB9" w:rsidTr="005D051A">
        <w:trPr>
          <w:trHeight w:val="80"/>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sz w:val="18"/>
                <w:szCs w:val="18"/>
              </w:rPr>
            </w:pPr>
            <w:r w:rsidRPr="00CC3E53">
              <w:rPr>
                <w:sz w:val="18"/>
                <w:szCs w:val="18"/>
              </w:rPr>
              <w:t xml:space="preserve">      По вътрешни заеми</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142,8</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44,3</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31,0%</w:t>
            </w:r>
          </w:p>
        </w:tc>
      </w:tr>
      <w:tr w:rsidR="00820875" w:rsidRPr="00DA7CB9" w:rsidTr="005D051A">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b/>
                <w:i/>
                <w:sz w:val="18"/>
                <w:szCs w:val="18"/>
              </w:rPr>
            </w:pPr>
            <w:r w:rsidRPr="00CC3E53">
              <w:rPr>
                <w:b/>
                <w:i/>
                <w:sz w:val="18"/>
                <w:szCs w:val="18"/>
              </w:rPr>
              <w:t xml:space="preserve"> - Резерв за непредвидени и неотложни разходи</w:t>
            </w:r>
            <w:r w:rsidRPr="00CC3E53">
              <w:rPr>
                <w:rStyle w:val="FootnoteReference"/>
              </w:rPr>
              <w:footnoteReference w:id="10"/>
            </w:r>
            <w:r w:rsidRPr="00CC3E53">
              <w:rPr>
                <w:b/>
                <w:i/>
                <w:sz w:val="18"/>
                <w:szCs w:val="18"/>
              </w:rPr>
              <w:tab/>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81,4</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p>
        </w:tc>
      </w:tr>
      <w:tr w:rsidR="00820875" w:rsidRPr="00DA7CB9" w:rsidTr="005D051A">
        <w:trPr>
          <w:trHeight w:val="85"/>
          <w:jc w:val="center"/>
        </w:trPr>
        <w:tc>
          <w:tcPr>
            <w:tcW w:w="4854" w:type="dxa"/>
            <w:tcBorders>
              <w:top w:val="nil"/>
              <w:left w:val="single" w:sz="4" w:space="0" w:color="auto"/>
              <w:bottom w:val="nil"/>
              <w:right w:val="single" w:sz="4" w:space="0" w:color="auto"/>
            </w:tcBorders>
            <w:shd w:val="clear" w:color="auto" w:fill="auto"/>
            <w:noWrap/>
            <w:vAlign w:val="bottom"/>
          </w:tcPr>
          <w:p w:rsidR="00820875" w:rsidRPr="00CC3E53" w:rsidRDefault="00820875" w:rsidP="005D051A">
            <w:pPr>
              <w:rPr>
                <w:b/>
                <w:i/>
                <w:sz w:val="18"/>
                <w:szCs w:val="18"/>
              </w:rPr>
            </w:pPr>
            <w:r w:rsidRPr="00CC3E53">
              <w:rPr>
                <w:b/>
                <w:i/>
                <w:sz w:val="18"/>
                <w:szCs w:val="18"/>
              </w:rPr>
              <w:t xml:space="preserve"> -Трансфери за  др. бюджети – нето</w:t>
            </w:r>
          </w:p>
        </w:tc>
        <w:tc>
          <w:tcPr>
            <w:tcW w:w="1276" w:type="dxa"/>
            <w:tcBorders>
              <w:top w:val="nil"/>
              <w:left w:val="nil"/>
              <w:bottom w:val="nil"/>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17 272,8</w:t>
            </w:r>
          </w:p>
        </w:tc>
        <w:tc>
          <w:tcPr>
            <w:tcW w:w="1616" w:type="dxa"/>
            <w:tcBorders>
              <w:top w:val="nil"/>
              <w:left w:val="nil"/>
              <w:bottom w:val="nil"/>
              <w:right w:val="nil"/>
            </w:tcBorders>
            <w:shd w:val="clear" w:color="auto" w:fill="auto"/>
            <w:noWrap/>
            <w:vAlign w:val="bottom"/>
          </w:tcPr>
          <w:p w:rsidR="00820875" w:rsidRDefault="00820875" w:rsidP="005D051A">
            <w:pPr>
              <w:jc w:val="right"/>
              <w:rPr>
                <w:sz w:val="18"/>
                <w:szCs w:val="18"/>
              </w:rPr>
            </w:pPr>
            <w:r>
              <w:rPr>
                <w:sz w:val="18"/>
                <w:szCs w:val="18"/>
              </w:rPr>
              <w:t>4 291,0</w:t>
            </w:r>
          </w:p>
        </w:tc>
        <w:tc>
          <w:tcPr>
            <w:tcW w:w="1304" w:type="dxa"/>
            <w:tcBorders>
              <w:top w:val="nil"/>
              <w:left w:val="nil"/>
              <w:bottom w:val="nil"/>
              <w:right w:val="single" w:sz="8" w:space="0" w:color="auto"/>
            </w:tcBorders>
            <w:shd w:val="clear" w:color="auto" w:fill="auto"/>
            <w:noWrap/>
            <w:vAlign w:val="bottom"/>
          </w:tcPr>
          <w:p w:rsidR="00820875" w:rsidRDefault="00820875" w:rsidP="005D051A">
            <w:pPr>
              <w:jc w:val="right"/>
              <w:rPr>
                <w:sz w:val="18"/>
                <w:szCs w:val="18"/>
              </w:rPr>
            </w:pPr>
            <w:r>
              <w:rPr>
                <w:sz w:val="18"/>
                <w:szCs w:val="18"/>
              </w:rPr>
              <w:t>24,8%</w:t>
            </w:r>
          </w:p>
        </w:tc>
      </w:tr>
      <w:tr w:rsidR="00820875" w:rsidRPr="00DA7CB9" w:rsidTr="005D051A">
        <w:trPr>
          <w:trHeight w:val="80"/>
          <w:jc w:val="center"/>
        </w:trPr>
        <w:tc>
          <w:tcPr>
            <w:tcW w:w="4854" w:type="dxa"/>
            <w:tcBorders>
              <w:top w:val="nil"/>
              <w:left w:val="single" w:sz="4" w:space="0" w:color="auto"/>
              <w:bottom w:val="single" w:sz="4" w:space="0" w:color="auto"/>
              <w:right w:val="single" w:sz="4" w:space="0" w:color="auto"/>
            </w:tcBorders>
            <w:shd w:val="clear" w:color="auto" w:fill="auto"/>
            <w:noWrap/>
            <w:vAlign w:val="bottom"/>
          </w:tcPr>
          <w:p w:rsidR="00820875" w:rsidRPr="00CC3E53" w:rsidRDefault="00820875" w:rsidP="005D051A">
            <w:pPr>
              <w:rPr>
                <w:b/>
                <w:bCs/>
                <w:i/>
                <w:sz w:val="18"/>
                <w:szCs w:val="18"/>
              </w:rPr>
            </w:pPr>
            <w:r w:rsidRPr="00CC3E53">
              <w:rPr>
                <w:b/>
                <w:bCs/>
                <w:i/>
                <w:sz w:val="18"/>
                <w:szCs w:val="18"/>
              </w:rPr>
              <w:t xml:space="preserve"> - Вноска в бюджета на ЕС</w:t>
            </w:r>
          </w:p>
        </w:tc>
        <w:tc>
          <w:tcPr>
            <w:tcW w:w="1276" w:type="dxa"/>
            <w:tcBorders>
              <w:top w:val="nil"/>
              <w:left w:val="nil"/>
              <w:bottom w:val="single" w:sz="4" w:space="0" w:color="auto"/>
              <w:right w:val="nil"/>
            </w:tcBorders>
            <w:shd w:val="clear" w:color="auto" w:fill="auto"/>
            <w:noWrap/>
            <w:vAlign w:val="bottom"/>
          </w:tcPr>
          <w:p w:rsidR="00820875" w:rsidRPr="00CC3E53" w:rsidRDefault="00820875" w:rsidP="005D051A">
            <w:pPr>
              <w:jc w:val="right"/>
              <w:rPr>
                <w:sz w:val="18"/>
                <w:szCs w:val="18"/>
              </w:rPr>
            </w:pPr>
            <w:r w:rsidRPr="00CC3E53">
              <w:rPr>
                <w:sz w:val="18"/>
                <w:szCs w:val="18"/>
              </w:rPr>
              <w:t>1 683,3</w:t>
            </w:r>
          </w:p>
        </w:tc>
        <w:tc>
          <w:tcPr>
            <w:tcW w:w="1616" w:type="dxa"/>
            <w:tcBorders>
              <w:top w:val="nil"/>
              <w:left w:val="nil"/>
              <w:bottom w:val="single" w:sz="4" w:space="0" w:color="auto"/>
              <w:right w:val="nil"/>
            </w:tcBorders>
            <w:shd w:val="clear" w:color="auto" w:fill="auto"/>
            <w:noWrap/>
            <w:vAlign w:val="bottom"/>
          </w:tcPr>
          <w:p w:rsidR="00820875" w:rsidRDefault="00820875" w:rsidP="005D051A">
            <w:pPr>
              <w:jc w:val="right"/>
              <w:rPr>
                <w:sz w:val="18"/>
                <w:szCs w:val="18"/>
              </w:rPr>
            </w:pPr>
            <w:r>
              <w:rPr>
                <w:sz w:val="18"/>
                <w:szCs w:val="18"/>
              </w:rPr>
              <w:t>401,8</w:t>
            </w:r>
          </w:p>
        </w:tc>
        <w:tc>
          <w:tcPr>
            <w:tcW w:w="1304" w:type="dxa"/>
            <w:tcBorders>
              <w:top w:val="nil"/>
              <w:left w:val="nil"/>
              <w:bottom w:val="single" w:sz="4" w:space="0" w:color="auto"/>
              <w:right w:val="single" w:sz="8" w:space="0" w:color="auto"/>
            </w:tcBorders>
            <w:shd w:val="clear" w:color="auto" w:fill="auto"/>
            <w:noWrap/>
            <w:vAlign w:val="bottom"/>
          </w:tcPr>
          <w:p w:rsidR="00820875" w:rsidRDefault="00820875" w:rsidP="005D051A">
            <w:pPr>
              <w:jc w:val="right"/>
              <w:rPr>
                <w:sz w:val="18"/>
                <w:szCs w:val="18"/>
              </w:rPr>
            </w:pPr>
            <w:r>
              <w:rPr>
                <w:sz w:val="18"/>
                <w:szCs w:val="18"/>
              </w:rPr>
              <w:t>23,9%</w:t>
            </w:r>
          </w:p>
        </w:tc>
      </w:tr>
      <w:tr w:rsidR="00820875" w:rsidRPr="00DA7CB9" w:rsidTr="005D051A">
        <w:trPr>
          <w:trHeight w:val="70"/>
          <w:jc w:val="center"/>
        </w:trPr>
        <w:tc>
          <w:tcPr>
            <w:tcW w:w="485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0875" w:rsidRPr="00CC3E53" w:rsidRDefault="00820875" w:rsidP="005D051A">
            <w:pPr>
              <w:rPr>
                <w:b/>
                <w:bCs/>
                <w:sz w:val="18"/>
                <w:szCs w:val="18"/>
              </w:rPr>
            </w:pPr>
            <w:r w:rsidRPr="00CC3E53">
              <w:rPr>
                <w:b/>
                <w:bCs/>
                <w:sz w:val="18"/>
                <w:szCs w:val="18"/>
              </w:rPr>
              <w:t>Бюджетен баланс</w:t>
            </w:r>
          </w:p>
        </w:tc>
        <w:tc>
          <w:tcPr>
            <w:tcW w:w="1276" w:type="dxa"/>
            <w:tcBorders>
              <w:top w:val="single" w:sz="4" w:space="0" w:color="auto"/>
              <w:left w:val="nil"/>
              <w:bottom w:val="single" w:sz="8" w:space="0" w:color="auto"/>
              <w:right w:val="nil"/>
            </w:tcBorders>
            <w:shd w:val="clear" w:color="auto" w:fill="auto"/>
            <w:noWrap/>
            <w:vAlign w:val="bottom"/>
          </w:tcPr>
          <w:p w:rsidR="00820875" w:rsidRPr="00CC3E53" w:rsidRDefault="00820875" w:rsidP="005D051A">
            <w:pPr>
              <w:jc w:val="right"/>
              <w:rPr>
                <w:b/>
                <w:bCs/>
                <w:sz w:val="18"/>
                <w:szCs w:val="18"/>
              </w:rPr>
            </w:pPr>
            <w:r w:rsidRPr="00CC3E53">
              <w:rPr>
                <w:b/>
                <w:bCs/>
                <w:sz w:val="18"/>
                <w:szCs w:val="18"/>
              </w:rPr>
              <w:t>-6 253,2</w:t>
            </w:r>
          </w:p>
        </w:tc>
        <w:tc>
          <w:tcPr>
            <w:tcW w:w="1616" w:type="dxa"/>
            <w:tcBorders>
              <w:top w:val="single" w:sz="4" w:space="0" w:color="auto"/>
              <w:left w:val="nil"/>
              <w:bottom w:val="single" w:sz="8" w:space="0" w:color="auto"/>
              <w:right w:val="nil"/>
            </w:tcBorders>
            <w:shd w:val="clear" w:color="auto" w:fill="auto"/>
            <w:noWrap/>
            <w:vAlign w:val="bottom"/>
          </w:tcPr>
          <w:p w:rsidR="00820875" w:rsidRDefault="00820875" w:rsidP="005D051A">
            <w:pPr>
              <w:jc w:val="right"/>
              <w:rPr>
                <w:b/>
                <w:bCs/>
                <w:sz w:val="18"/>
                <w:szCs w:val="18"/>
              </w:rPr>
            </w:pPr>
            <w:r>
              <w:rPr>
                <w:b/>
                <w:bCs/>
                <w:sz w:val="18"/>
                <w:szCs w:val="18"/>
              </w:rPr>
              <w:t>-610,5</w:t>
            </w:r>
          </w:p>
        </w:tc>
        <w:tc>
          <w:tcPr>
            <w:tcW w:w="1304" w:type="dxa"/>
            <w:tcBorders>
              <w:top w:val="single" w:sz="4" w:space="0" w:color="auto"/>
              <w:left w:val="nil"/>
              <w:bottom w:val="single" w:sz="8" w:space="0" w:color="auto"/>
              <w:right w:val="single" w:sz="8" w:space="0" w:color="auto"/>
            </w:tcBorders>
            <w:shd w:val="clear" w:color="auto" w:fill="auto"/>
            <w:noWrap/>
            <w:vAlign w:val="bottom"/>
          </w:tcPr>
          <w:p w:rsidR="00820875" w:rsidRDefault="00820875" w:rsidP="005D051A">
            <w:pPr>
              <w:jc w:val="right"/>
              <w:rPr>
                <w:b/>
                <w:bCs/>
                <w:sz w:val="18"/>
                <w:szCs w:val="18"/>
              </w:rPr>
            </w:pPr>
          </w:p>
        </w:tc>
      </w:tr>
    </w:tbl>
    <w:p w:rsidR="00820875" w:rsidRPr="00DA7CB9" w:rsidRDefault="00820875" w:rsidP="00820875">
      <w:pPr>
        <w:pStyle w:val="BodyTextIndent"/>
        <w:ind w:left="360"/>
        <w:jc w:val="both"/>
        <w:rPr>
          <w:b/>
          <w:color w:val="0070C0"/>
          <w:sz w:val="12"/>
        </w:rPr>
      </w:pPr>
    </w:p>
    <w:p w:rsidR="00820875" w:rsidRPr="004F4CC9" w:rsidRDefault="00820875" w:rsidP="00820875">
      <w:pPr>
        <w:pStyle w:val="BodyTextIndent"/>
        <w:numPr>
          <w:ilvl w:val="0"/>
          <w:numId w:val="2"/>
        </w:numPr>
        <w:jc w:val="both"/>
        <w:rPr>
          <w:b/>
        </w:rPr>
      </w:pPr>
      <w:r w:rsidRPr="004F4CC9">
        <w:rPr>
          <w:b/>
          <w:bCs/>
        </w:rPr>
        <w:t xml:space="preserve">Приходи по държавния бюджет </w:t>
      </w:r>
    </w:p>
    <w:p w:rsidR="00820875" w:rsidRPr="004F4CC9" w:rsidRDefault="00820875" w:rsidP="00820875">
      <w:pPr>
        <w:spacing w:after="120"/>
        <w:jc w:val="both"/>
        <w:rPr>
          <w:bCs/>
        </w:rPr>
      </w:pPr>
      <w:r w:rsidRPr="004F4CC9">
        <w:rPr>
          <w:bCs/>
        </w:rPr>
        <w:t>Общият размер на</w:t>
      </w:r>
      <w:r w:rsidRPr="004F4CC9">
        <w:rPr>
          <w:b/>
          <w:bCs/>
        </w:rPr>
        <w:t xml:space="preserve"> приходите, помощите и даренията по държавния бюджет</w:t>
      </w:r>
      <w:r w:rsidRPr="004F4CC9">
        <w:rPr>
          <w:bCs/>
        </w:rPr>
        <w:t xml:space="preserve"> </w:t>
      </w:r>
      <w:r w:rsidRPr="00A43188">
        <w:rPr>
          <w:bCs/>
        </w:rPr>
        <w:t>за първо тримесечие на</w:t>
      </w:r>
      <w:r>
        <w:rPr>
          <w:bCs/>
        </w:rPr>
        <w:t xml:space="preserve"> </w:t>
      </w:r>
      <w:r w:rsidRPr="004F4CC9">
        <w:rPr>
          <w:bCs/>
        </w:rPr>
        <w:t>2022 г. е</w:t>
      </w:r>
      <w:r w:rsidRPr="004F4CC9">
        <w:rPr>
          <w:b/>
          <w:bCs/>
        </w:rPr>
        <w:t xml:space="preserve"> 7 197,1 млн. лв.</w:t>
      </w:r>
      <w:r w:rsidRPr="004F4CC9">
        <w:rPr>
          <w:bCs/>
        </w:rPr>
        <w:t>, което представлява 22,0 % изпълнение на разчетите по ЗДБРБ за 2022 година.</w:t>
      </w:r>
    </w:p>
    <w:p w:rsidR="00820875" w:rsidRPr="004F4CC9" w:rsidRDefault="00820875" w:rsidP="00820875">
      <w:pPr>
        <w:numPr>
          <w:ilvl w:val="0"/>
          <w:numId w:val="3"/>
        </w:numPr>
        <w:tabs>
          <w:tab w:val="num" w:pos="720"/>
        </w:tabs>
        <w:ind w:left="0" w:firstLine="180"/>
        <w:jc w:val="both"/>
        <w:rPr>
          <w:b/>
          <w:bCs/>
        </w:rPr>
      </w:pPr>
      <w:r w:rsidRPr="004F4CC9">
        <w:rPr>
          <w:bCs/>
        </w:rPr>
        <w:t xml:space="preserve"> </w:t>
      </w:r>
      <w:r w:rsidRPr="004F4CC9">
        <w:rPr>
          <w:b/>
          <w:bCs/>
        </w:rPr>
        <w:t>Данъчни приходи</w:t>
      </w:r>
    </w:p>
    <w:p w:rsidR="00820875" w:rsidRPr="00DA7CB9" w:rsidRDefault="00820875" w:rsidP="00820875">
      <w:pPr>
        <w:jc w:val="both"/>
        <w:rPr>
          <w:bCs/>
          <w:color w:val="0070C0"/>
          <w:sz w:val="4"/>
          <w:szCs w:val="4"/>
        </w:rPr>
      </w:pPr>
    </w:p>
    <w:p w:rsidR="00820875" w:rsidRPr="004F4CC9" w:rsidRDefault="00820875" w:rsidP="00820875">
      <w:pPr>
        <w:jc w:val="both"/>
      </w:pPr>
      <w:r w:rsidRPr="004F4CC9">
        <w:rPr>
          <w:bCs/>
        </w:rPr>
        <w:t>Размерът на</w:t>
      </w:r>
      <w:r w:rsidRPr="004F4CC9">
        <w:rPr>
          <w:b/>
          <w:bCs/>
        </w:rPr>
        <w:t xml:space="preserve"> данъчните постъпления по държавния бюджет</w:t>
      </w:r>
      <w:r w:rsidRPr="004F4CC9">
        <w:rPr>
          <w:bCs/>
        </w:rPr>
        <w:t xml:space="preserve"> към март 2022 г. </w:t>
      </w:r>
      <w:r w:rsidRPr="004F4CC9">
        <w:t xml:space="preserve">е </w:t>
      </w:r>
      <w:r w:rsidRPr="004F4CC9">
        <w:rPr>
          <w:b/>
          <w:lang w:val="ru-RU"/>
        </w:rPr>
        <w:t>6 460,3</w:t>
      </w:r>
      <w:r w:rsidRPr="004F4CC9">
        <w:rPr>
          <w:b/>
        </w:rPr>
        <w:t> млн.</w:t>
      </w:r>
      <w:r w:rsidRPr="004F4CC9">
        <w:rPr>
          <w:b/>
          <w:lang w:val="en-US"/>
        </w:rPr>
        <w:t> </w:t>
      </w:r>
      <w:r w:rsidRPr="004F4CC9">
        <w:rPr>
          <w:b/>
        </w:rPr>
        <w:t>лв</w:t>
      </w:r>
      <w:r w:rsidRPr="004F4CC9">
        <w:t xml:space="preserve">., което представлява 21,3 % изпълнение на годишните разчети. В сравнение със същия период на 2021 г. постъпленията в групата нарастват със </w:t>
      </w:r>
      <w:r w:rsidRPr="004F4CC9">
        <w:rPr>
          <w:lang w:val="ru-RU"/>
        </w:rPr>
        <w:t>778,6</w:t>
      </w:r>
      <w:r w:rsidRPr="004F4CC9">
        <w:t xml:space="preserve"> млн. лева (</w:t>
      </w:r>
      <w:r w:rsidRPr="003B46C7">
        <w:t>13</w:t>
      </w:r>
      <w:r>
        <w:t>,7</w:t>
      </w:r>
      <w:r w:rsidRPr="004F4CC9">
        <w:t xml:space="preserve"> %).</w:t>
      </w:r>
    </w:p>
    <w:p w:rsidR="00820875" w:rsidRPr="00DA7CB9" w:rsidRDefault="00820875" w:rsidP="00820875">
      <w:pPr>
        <w:jc w:val="both"/>
        <w:rPr>
          <w:color w:val="0070C0"/>
          <w:sz w:val="10"/>
        </w:rPr>
      </w:pPr>
    </w:p>
    <w:p w:rsidR="00820875" w:rsidRPr="005142B7" w:rsidRDefault="00820875" w:rsidP="00820875">
      <w:pPr>
        <w:numPr>
          <w:ilvl w:val="0"/>
          <w:numId w:val="4"/>
        </w:numPr>
        <w:tabs>
          <w:tab w:val="clear" w:pos="1440"/>
          <w:tab w:val="num" w:pos="540"/>
        </w:tabs>
        <w:spacing w:before="120" w:after="120"/>
        <w:ind w:left="0" w:firstLine="181"/>
        <w:jc w:val="both"/>
        <w:rPr>
          <w:b/>
          <w:bCs/>
        </w:rPr>
      </w:pPr>
      <w:r w:rsidRPr="005142B7">
        <w:rPr>
          <w:b/>
          <w:bCs/>
        </w:rPr>
        <w:t>Преки данъци</w:t>
      </w:r>
    </w:p>
    <w:p w:rsidR="00820875" w:rsidRDefault="00820875" w:rsidP="00820875">
      <w:pPr>
        <w:spacing w:before="120"/>
        <w:jc w:val="both"/>
      </w:pPr>
      <w:r w:rsidRPr="005142B7">
        <w:t>Приходите в групата на</w:t>
      </w:r>
      <w:r w:rsidRPr="005142B7">
        <w:rPr>
          <w:b/>
        </w:rPr>
        <w:t xml:space="preserve"> преките данъци</w:t>
      </w:r>
      <w:r w:rsidRPr="005142B7">
        <w:t xml:space="preserve"> са в размер на</w:t>
      </w:r>
      <w:r w:rsidRPr="005142B7">
        <w:rPr>
          <w:b/>
        </w:rPr>
        <w:t> 1 242,7 млн. лв</w:t>
      </w:r>
      <w:r w:rsidRPr="005142B7">
        <w:t>. или 13,5 % от планираните за годината, като съпоставени със същия период на предходната година постъпленията намаляват с 16,1 млн. лв.</w:t>
      </w:r>
    </w:p>
    <w:p w:rsidR="00820875" w:rsidRPr="000A6528" w:rsidRDefault="00820875" w:rsidP="00820875">
      <w:pPr>
        <w:spacing w:before="120"/>
        <w:jc w:val="both"/>
      </w:pPr>
      <w:r w:rsidRPr="005142B7">
        <w:t>Приходите от</w:t>
      </w:r>
      <w:r w:rsidRPr="005142B7">
        <w:rPr>
          <w:b/>
        </w:rPr>
        <w:t xml:space="preserve"> </w:t>
      </w:r>
      <w:r w:rsidRPr="005142B7">
        <w:rPr>
          <w:b/>
          <w:bCs/>
          <w:i/>
        </w:rPr>
        <w:t>корпоративни данъци</w:t>
      </w:r>
      <w:r w:rsidRPr="005142B7">
        <w:t xml:space="preserve"> </w:t>
      </w:r>
      <w:r w:rsidRPr="005142B7">
        <w:rPr>
          <w:bCs/>
        </w:rPr>
        <w:t>към март 2022</w:t>
      </w:r>
      <w:r w:rsidRPr="005142B7">
        <w:rPr>
          <w:b/>
        </w:rPr>
        <w:t> </w:t>
      </w:r>
      <w:r w:rsidRPr="005142B7">
        <w:t>г. са в размер на 158,6 млн. лв. или 4,0 % от годишния план. Сравнени с данните към месец март на предходната година постъпленията нарастват с 15,0</w:t>
      </w:r>
      <w:r w:rsidRPr="005142B7">
        <w:rPr>
          <w:lang w:val="ru-RU"/>
        </w:rPr>
        <w:t xml:space="preserve"> </w:t>
      </w:r>
      <w:r w:rsidRPr="005142B7">
        <w:t xml:space="preserve">млн. лв. </w:t>
      </w:r>
      <w:r w:rsidRPr="005142B7">
        <w:rPr>
          <w:lang w:val="ru-RU"/>
        </w:rPr>
        <w:t>(</w:t>
      </w:r>
      <w:r w:rsidRPr="005142B7">
        <w:rPr>
          <w:bCs/>
          <w:lang w:val="ru-RU"/>
        </w:rPr>
        <w:t>10,5</w:t>
      </w:r>
      <w:r w:rsidRPr="005142B7">
        <w:rPr>
          <w:lang w:val="ru-RU"/>
        </w:rPr>
        <w:t xml:space="preserve"> %). </w:t>
      </w:r>
      <w:r w:rsidRPr="005142B7">
        <w:t xml:space="preserve">Приходите от данък върху дивидентите, ликвидационните дялове и доходите на местни и чуждестранни юридически лица са в размер на 28,8 млн. лв., като нарастват с 3,6 млн. лв. </w:t>
      </w:r>
      <w:r w:rsidRPr="000A6528">
        <w:t xml:space="preserve">(14,3 %) спрямо същия период на 2021 година. </w:t>
      </w:r>
    </w:p>
    <w:p w:rsidR="00820875" w:rsidRPr="00E72EE0" w:rsidRDefault="00820875" w:rsidP="00820875">
      <w:pPr>
        <w:spacing w:before="120" w:after="120"/>
        <w:jc w:val="both"/>
      </w:pPr>
      <w:r w:rsidRPr="000A6528">
        <w:t>Приходите от</w:t>
      </w:r>
      <w:r w:rsidRPr="000A6528">
        <w:rPr>
          <w:b/>
        </w:rPr>
        <w:t xml:space="preserve"> данъци върху доходите на физически лица </w:t>
      </w:r>
      <w:r w:rsidRPr="000A6528">
        <w:t xml:space="preserve">са в размер на </w:t>
      </w:r>
      <w:r w:rsidRPr="000A6528">
        <w:rPr>
          <w:b/>
          <w:lang w:val="ru-RU"/>
        </w:rPr>
        <w:t>1 084,0</w:t>
      </w:r>
      <w:r w:rsidRPr="000A6528">
        <w:rPr>
          <w:b/>
        </w:rPr>
        <w:t xml:space="preserve"> млн. лв.</w:t>
      </w:r>
      <w:r w:rsidRPr="000A6528">
        <w:t xml:space="preserve"> или 20,7 % от заложените в разчета за годината. Тези приходи са с 31,1 млн. лв. по-ниски (2,8 %), </w:t>
      </w:r>
      <w:r w:rsidRPr="000A6528">
        <w:lastRenderedPageBreak/>
        <w:t>спрямо същия период на предходната година</w:t>
      </w:r>
      <w:r w:rsidRPr="00E72EE0">
        <w:t>, като по-ниските постъпления основно се дължат на ползвани данъчни облекчения за деца за 2021 г. по ЗДДФЛ. Законово определеният размер на данъчни облекчения за отглеждане на деца за 2020 г. бе значително по-малък, което при равни други условия води до по-високи постъпления от ДДФЛ за първото тримесечие на 2021</w:t>
      </w:r>
      <w:r w:rsidR="002C0304">
        <w:t> </w:t>
      </w:r>
      <w:r w:rsidRPr="00E72EE0">
        <w:t xml:space="preserve">г. Очаква се ползването на облекченията да окаже влияние и през следващите отчетни периоди на годината при подаване на годишната данъчна декларация за доходите, придобити през 2021 година, както и при ползването на облекчението чрез работодател през месец декември за придобитите доходи през 2022 година. </w:t>
      </w:r>
    </w:p>
    <w:p w:rsidR="00820875" w:rsidRPr="00E11426" w:rsidRDefault="00820875" w:rsidP="00820875">
      <w:pPr>
        <w:spacing w:before="120" w:after="120"/>
        <w:jc w:val="both"/>
      </w:pPr>
      <w:r w:rsidRPr="002044D1">
        <w:t>Върху размера на данъчните постъпления от ДДФЛ основно влияние имат и развитието на пазара на труда и предприетите законодателни и административни мерки в областта на трудовото, социалното и данъчното законодателство.</w:t>
      </w:r>
      <w:r w:rsidRPr="00E11426">
        <w:t xml:space="preserve"> </w:t>
      </w:r>
    </w:p>
    <w:p w:rsidR="00E86608" w:rsidRPr="00DA7CB9" w:rsidRDefault="00E86608" w:rsidP="00E86608">
      <w:pPr>
        <w:spacing w:after="120"/>
        <w:jc w:val="both"/>
        <w:rPr>
          <w:color w:val="0070C0"/>
        </w:rPr>
      </w:pPr>
      <w:r w:rsidRPr="00EB17DC">
        <w:rPr>
          <w:i/>
        </w:rPr>
        <w:t>По трудови правоотношения</w:t>
      </w:r>
      <w:r w:rsidRPr="00EB17DC">
        <w:t xml:space="preserve"> приходите от данъка </w:t>
      </w:r>
      <w:r w:rsidRPr="00EB17DC">
        <w:rPr>
          <w:bCs/>
        </w:rPr>
        <w:t>към март 2022</w:t>
      </w:r>
      <w:r w:rsidRPr="00EB17DC">
        <w:t xml:space="preserve"> г. са 867,5 млн. лв., 19,4 % от годишните разчети. Тези приходи са с 36,5 млн. лв. (4,0 %) по-малко в сравнение със същия период на предходната година.</w:t>
      </w:r>
      <w:r>
        <w:t xml:space="preserve"> </w:t>
      </w:r>
      <w:r w:rsidRPr="000806FD">
        <w:t xml:space="preserve">Значително влияние върху по-ниските приходи от трудови правоотношения от началото на годината оказва ползването на облекченията за деца по чл. 22в и чл. 22г от ЗДДФЛ </w:t>
      </w:r>
      <w:r>
        <w:t xml:space="preserve">за 2021 г. </w:t>
      </w:r>
      <w:r w:rsidRPr="000806FD">
        <w:t xml:space="preserve">чрез </w:t>
      </w:r>
      <w:r w:rsidRPr="005A1613">
        <w:t>работодателя.</w:t>
      </w:r>
      <w:r w:rsidRPr="00313F29">
        <w:t xml:space="preserve">  </w:t>
      </w:r>
    </w:p>
    <w:p w:rsidR="00820875" w:rsidRPr="008C59C7" w:rsidRDefault="00820875" w:rsidP="00820875">
      <w:pPr>
        <w:spacing w:after="120"/>
        <w:jc w:val="both"/>
      </w:pPr>
      <w:r w:rsidRPr="00E92147">
        <w:rPr>
          <w:i/>
        </w:rPr>
        <w:t xml:space="preserve">По </w:t>
      </w:r>
      <w:proofErr w:type="spellStart"/>
      <w:r w:rsidRPr="00E92147">
        <w:rPr>
          <w:i/>
        </w:rPr>
        <w:t>извънтрудови</w:t>
      </w:r>
      <w:proofErr w:type="spellEnd"/>
      <w:r w:rsidRPr="00E92147">
        <w:rPr>
          <w:i/>
        </w:rPr>
        <w:t xml:space="preserve"> правоотношения (свободни професии, граждански договори и др.)</w:t>
      </w:r>
      <w:r w:rsidRPr="00E92147">
        <w:t xml:space="preserve"> приходите от данъка </w:t>
      </w:r>
      <w:r w:rsidRPr="00E92147">
        <w:rPr>
          <w:bCs/>
        </w:rPr>
        <w:t>към март 2022</w:t>
      </w:r>
      <w:r w:rsidRPr="00E92147">
        <w:t xml:space="preserve"> г. са в размер на 84,5 млн. лв., което е 31,0 % от годишния разчет. За отчетния период са постъпили с 21,0 млн. лв. по-малко (19,9 % спад) приходи спрямо края на март 2021 година. </w:t>
      </w:r>
      <w:r w:rsidRPr="003D16E4">
        <w:t>Основно влияние върху тези приходи оказват резултатите от годишните данъчни декларации по чл. 50 от ЗДДФЛ (дължим данък за довнасяне или надвнесен данък) и дължимите авансови вноски. Влияние върху постъпленията от този вид данъци през отчетния период оказва и ползването на данъчните облекчения за деца и за деца с увреждания в увеличен размер при подаването на годишната данъчна декларация за 2021 година.</w:t>
      </w:r>
    </w:p>
    <w:p w:rsidR="00820875" w:rsidRPr="00F22462" w:rsidRDefault="00820875" w:rsidP="00820875">
      <w:pPr>
        <w:spacing w:after="120"/>
        <w:jc w:val="both"/>
      </w:pPr>
      <w:r w:rsidRPr="008775D3">
        <w:rPr>
          <w:i/>
        </w:rPr>
        <w:t xml:space="preserve">Окончателен данък на местните и чуждестранни физически лица по чл. 37 и 38 от ЗДДФЛ </w:t>
      </w:r>
      <w:r w:rsidRPr="008775D3">
        <w:t xml:space="preserve">и </w:t>
      </w:r>
      <w:r w:rsidRPr="008775D3">
        <w:rPr>
          <w:i/>
        </w:rPr>
        <w:t>данък върху дивидентите и ликвидационните дялове на физически лица</w:t>
      </w:r>
      <w:r w:rsidRPr="008775D3">
        <w:t xml:space="preserve"> - постъпленията от тези данъци са в размер на 130,8 млн. лв., 25,9 % от годишния </w:t>
      </w:r>
      <w:r w:rsidRPr="00D52EFF">
        <w:t>разчет. За отчетния период са постъпили с 26,9 млн. лв. повече (</w:t>
      </w:r>
      <w:r w:rsidRPr="009E2DEB">
        <w:t>25,9 %) спрямо края на март 2021 година. Влияне за по-високото изпълнение на приходите от данък върху дивидентите и ликвидационните дялове на местни и чуждестранни физически и юридически лица има предприетата кампания от НАП през 2021 г. за проверка на касови наличности. Кампанията е насочена прио</w:t>
      </w:r>
      <w:r>
        <w:t xml:space="preserve">ритетно към лица, за които има </w:t>
      </w:r>
      <w:r w:rsidRPr="009E2DEB">
        <w:t>информация за висока касова наличност (над 100 хил. лв.) през 2018 г., 2019 г. и 2020 г., и при които има риск от наличие на сделки, сключени при условия, водещи до отклонение от данъчно облагане, наличието на скрито разпределение на печалбата по смисъла на § 1, т. 5 от ДР на ЗКПО</w:t>
      </w:r>
      <w:r w:rsidRPr="0082332F">
        <w:t>. Скритото разпределение на печалбата се третира като дивидент, за който се внася 5 % данък върху разпределените суми.</w:t>
      </w:r>
      <w:r w:rsidRPr="00F22462">
        <w:t xml:space="preserve"> </w:t>
      </w:r>
    </w:p>
    <w:p w:rsidR="00820875" w:rsidRPr="00A85E42" w:rsidRDefault="00820875" w:rsidP="00820875">
      <w:pPr>
        <w:spacing w:after="120"/>
        <w:jc w:val="both"/>
      </w:pPr>
      <w:r w:rsidRPr="009644A3">
        <w:t xml:space="preserve">Постъпленията от </w:t>
      </w:r>
      <w:r w:rsidRPr="009644A3">
        <w:rPr>
          <w:i/>
        </w:rPr>
        <w:t xml:space="preserve">окончателния данък върху </w:t>
      </w:r>
      <w:r w:rsidRPr="007A40A5">
        <w:rPr>
          <w:i/>
        </w:rPr>
        <w:t xml:space="preserve">доходите </w:t>
      </w:r>
      <w:r w:rsidRPr="009644A3">
        <w:rPr>
          <w:i/>
        </w:rPr>
        <w:t xml:space="preserve">от лихви </w:t>
      </w:r>
      <w:r w:rsidRPr="007A40A5">
        <w:rPr>
          <w:i/>
        </w:rPr>
        <w:t xml:space="preserve">по банкови сметки </w:t>
      </w:r>
      <w:r w:rsidRPr="009644A3">
        <w:rPr>
          <w:i/>
        </w:rPr>
        <w:t xml:space="preserve">на </w:t>
      </w:r>
      <w:r w:rsidRPr="007A40A5">
        <w:rPr>
          <w:i/>
        </w:rPr>
        <w:t xml:space="preserve">местните </w:t>
      </w:r>
      <w:r w:rsidRPr="009644A3">
        <w:rPr>
          <w:i/>
        </w:rPr>
        <w:t xml:space="preserve">физическите лица </w:t>
      </w:r>
      <w:r w:rsidRPr="009644A3">
        <w:t xml:space="preserve">са в размер на 1,3 млн. лева. Към март 2022 г. от този данък са </w:t>
      </w:r>
      <w:r w:rsidRPr="0080544C">
        <w:t>постъпили с 0,5 млн. лв. по-малко приходи (30,0 % спад) в сравнение със същия период на предходната година. Съгласно приетите изменения в Закона за данъците върху доходите на физическите лица облагането с данък на лихвите по банкови сметки се отменя, считано от 01.04.2022 година</w:t>
      </w:r>
      <w:r w:rsidRPr="00C1474E">
        <w:t>. Основната причина за това е продължаващото намаляване на лихвите по влоговете в банките и клоновете на банки през последните години, в резултат на което намаляха значително и приходите от този данък. Във връзка с това администрирането на данъка създава административна тежест за банковите институции, задължени да го удържат и внасят, както и за физическите лица, когато са задължени сами да внесат данъка, която тежест е непропорционална от ефекта от данъка за бюджета. Очаква се и през следващите отчетни периоди да има остатъчни приходи от този вид данък, задължението за който е възникнало преди приетите изменения в ЗДДФЛ</w:t>
      </w:r>
      <w:r>
        <w:t>.</w:t>
      </w:r>
    </w:p>
    <w:p w:rsidR="00820875" w:rsidRPr="005C2762" w:rsidRDefault="00820875" w:rsidP="00820875">
      <w:pPr>
        <w:numPr>
          <w:ilvl w:val="0"/>
          <w:numId w:val="4"/>
        </w:numPr>
        <w:tabs>
          <w:tab w:val="clear" w:pos="1440"/>
          <w:tab w:val="num" w:pos="540"/>
        </w:tabs>
        <w:ind w:left="0" w:firstLine="180"/>
        <w:jc w:val="both"/>
        <w:rPr>
          <w:b/>
          <w:bCs/>
        </w:rPr>
      </w:pPr>
      <w:r w:rsidRPr="005C2762">
        <w:rPr>
          <w:b/>
          <w:bCs/>
        </w:rPr>
        <w:t>Косвени данъци</w:t>
      </w:r>
    </w:p>
    <w:p w:rsidR="00820875" w:rsidRPr="00DA7CB9" w:rsidRDefault="00820875" w:rsidP="00820875">
      <w:pPr>
        <w:jc w:val="both"/>
        <w:rPr>
          <w:b/>
          <w:bCs/>
          <w:color w:val="0070C0"/>
          <w:sz w:val="4"/>
          <w:szCs w:val="4"/>
        </w:rPr>
      </w:pPr>
    </w:p>
    <w:p w:rsidR="00820875" w:rsidRPr="005C2762" w:rsidRDefault="00820875" w:rsidP="00820875">
      <w:pPr>
        <w:spacing w:after="120"/>
        <w:jc w:val="both"/>
      </w:pPr>
      <w:r w:rsidRPr="005C2762">
        <w:t xml:space="preserve">Приходите от </w:t>
      </w:r>
      <w:r w:rsidRPr="005C2762">
        <w:rPr>
          <w:b/>
        </w:rPr>
        <w:t>косвени данъци</w:t>
      </w:r>
      <w:r w:rsidRPr="005C2762">
        <w:t xml:space="preserve"> </w:t>
      </w:r>
      <w:r w:rsidRPr="005C2762">
        <w:rPr>
          <w:bCs/>
        </w:rPr>
        <w:t>към март 2022</w:t>
      </w:r>
      <w:r w:rsidRPr="005C2762">
        <w:t xml:space="preserve"> г. са в размер на </w:t>
      </w:r>
      <w:r w:rsidRPr="005C2762">
        <w:rPr>
          <w:b/>
        </w:rPr>
        <w:t>5 188,3 млн. лв</w:t>
      </w:r>
      <w:r w:rsidRPr="005C2762">
        <w:t>. или 24,6 % от годишния разчет</w:t>
      </w:r>
      <w:r w:rsidRPr="005C2762">
        <w:rPr>
          <w:lang w:val="ru-RU"/>
        </w:rPr>
        <w:t>.</w:t>
      </w:r>
      <w:r w:rsidRPr="005C2762">
        <w:t xml:space="preserve"> </w:t>
      </w:r>
    </w:p>
    <w:p w:rsidR="00820875" w:rsidRPr="008D5068" w:rsidRDefault="00820875" w:rsidP="00820875">
      <w:pPr>
        <w:spacing w:after="120"/>
        <w:jc w:val="both"/>
      </w:pPr>
      <w:r w:rsidRPr="008D5068">
        <w:rPr>
          <w:b/>
        </w:rPr>
        <w:lastRenderedPageBreak/>
        <w:t>Приходите от ДДС</w:t>
      </w:r>
      <w:r w:rsidRPr="008D5068">
        <w:t xml:space="preserve"> са в размер на </w:t>
      </w:r>
      <w:r w:rsidRPr="008D5068">
        <w:rPr>
          <w:b/>
        </w:rPr>
        <w:t>3 812,3</w:t>
      </w:r>
      <w:r w:rsidRPr="008D5068">
        <w:t xml:space="preserve"> </w:t>
      </w:r>
      <w:r w:rsidRPr="008D5068">
        <w:rPr>
          <w:b/>
        </w:rPr>
        <w:t xml:space="preserve">млн. лв., </w:t>
      </w:r>
      <w:r w:rsidRPr="008D5068">
        <w:t>което представлява 25,8 % от планираните със ЗДБРБ за 2021 година.</w:t>
      </w:r>
      <w:r w:rsidRPr="008D5068">
        <w:rPr>
          <w:b/>
        </w:rPr>
        <w:t xml:space="preserve"> </w:t>
      </w:r>
      <w:r w:rsidRPr="008D5068">
        <w:t xml:space="preserve">Съпоставени с края на март 2021 г., приходите от ДДС се увеличават с 685,6 млн. лв. (21,9 %). </w:t>
      </w:r>
    </w:p>
    <w:p w:rsidR="00820875" w:rsidRPr="00DA7CB9" w:rsidRDefault="00820875" w:rsidP="00820875">
      <w:pPr>
        <w:spacing w:before="120"/>
        <w:ind w:right="-29"/>
        <w:jc w:val="both"/>
        <w:rPr>
          <w:color w:val="0070C0"/>
        </w:rPr>
      </w:pPr>
      <w:r w:rsidRPr="00CA2C6C">
        <w:t xml:space="preserve">Нетният </w:t>
      </w:r>
      <w:r w:rsidRPr="00F051AB">
        <w:t xml:space="preserve">размер на приходите от </w:t>
      </w:r>
      <w:r w:rsidRPr="00F051AB">
        <w:rPr>
          <w:i/>
        </w:rPr>
        <w:t>ДДС от внос</w:t>
      </w:r>
      <w:r w:rsidRPr="00F051AB">
        <w:t xml:space="preserve"> </w:t>
      </w:r>
      <w:r w:rsidRPr="00F051AB">
        <w:rPr>
          <w:bCs/>
        </w:rPr>
        <w:t>към март 2022</w:t>
      </w:r>
      <w:r w:rsidRPr="00F051AB">
        <w:t xml:space="preserve"> г. е 1 471,8 млн. лв., като нараства с 519,4 млн. лв. (54,5 %) в сравнение със същия период на 2021 г., като увеличението е най-значително при внос на горива, промишлени доставки, потребителски стоки, храни и транспортно оборудване. </w:t>
      </w:r>
      <w:r w:rsidRPr="00CA2C6C">
        <w:t xml:space="preserve">Влияние върху постъпленията от ДДС от внос оказват цената на суровия петрол, количествата на внасяните стоки за междинно потребление (черни, цветни метали и др.), курса на щатския долар спрямо еврото, както възможността </w:t>
      </w:r>
      <w:r w:rsidRPr="00CA2C6C">
        <w:rPr>
          <w:iCs/>
        </w:rPr>
        <w:t>за отложено начисляване на ДДС от вносител при внос на стоки от трети страни, в съответствие с разпоредбата на чл. 167а от Закона за данък върху добавената стойност.</w:t>
      </w:r>
      <w:r w:rsidRPr="00CA2C6C">
        <w:rPr>
          <w:bCs/>
        </w:rPr>
        <w:t xml:space="preserve"> </w:t>
      </w:r>
      <w:r w:rsidRPr="00CA2C6C">
        <w:t xml:space="preserve">Ефектът от прилагането на този режим за първите три месеца на 2022 г. е </w:t>
      </w:r>
      <w:proofErr w:type="spellStart"/>
      <w:r w:rsidRPr="00CA2C6C">
        <w:t>неначислен</w:t>
      </w:r>
      <w:proofErr w:type="spellEnd"/>
      <w:r w:rsidRPr="00CA2C6C">
        <w:t xml:space="preserve"> ДДС при внос в размер </w:t>
      </w:r>
      <w:r w:rsidRPr="009D7C61">
        <w:t xml:space="preserve">на 405,0 млн. лв., което е с 90,9 млн. лв. повече спрямо 2021 г. и се регистрира ръст от 28,9 %. Стоките с най-значителен дял са: руди, шлаки и </w:t>
      </w:r>
      <w:proofErr w:type="spellStart"/>
      <w:r w:rsidRPr="009D7C61">
        <w:t>пепели</w:t>
      </w:r>
      <w:proofErr w:type="spellEnd"/>
      <w:r w:rsidRPr="009D7C61">
        <w:t xml:space="preserve"> – 231,8 млн. лв. (ръст в </w:t>
      </w:r>
      <w:r w:rsidRPr="008D6251">
        <w:t>сравнение с март 2021 г. от 1,1 млн. лв. или 0,5 %) и мед и изделия от мед – 68,4 млн. лв. (ръст от 32,1 млн. лв. на годишна база или 88,6 %). Разглеждайки декларирания ДДС при внос по групи стоки, съобразно Класификатора на широките икономически категории, през изминалите месеци на годината се наблюдава повишение при всички групи стоки. Отчита се повишение на индекса на цените на стоки, внесени от трети страни с 30,4  %, а на количествата - с 25,3 %.</w:t>
      </w:r>
    </w:p>
    <w:p w:rsidR="00820875" w:rsidRPr="00DA7CB9" w:rsidRDefault="00820875" w:rsidP="00820875">
      <w:pPr>
        <w:spacing w:before="120" w:after="120"/>
        <w:jc w:val="both"/>
        <w:rPr>
          <w:b/>
          <w:color w:val="0070C0"/>
        </w:rPr>
      </w:pPr>
      <w:r w:rsidRPr="00FE5AE7">
        <w:t>Постъпленията от</w:t>
      </w:r>
      <w:r w:rsidRPr="00FE5AE7">
        <w:rPr>
          <w:i/>
        </w:rPr>
        <w:t xml:space="preserve"> ДДС при сделки в страната (нето)</w:t>
      </w:r>
      <w:r w:rsidRPr="00FE5AE7">
        <w:t xml:space="preserve"> </w:t>
      </w:r>
      <w:r w:rsidRPr="00FE5AE7">
        <w:rPr>
          <w:bCs/>
        </w:rPr>
        <w:t>към март 2022</w:t>
      </w:r>
      <w:r w:rsidRPr="00FE5AE7">
        <w:t xml:space="preserve"> г. възлизат на 2 340,6 млн. лв. и нарастват със 166,2 млн. лв. (7,6 %) спрямо същия период на предходната година. </w:t>
      </w:r>
      <w:r w:rsidRPr="0096393D">
        <w:rPr>
          <w:bCs/>
        </w:rPr>
        <w:t xml:space="preserve">Невъзстановеният </w:t>
      </w:r>
      <w:r w:rsidRPr="0096393D">
        <w:t xml:space="preserve">данъчен кредит </w:t>
      </w:r>
      <w:r w:rsidRPr="0096393D">
        <w:rPr>
          <w:bCs/>
        </w:rPr>
        <w:t xml:space="preserve">към 31.03.2022 г. е в размер </w:t>
      </w:r>
      <w:r w:rsidRPr="00C61424">
        <w:rPr>
          <w:bCs/>
        </w:rPr>
        <w:t>на 95,5 млн. лева.</w:t>
      </w:r>
    </w:p>
    <w:p w:rsidR="00820875" w:rsidRPr="000928B9" w:rsidRDefault="00820875" w:rsidP="00820875">
      <w:pPr>
        <w:spacing w:after="120"/>
        <w:jc w:val="both"/>
      </w:pPr>
      <w:r w:rsidRPr="000928B9">
        <w:rPr>
          <w:b/>
        </w:rPr>
        <w:t xml:space="preserve">Приходите от акцизи (нето) </w:t>
      </w:r>
      <w:r w:rsidRPr="000928B9">
        <w:t xml:space="preserve">от внос, вътрешно производство и въведени в страната от други държави-членки на ЕС акцизни стоки са в размер на </w:t>
      </w:r>
      <w:r w:rsidRPr="000928B9">
        <w:rPr>
          <w:b/>
        </w:rPr>
        <w:t>1 263,5 млн. лв</w:t>
      </w:r>
      <w:r w:rsidRPr="000928B9">
        <w:t>., което е 21,4 % от планираните със ЗДБРБ за 2022 г. Съпоставени със същия период на предходната година приходите от акцизи нарастват номинално с 57,9 млн. лв. (4,8 %).</w:t>
      </w:r>
    </w:p>
    <w:p w:rsidR="00820875" w:rsidRPr="0096595F" w:rsidRDefault="00820875" w:rsidP="00820875">
      <w:pPr>
        <w:spacing w:before="120" w:after="120"/>
        <w:jc w:val="both"/>
      </w:pPr>
      <w:r w:rsidRPr="00F17EB6">
        <w:t xml:space="preserve">Нетните постъпления от акциз са от следните основни стокови групи: тютюн и тютюневи изделия (49,2 %); горива (45,1 %); алкохол и алкохолни напитки, вкл. бира (4,8 %) и други акцизни стоки (0,9 %). Постъпления от акциз към март 2022 г. по основни стокови групи, са </w:t>
      </w:r>
      <w:r w:rsidRPr="0096595F">
        <w:t>както следва:</w:t>
      </w:r>
    </w:p>
    <w:p w:rsidR="00820875" w:rsidRPr="0096595F" w:rsidRDefault="00820875" w:rsidP="00820875">
      <w:pPr>
        <w:numPr>
          <w:ilvl w:val="0"/>
          <w:numId w:val="18"/>
        </w:numPr>
        <w:ind w:firstLine="66"/>
        <w:jc w:val="both"/>
        <w:rPr>
          <w:i/>
        </w:rPr>
      </w:pPr>
      <w:r w:rsidRPr="0096595F">
        <w:rPr>
          <w:i/>
        </w:rPr>
        <w:t xml:space="preserve">Акцизите от тютюн и тютюневи изделия </w:t>
      </w:r>
      <w:r w:rsidRPr="0096595F">
        <w:t>възлизат на</w:t>
      </w:r>
      <w:r w:rsidRPr="0096595F">
        <w:rPr>
          <w:i/>
        </w:rPr>
        <w:t xml:space="preserve"> </w:t>
      </w:r>
      <w:r w:rsidRPr="0096595F">
        <w:t>621,4 млн. лева</w:t>
      </w:r>
      <w:r w:rsidRPr="0096595F">
        <w:rPr>
          <w:i/>
        </w:rPr>
        <w:t xml:space="preserve">; </w:t>
      </w:r>
    </w:p>
    <w:p w:rsidR="00820875" w:rsidRPr="0096595F" w:rsidRDefault="00820875" w:rsidP="00820875">
      <w:pPr>
        <w:numPr>
          <w:ilvl w:val="0"/>
          <w:numId w:val="18"/>
        </w:numPr>
        <w:ind w:firstLine="66"/>
        <w:jc w:val="both"/>
      </w:pPr>
      <w:r w:rsidRPr="0096595F">
        <w:rPr>
          <w:i/>
        </w:rPr>
        <w:t>Акцизите от горив</w:t>
      </w:r>
      <w:r w:rsidRPr="0096595F">
        <w:t xml:space="preserve">а са в размер на 569,7 млн. лева; </w:t>
      </w:r>
    </w:p>
    <w:p w:rsidR="00820875" w:rsidRPr="0096595F" w:rsidRDefault="00820875" w:rsidP="00820875">
      <w:pPr>
        <w:numPr>
          <w:ilvl w:val="0"/>
          <w:numId w:val="18"/>
        </w:numPr>
        <w:ind w:firstLine="66"/>
        <w:jc w:val="both"/>
        <w:rPr>
          <w:i/>
        </w:rPr>
      </w:pPr>
      <w:r w:rsidRPr="0096595F">
        <w:rPr>
          <w:i/>
        </w:rPr>
        <w:t xml:space="preserve">Акцизите от алкохол и алкохолни напитки (вкл. бира) възлизат на 61,2 млн. лева; </w:t>
      </w:r>
    </w:p>
    <w:p w:rsidR="00820875" w:rsidRPr="0096595F" w:rsidRDefault="00820875" w:rsidP="00820875">
      <w:pPr>
        <w:numPr>
          <w:ilvl w:val="0"/>
          <w:numId w:val="18"/>
        </w:numPr>
        <w:ind w:firstLine="66"/>
        <w:jc w:val="both"/>
      </w:pPr>
      <w:r w:rsidRPr="0096595F">
        <w:rPr>
          <w:i/>
        </w:rPr>
        <w:t xml:space="preserve">Приходите от други акцизни стоки </w:t>
      </w:r>
      <w:r w:rsidRPr="0096595F">
        <w:t>възлизат на 11,2 млн. лева.</w:t>
      </w:r>
    </w:p>
    <w:p w:rsidR="00820875" w:rsidRPr="00DA7CB9" w:rsidRDefault="00820875" w:rsidP="00820875">
      <w:pPr>
        <w:ind w:left="360"/>
        <w:jc w:val="both"/>
        <w:rPr>
          <w:color w:val="0070C0"/>
          <w:sz w:val="8"/>
          <w:szCs w:val="8"/>
        </w:rPr>
      </w:pPr>
    </w:p>
    <w:p w:rsidR="00820875" w:rsidRPr="00DA7CB9" w:rsidRDefault="00820875" w:rsidP="00820875">
      <w:pPr>
        <w:ind w:left="360"/>
        <w:jc w:val="both"/>
        <w:rPr>
          <w:color w:val="0070C0"/>
          <w:sz w:val="8"/>
          <w:szCs w:val="8"/>
        </w:rPr>
      </w:pPr>
    </w:p>
    <w:p w:rsidR="00820875" w:rsidRPr="00DA7CB9" w:rsidRDefault="00820875" w:rsidP="00820875">
      <w:pPr>
        <w:ind w:left="360"/>
        <w:jc w:val="both"/>
        <w:rPr>
          <w:color w:val="0070C0"/>
          <w:sz w:val="8"/>
          <w:szCs w:val="8"/>
        </w:rPr>
      </w:pPr>
    </w:p>
    <w:p w:rsidR="00820875" w:rsidRPr="00D140FE" w:rsidRDefault="00820875" w:rsidP="00820875">
      <w:pPr>
        <w:spacing w:after="120"/>
        <w:jc w:val="both"/>
      </w:pPr>
      <w:r w:rsidRPr="00D140FE">
        <w:rPr>
          <w:b/>
        </w:rPr>
        <w:t>Приходите от данък върху застрахователните премии</w:t>
      </w:r>
      <w:r w:rsidRPr="00D140FE">
        <w:t xml:space="preserve"> са в размер на </w:t>
      </w:r>
      <w:r w:rsidRPr="00D140FE">
        <w:rPr>
          <w:b/>
        </w:rPr>
        <w:t>12,2 млн. лв</w:t>
      </w:r>
      <w:r w:rsidRPr="00D140FE">
        <w:t xml:space="preserve">., при планирани за годината 52,0 млн. лева. </w:t>
      </w:r>
    </w:p>
    <w:p w:rsidR="00820875" w:rsidRPr="00DA7CB9" w:rsidRDefault="00820875" w:rsidP="00820875">
      <w:pPr>
        <w:tabs>
          <w:tab w:val="right" w:pos="9072"/>
        </w:tabs>
        <w:ind w:right="-2"/>
        <w:jc w:val="both"/>
        <w:rPr>
          <w:color w:val="0070C0"/>
        </w:rPr>
      </w:pPr>
      <w:r w:rsidRPr="00D140FE">
        <w:rPr>
          <w:b/>
        </w:rPr>
        <w:t>Постъпленията от</w:t>
      </w:r>
      <w:r w:rsidRPr="00D140FE">
        <w:t xml:space="preserve"> </w:t>
      </w:r>
      <w:r w:rsidRPr="00D140FE">
        <w:rPr>
          <w:b/>
          <w:bCs/>
        </w:rPr>
        <w:t xml:space="preserve">мита </w:t>
      </w:r>
      <w:r w:rsidRPr="00D140FE">
        <w:t xml:space="preserve">възлизат на </w:t>
      </w:r>
      <w:r w:rsidRPr="00D140FE">
        <w:rPr>
          <w:b/>
        </w:rPr>
        <w:t>100,2 млн. лв</w:t>
      </w:r>
      <w:r w:rsidRPr="00D140FE">
        <w:t xml:space="preserve">. или 33,1 % от планираните със ЗДБРБ за 2022 г., като заемат 1,6 % относителен дял в общия размер на данъчните приходи по държавния бюджет. В сравнение със същия период на предходната година събраните мита са с 41,8 млн. лв. (71,5 %) повече. </w:t>
      </w:r>
    </w:p>
    <w:p w:rsidR="00820875" w:rsidRPr="00647115" w:rsidRDefault="00820875" w:rsidP="00820875">
      <w:pPr>
        <w:tabs>
          <w:tab w:val="left" w:pos="0"/>
        </w:tabs>
        <w:spacing w:before="120"/>
        <w:jc w:val="both"/>
      </w:pPr>
      <w:r w:rsidRPr="00647115">
        <w:t xml:space="preserve">Основните фактори, от които зависят приходите от </w:t>
      </w:r>
      <w:r w:rsidRPr="00647115">
        <w:rPr>
          <w:b/>
          <w:i/>
        </w:rPr>
        <w:t>мита и митнически такси</w:t>
      </w:r>
      <w:r w:rsidRPr="00647115">
        <w:t xml:space="preserve"> са следните:</w:t>
      </w:r>
    </w:p>
    <w:p w:rsidR="00820875" w:rsidRPr="00647115" w:rsidRDefault="00820875" w:rsidP="00820875">
      <w:pPr>
        <w:numPr>
          <w:ilvl w:val="0"/>
          <w:numId w:val="44"/>
        </w:numPr>
        <w:tabs>
          <w:tab w:val="left" w:pos="0"/>
        </w:tabs>
        <w:ind w:left="851" w:hanging="284"/>
        <w:jc w:val="both"/>
      </w:pPr>
      <w:r w:rsidRPr="00647115">
        <w:t>динамика в цените на енергийни и нее</w:t>
      </w:r>
      <w:r w:rsidR="00D764EB">
        <w:t>не</w:t>
      </w:r>
      <w:r w:rsidRPr="00647115">
        <w:t>ргийни суровини;</w:t>
      </w:r>
    </w:p>
    <w:p w:rsidR="00820875" w:rsidRPr="00647115" w:rsidRDefault="00820875" w:rsidP="00820875">
      <w:pPr>
        <w:numPr>
          <w:ilvl w:val="0"/>
          <w:numId w:val="44"/>
        </w:numPr>
        <w:tabs>
          <w:tab w:val="left" w:pos="0"/>
        </w:tabs>
        <w:ind w:left="851" w:hanging="284"/>
        <w:jc w:val="both"/>
      </w:pPr>
      <w:r w:rsidRPr="00647115">
        <w:t>реален растеж на световната и европейска икономика;</w:t>
      </w:r>
    </w:p>
    <w:p w:rsidR="00820875" w:rsidRPr="00647115" w:rsidRDefault="00820875" w:rsidP="00820875">
      <w:pPr>
        <w:numPr>
          <w:ilvl w:val="0"/>
          <w:numId w:val="44"/>
        </w:numPr>
        <w:tabs>
          <w:tab w:val="left" w:pos="0"/>
        </w:tabs>
        <w:ind w:left="851" w:hanging="284"/>
        <w:jc w:val="both"/>
      </w:pPr>
      <w:r w:rsidRPr="00647115">
        <w:t>подобряване на ефективността на митническия контрол, чрез извършване на проверки, изготвяне на указания, усъвършенстване на информационните системи за анализ на риска;</w:t>
      </w:r>
    </w:p>
    <w:p w:rsidR="00820875" w:rsidRPr="00647115" w:rsidRDefault="00820875" w:rsidP="00820875">
      <w:pPr>
        <w:numPr>
          <w:ilvl w:val="0"/>
          <w:numId w:val="44"/>
        </w:numPr>
        <w:tabs>
          <w:tab w:val="left" w:pos="0"/>
        </w:tabs>
        <w:ind w:left="851" w:hanging="284"/>
        <w:jc w:val="both"/>
      </w:pPr>
      <w:r w:rsidRPr="00647115">
        <w:t>синхронизиране на законодателството, процедурите и инструментите за митнически контрол на ЕС, с цел правилното определяне и събиране на  публичните вземания от компетентността на митническата администрация.</w:t>
      </w:r>
    </w:p>
    <w:p w:rsidR="00820875" w:rsidRPr="00DA7CB9" w:rsidRDefault="00820875" w:rsidP="00820875">
      <w:pPr>
        <w:tabs>
          <w:tab w:val="right" w:pos="9072"/>
        </w:tabs>
        <w:spacing w:before="120"/>
        <w:jc w:val="both"/>
        <w:rPr>
          <w:color w:val="0070C0"/>
        </w:rPr>
      </w:pPr>
      <w:r w:rsidRPr="00647115">
        <w:lastRenderedPageBreak/>
        <w:t>По-високи постъпления от мита</w:t>
      </w:r>
      <w:r w:rsidRPr="00647115">
        <w:rPr>
          <w:b/>
          <w:i/>
        </w:rPr>
        <w:t xml:space="preserve"> </w:t>
      </w:r>
      <w:r w:rsidRPr="00647115">
        <w:t xml:space="preserve">към края на март 2022 г. се отчитат при следните групи </w:t>
      </w:r>
      <w:r w:rsidRPr="008421E1">
        <w:t xml:space="preserve">стоки: „Чугун, желязо и стомана“ - приходите са с 9,6 млн. лв. </w:t>
      </w:r>
      <w:r w:rsidR="00C2259C" w:rsidRPr="008421E1">
        <w:t>(</w:t>
      </w:r>
      <w:r w:rsidR="00C2259C" w:rsidRPr="003B46C7">
        <w:t>306</w:t>
      </w:r>
      <w:r w:rsidR="00C2259C">
        <w:t>,7</w:t>
      </w:r>
      <w:r w:rsidR="00C2259C" w:rsidRPr="008421E1">
        <w:t xml:space="preserve"> %) </w:t>
      </w:r>
      <w:r w:rsidRPr="008421E1">
        <w:t xml:space="preserve">повече спрямо края на март 2021 г.; „Пластмаси и пластмасови изделия“ – приходите нарастват с 4,2 млн. лв. (94,3 %) спрямо тези към края на март 2021 г.; „Автомобилни превозни средства, трактори, мотоциклети и велосипеди и други сухопътни превозни средства, техните части и принадлежности“ - приходите нарастват с </w:t>
      </w:r>
      <w:r>
        <w:t>3,0</w:t>
      </w:r>
      <w:r w:rsidRPr="008421E1">
        <w:t xml:space="preserve"> млн. лв. (</w:t>
      </w:r>
      <w:r>
        <w:t>58,2</w:t>
      </w:r>
      <w:r w:rsidRPr="008421E1">
        <w:rPr>
          <w:lang w:val="en-US"/>
        </w:rPr>
        <w:t> </w:t>
      </w:r>
      <w:r w:rsidRPr="008421E1">
        <w:t xml:space="preserve">%) спрямо постъпленията към края на март 2021 г.; </w:t>
      </w:r>
      <w:r w:rsidRPr="00461496">
        <w:t xml:space="preserve">„Неорганични химични продукти; неорганични или органични съединения на благородни метали, на радиоактивни елементи, на </w:t>
      </w:r>
      <w:proofErr w:type="spellStart"/>
      <w:r w:rsidRPr="00461496">
        <w:t>редкоземни</w:t>
      </w:r>
      <w:proofErr w:type="spellEnd"/>
      <w:r w:rsidRPr="00461496">
        <w:t xml:space="preserve"> метали или на </w:t>
      </w:r>
      <w:r w:rsidRPr="00572051">
        <w:t>изотопи“ – приходите нарастват с 2,7 млн. лв. спрямо тези към края на март 2021 г.; „</w:t>
      </w:r>
      <w:r>
        <w:t>Алуминий и изделия от алуминий</w:t>
      </w:r>
      <w:r w:rsidRPr="00572051">
        <w:rPr>
          <w:lang w:val="ru-RU"/>
        </w:rPr>
        <w:t>”</w:t>
      </w:r>
      <w:r w:rsidRPr="00572051">
        <w:t> - увеличение в размер на 2,6 млн. лв. (82,3 %) спрямо п</w:t>
      </w:r>
      <w:r w:rsidRPr="009524B2">
        <w:t xml:space="preserve">остъпленията към края на март 2021 г. В зависимост от произхода на внасяните стоки,  най-голям е делът </w:t>
      </w:r>
      <w:r w:rsidRPr="002F13A8">
        <w:t>на приходите от мита при внос на стоки от Китай. Декларираната сума е 49,7 млн. лева, което представлява 49,3 % от всички мита. За отчетния период приходите от мита за стоки, внесени от Китай бележат ръст спрямо първите три месеца на 2021 г. със 71,1 %. На второ място са приходите от мита при внос на стоки с произход Русия – 13,9 млн. лева, 13,8 % дял от всички мита и ръст от 74,0 % на годишна база. Следват приходите от мита за стоки, внесени от Украйна (5,9 млн. лева, 5,8 % дял от всички мита и ръст от 199,6 % спрямо март 2021 г.), Турция (5,0 млн. лева приходи, 5,0 % относителен дял от всички мита и ръст от 186,8 % на годишна база), и Индия (2,5 млн. лева приходи, 2,5 % относителен дял от всички мита и ръст от 154,6 % спрямо първите три месеца на 2021 г.).</w:t>
      </w:r>
    </w:p>
    <w:p w:rsidR="00820875" w:rsidRPr="00566F3F" w:rsidRDefault="00820875" w:rsidP="00820875">
      <w:pPr>
        <w:numPr>
          <w:ilvl w:val="0"/>
          <w:numId w:val="4"/>
        </w:numPr>
        <w:tabs>
          <w:tab w:val="clear" w:pos="1440"/>
          <w:tab w:val="num" w:pos="540"/>
        </w:tabs>
        <w:spacing w:before="240"/>
        <w:ind w:left="0" w:firstLine="181"/>
        <w:jc w:val="both"/>
        <w:rPr>
          <w:b/>
          <w:bCs/>
        </w:rPr>
      </w:pPr>
      <w:r w:rsidRPr="00566F3F">
        <w:rPr>
          <w:b/>
          <w:bCs/>
        </w:rPr>
        <w:t>Други данъци</w:t>
      </w:r>
    </w:p>
    <w:p w:rsidR="00820875" w:rsidRPr="00566F3F" w:rsidRDefault="00820875" w:rsidP="00820875">
      <w:pPr>
        <w:spacing w:before="120"/>
        <w:jc w:val="both"/>
      </w:pPr>
      <w:r w:rsidRPr="00566F3F">
        <w:t xml:space="preserve">Постъпленията от </w:t>
      </w:r>
      <w:r w:rsidRPr="00566F3F">
        <w:rPr>
          <w:b/>
        </w:rPr>
        <w:t>други данъци</w:t>
      </w:r>
      <w:r w:rsidRPr="00566F3F">
        <w:t xml:space="preserve"> по държавния бюджет </w:t>
      </w:r>
      <w:r w:rsidRPr="00566F3F">
        <w:rPr>
          <w:bCs/>
        </w:rPr>
        <w:t>към края на март 2022</w:t>
      </w:r>
      <w:r w:rsidRPr="00566F3F">
        <w:t xml:space="preserve"> г. са в размер на </w:t>
      </w:r>
      <w:r w:rsidRPr="00566F3F">
        <w:rPr>
          <w:b/>
        </w:rPr>
        <w:t>29,3 млн. лв.</w:t>
      </w:r>
      <w:r w:rsidRPr="00566F3F">
        <w:t xml:space="preserve">  или 22,9 % от планираните със ЗДБРБ за 2022 година.</w:t>
      </w:r>
    </w:p>
    <w:p w:rsidR="00820875" w:rsidRPr="00853782" w:rsidRDefault="00820875" w:rsidP="00820875">
      <w:pPr>
        <w:numPr>
          <w:ilvl w:val="0"/>
          <w:numId w:val="3"/>
        </w:numPr>
        <w:tabs>
          <w:tab w:val="num" w:pos="720"/>
        </w:tabs>
        <w:spacing w:before="120"/>
        <w:ind w:left="0" w:firstLine="181"/>
        <w:jc w:val="both"/>
      </w:pPr>
      <w:r w:rsidRPr="00853782">
        <w:rPr>
          <w:b/>
          <w:bCs/>
        </w:rPr>
        <w:t>Неданъчни приходи</w:t>
      </w:r>
    </w:p>
    <w:p w:rsidR="00820875" w:rsidRPr="00853782" w:rsidRDefault="00820875" w:rsidP="00820875">
      <w:pPr>
        <w:tabs>
          <w:tab w:val="left" w:pos="900"/>
        </w:tabs>
        <w:spacing w:after="120"/>
        <w:jc w:val="both"/>
        <w:rPr>
          <w:rFonts w:eastAsia="Calibri"/>
        </w:rPr>
      </w:pPr>
      <w:r w:rsidRPr="00853782">
        <w:t>Отчетените</w:t>
      </w:r>
      <w:r w:rsidRPr="00853782">
        <w:rPr>
          <w:b/>
          <w:bCs/>
        </w:rPr>
        <w:t xml:space="preserve"> неданъчни приходи</w:t>
      </w:r>
      <w:r w:rsidRPr="00853782">
        <w:t xml:space="preserve"> по държавния бюджет </w:t>
      </w:r>
      <w:r w:rsidRPr="00853782">
        <w:rPr>
          <w:bCs/>
        </w:rPr>
        <w:t>към март 2022</w:t>
      </w:r>
      <w:r w:rsidRPr="00853782">
        <w:t xml:space="preserve"> г. са в размер на </w:t>
      </w:r>
      <w:r w:rsidRPr="00853782">
        <w:rPr>
          <w:b/>
        </w:rPr>
        <w:t>736,0 млн. лв</w:t>
      </w:r>
      <w:r w:rsidRPr="00853782">
        <w:t>. и се формират основно от приходи от държавни такси, приходи и доходи от собственост, приходи от концесии и други.</w:t>
      </w:r>
    </w:p>
    <w:p w:rsidR="00820875" w:rsidRPr="00853782" w:rsidRDefault="00820875" w:rsidP="00820875">
      <w:pPr>
        <w:numPr>
          <w:ilvl w:val="0"/>
          <w:numId w:val="3"/>
        </w:numPr>
        <w:tabs>
          <w:tab w:val="num" w:pos="720"/>
        </w:tabs>
        <w:ind w:left="0" w:firstLine="181"/>
        <w:jc w:val="both"/>
        <w:rPr>
          <w:b/>
          <w:bCs/>
        </w:rPr>
      </w:pPr>
      <w:r w:rsidRPr="00853782">
        <w:rPr>
          <w:b/>
          <w:bCs/>
        </w:rPr>
        <w:t>Помощи и дарения</w:t>
      </w:r>
    </w:p>
    <w:p w:rsidR="00820875" w:rsidRPr="00853782" w:rsidRDefault="00820875" w:rsidP="00820875">
      <w:pPr>
        <w:spacing w:after="120"/>
        <w:jc w:val="both"/>
      </w:pPr>
      <w:r w:rsidRPr="00853782">
        <w:t xml:space="preserve">Постъпилите </w:t>
      </w:r>
      <w:r w:rsidRPr="00853782">
        <w:rPr>
          <w:b/>
        </w:rPr>
        <w:t>помощи</w:t>
      </w:r>
      <w:r w:rsidRPr="00853782">
        <w:t xml:space="preserve"> </w:t>
      </w:r>
      <w:r w:rsidRPr="00853782">
        <w:rPr>
          <w:b/>
        </w:rPr>
        <w:t>и дарения</w:t>
      </w:r>
      <w:r w:rsidRPr="00853782">
        <w:t xml:space="preserve"> по държавния бюджет към март 2022 г. са в размер на </w:t>
      </w:r>
      <w:r w:rsidRPr="00853782">
        <w:rPr>
          <w:b/>
        </w:rPr>
        <w:t>0,</w:t>
      </w:r>
      <w:r>
        <w:rPr>
          <w:b/>
        </w:rPr>
        <w:t>9</w:t>
      </w:r>
      <w:r w:rsidRPr="00853782">
        <w:rPr>
          <w:b/>
        </w:rPr>
        <w:t> млн. лева.</w:t>
      </w:r>
    </w:p>
    <w:p w:rsidR="00820875" w:rsidRPr="00B60E94" w:rsidRDefault="00820875" w:rsidP="00820875">
      <w:pPr>
        <w:numPr>
          <w:ilvl w:val="0"/>
          <w:numId w:val="6"/>
        </w:numPr>
        <w:tabs>
          <w:tab w:val="clear" w:pos="7650"/>
          <w:tab w:val="num" w:pos="426"/>
        </w:tabs>
        <w:spacing w:before="240"/>
        <w:ind w:left="0" w:firstLine="0"/>
        <w:jc w:val="both"/>
        <w:rPr>
          <w:b/>
          <w:bCs/>
        </w:rPr>
      </w:pPr>
      <w:r w:rsidRPr="00B60E94">
        <w:rPr>
          <w:b/>
          <w:bCs/>
        </w:rPr>
        <w:t>Разходи по държавния бюджет</w:t>
      </w:r>
    </w:p>
    <w:p w:rsidR="00820875" w:rsidRPr="00DA7CB9" w:rsidRDefault="00820875" w:rsidP="00820875">
      <w:pPr>
        <w:jc w:val="both"/>
        <w:rPr>
          <w:b/>
          <w:bCs/>
          <w:color w:val="0070C0"/>
          <w:sz w:val="4"/>
          <w:szCs w:val="4"/>
        </w:rPr>
      </w:pPr>
    </w:p>
    <w:p w:rsidR="00820875" w:rsidRPr="00AF1B22" w:rsidRDefault="00820875" w:rsidP="00820875">
      <w:pPr>
        <w:pStyle w:val="BodyTextIndent"/>
        <w:spacing w:after="0"/>
        <w:ind w:left="0"/>
        <w:jc w:val="both"/>
      </w:pPr>
      <w:r w:rsidRPr="00AF1B22">
        <w:t xml:space="preserve">Общият размер на </w:t>
      </w:r>
      <w:r w:rsidRPr="00AF1B22">
        <w:rPr>
          <w:b/>
        </w:rPr>
        <w:t>разходите по държавния бюджет</w:t>
      </w:r>
      <w:r w:rsidRPr="00AF1B22">
        <w:t xml:space="preserve"> (вкл. трансферите за др. бюджети и вноската в бюджета на ЕС) </w:t>
      </w:r>
      <w:r w:rsidRPr="00AF1B22">
        <w:rPr>
          <w:bCs/>
        </w:rPr>
        <w:t>към март 2022</w:t>
      </w:r>
      <w:r w:rsidRPr="00AF1B22">
        <w:t xml:space="preserve"> г. е </w:t>
      </w:r>
      <w:r w:rsidRPr="00AF1B22">
        <w:rPr>
          <w:b/>
        </w:rPr>
        <w:t>7 807,7 млн. лв</w:t>
      </w:r>
      <w:r w:rsidRPr="00AF1B22">
        <w:t>. или 20,0 % от предвидените със ЗДБРБ за 2022 година.</w:t>
      </w:r>
    </w:p>
    <w:p w:rsidR="00820875" w:rsidRDefault="00820875"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7B6007" w:rsidRDefault="007B6007" w:rsidP="00820875">
      <w:pPr>
        <w:pStyle w:val="BodyTextIndent"/>
        <w:spacing w:after="0"/>
        <w:ind w:left="0"/>
        <w:jc w:val="both"/>
        <w:rPr>
          <w:color w:val="0070C0"/>
          <w:lang w:val="ru-RU"/>
        </w:rPr>
      </w:pPr>
    </w:p>
    <w:p w:rsidR="00D501F5" w:rsidRDefault="00D501F5" w:rsidP="00820875">
      <w:pPr>
        <w:pStyle w:val="BodyTextIndent"/>
        <w:spacing w:after="0"/>
        <w:ind w:left="0"/>
        <w:jc w:val="both"/>
        <w:rPr>
          <w:color w:val="0070C0"/>
          <w:lang w:val="ru-RU"/>
        </w:rPr>
      </w:pPr>
    </w:p>
    <w:p w:rsidR="00D501F5" w:rsidRDefault="00D501F5" w:rsidP="00820875">
      <w:pPr>
        <w:pStyle w:val="BodyTextIndent"/>
        <w:spacing w:after="0"/>
        <w:ind w:left="0"/>
        <w:jc w:val="both"/>
        <w:rPr>
          <w:color w:val="0070C0"/>
          <w:lang w:val="ru-RU"/>
        </w:rPr>
      </w:pPr>
    </w:p>
    <w:p w:rsidR="00D501F5" w:rsidRDefault="00D501F5" w:rsidP="00820875">
      <w:pPr>
        <w:pStyle w:val="BodyTextIndent"/>
        <w:spacing w:after="0"/>
        <w:ind w:left="0"/>
        <w:jc w:val="both"/>
        <w:rPr>
          <w:color w:val="0070C0"/>
          <w:lang w:val="ru-RU"/>
        </w:rPr>
      </w:pPr>
    </w:p>
    <w:p w:rsidR="00D501F5" w:rsidRDefault="00D501F5" w:rsidP="00820875">
      <w:pPr>
        <w:pStyle w:val="BodyTextIndent"/>
        <w:spacing w:after="0"/>
        <w:ind w:left="0"/>
        <w:jc w:val="both"/>
        <w:rPr>
          <w:color w:val="0070C0"/>
          <w:lang w:val="ru-RU"/>
        </w:rPr>
      </w:pPr>
    </w:p>
    <w:p w:rsidR="00820875" w:rsidRPr="00DA7CB9" w:rsidRDefault="00820875" w:rsidP="00820875">
      <w:pPr>
        <w:pStyle w:val="BodyTextIndent"/>
        <w:spacing w:after="0"/>
        <w:ind w:left="0"/>
        <w:jc w:val="both"/>
        <w:rPr>
          <w:color w:val="0070C0"/>
          <w:sz w:val="8"/>
          <w:lang w:val="ru-RU"/>
        </w:rPr>
      </w:pPr>
    </w:p>
    <w:p w:rsidR="00820875" w:rsidRPr="00AF1B22" w:rsidRDefault="00820875" w:rsidP="00820875">
      <w:pPr>
        <w:pStyle w:val="BodyTextIndent"/>
        <w:spacing w:after="0"/>
        <w:ind w:left="0"/>
        <w:jc w:val="center"/>
        <w:rPr>
          <w:b/>
          <w:sz w:val="4"/>
          <w:szCs w:val="4"/>
          <w:u w:val="single"/>
        </w:rPr>
      </w:pPr>
    </w:p>
    <w:p w:rsidR="00820875" w:rsidRPr="00AF1B22" w:rsidRDefault="00820875" w:rsidP="00820875">
      <w:pPr>
        <w:pStyle w:val="BodyTextIndent"/>
        <w:spacing w:after="0"/>
        <w:ind w:left="0"/>
        <w:jc w:val="center"/>
        <w:rPr>
          <w:b/>
          <w:u w:val="single"/>
        </w:rPr>
      </w:pPr>
      <w:r w:rsidRPr="00AF1B22">
        <w:rPr>
          <w:b/>
          <w:u w:val="single"/>
        </w:rPr>
        <w:lastRenderedPageBreak/>
        <w:t xml:space="preserve">Разходи, трансфери за други бюджети и вноска в бюджета на ЕС </w:t>
      </w:r>
    </w:p>
    <w:p w:rsidR="00820875" w:rsidRPr="00AF1B22" w:rsidRDefault="00820875" w:rsidP="00820875">
      <w:pPr>
        <w:pStyle w:val="BodyTextIndent"/>
        <w:spacing w:after="0"/>
        <w:ind w:left="0"/>
        <w:jc w:val="center"/>
        <w:rPr>
          <w:b/>
          <w:u w:val="single"/>
        </w:rPr>
      </w:pPr>
      <w:r w:rsidRPr="00AF1B22">
        <w:rPr>
          <w:b/>
          <w:u w:val="single"/>
        </w:rPr>
        <w:t>към март 2021 г. и 2022 г.</w:t>
      </w:r>
    </w:p>
    <w:p w:rsidR="00820875" w:rsidRPr="00DA7CB9" w:rsidRDefault="00820875" w:rsidP="00820875">
      <w:pPr>
        <w:pStyle w:val="BodyTextIndent"/>
        <w:spacing w:after="0"/>
        <w:ind w:left="0"/>
        <w:jc w:val="center"/>
        <w:rPr>
          <w:b/>
          <w:color w:val="0070C0"/>
          <w:u w:val="single"/>
        </w:rPr>
      </w:pPr>
    </w:p>
    <w:p w:rsidR="00820875" w:rsidRPr="00DA7CB9" w:rsidRDefault="00820875" w:rsidP="00820875">
      <w:pPr>
        <w:pStyle w:val="BodyTextIndent"/>
        <w:spacing w:after="0"/>
        <w:ind w:left="0"/>
        <w:jc w:val="center"/>
        <w:rPr>
          <w:b/>
          <w:color w:val="0070C0"/>
          <w:u w:val="single"/>
        </w:rPr>
      </w:pPr>
      <w:r w:rsidRPr="00DA7CB9">
        <w:rPr>
          <w:noProof/>
          <w:color w:val="0070C0"/>
          <w:lang w:val="en-US"/>
        </w:rPr>
        <w:drawing>
          <wp:inline distT="0" distB="0" distL="0" distR="0" wp14:anchorId="15C9DBD0" wp14:editId="7C0276F4">
            <wp:extent cx="5494020" cy="2811780"/>
            <wp:effectExtent l="0" t="0" r="11430" b="26670"/>
            <wp:docPr id="3" name="Objec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20875" w:rsidRPr="00DA7CB9" w:rsidRDefault="00820875" w:rsidP="00820875">
      <w:pPr>
        <w:pStyle w:val="BodyTextIndent"/>
        <w:spacing w:after="0"/>
        <w:ind w:left="0"/>
        <w:jc w:val="center"/>
        <w:rPr>
          <w:b/>
          <w:color w:val="0070C0"/>
          <w:sz w:val="8"/>
          <w:szCs w:val="8"/>
          <w:u w:val="single"/>
        </w:rPr>
      </w:pPr>
    </w:p>
    <w:p w:rsidR="00820875" w:rsidRPr="00DE6B1E" w:rsidRDefault="00820875" w:rsidP="00820875">
      <w:pPr>
        <w:ind w:firstLine="360"/>
        <w:rPr>
          <w:sz w:val="18"/>
          <w:szCs w:val="18"/>
        </w:rPr>
      </w:pPr>
      <w:bookmarkStart w:id="0" w:name="_MON_1562146415"/>
      <w:bookmarkStart w:id="1" w:name="_MON_1562146493"/>
      <w:bookmarkStart w:id="2" w:name="_MON_1562146700"/>
      <w:bookmarkStart w:id="3" w:name="_MON_1562146782"/>
      <w:bookmarkStart w:id="4" w:name="_MON_1562146967"/>
      <w:bookmarkStart w:id="5" w:name="_MON_1562147372"/>
      <w:bookmarkStart w:id="6" w:name="_MON_1562147473"/>
      <w:bookmarkStart w:id="7" w:name="_MON_1562147677"/>
      <w:bookmarkStart w:id="8" w:name="_MON_1562147743"/>
      <w:bookmarkStart w:id="9" w:name="_MON_1562147867"/>
      <w:bookmarkStart w:id="10" w:name="_MON_1562147934"/>
      <w:bookmarkStart w:id="11" w:name="_MON_1562148056"/>
      <w:bookmarkStart w:id="12" w:name="_MON_1562148171"/>
      <w:bookmarkStart w:id="13" w:name="_MON_1562148229"/>
      <w:bookmarkStart w:id="14" w:name="_MON_1562148307"/>
      <w:bookmarkStart w:id="15" w:name="_MON_1562148447"/>
      <w:bookmarkStart w:id="16" w:name="_MON_1562148558"/>
      <w:bookmarkStart w:id="17" w:name="_MON_1562152805"/>
      <w:bookmarkStart w:id="18" w:name="_MON_1562152984"/>
      <w:bookmarkStart w:id="19" w:name="_MON_1562153459"/>
      <w:bookmarkStart w:id="20" w:name="_MON_1562153503"/>
      <w:bookmarkStart w:id="21" w:name="_MON_1562153559"/>
      <w:bookmarkStart w:id="22" w:name="_MON_1562153646"/>
      <w:bookmarkStart w:id="23" w:name="_MON_1562153939"/>
      <w:bookmarkStart w:id="24" w:name="_MON_1562154053"/>
      <w:bookmarkStart w:id="25" w:name="_MON_1562154282"/>
      <w:bookmarkStart w:id="26" w:name="_MON_1562146286"/>
      <w:bookmarkStart w:id="27" w:name="_MON_1562154881"/>
      <w:bookmarkStart w:id="28" w:name="_MON_1562154973"/>
      <w:bookmarkStart w:id="29" w:name="_MON_1562155194"/>
      <w:bookmarkStart w:id="30" w:name="_MON_1562155231"/>
      <w:bookmarkStart w:id="31" w:name="_MON_1562155321"/>
      <w:bookmarkStart w:id="32" w:name="_MON_15621553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DE6B1E">
        <w:rPr>
          <w:sz w:val="18"/>
          <w:szCs w:val="18"/>
        </w:rPr>
        <w:t>*</w:t>
      </w:r>
      <w:r w:rsidRPr="00DE6B1E">
        <w:t xml:space="preserve"> </w:t>
      </w:r>
      <w:r w:rsidRPr="00DE6B1E">
        <w:rPr>
          <w:sz w:val="18"/>
          <w:szCs w:val="18"/>
        </w:rPr>
        <w:t>Вкл. нетния прираст на държавния резерв</w:t>
      </w:r>
    </w:p>
    <w:p w:rsidR="00820875" w:rsidRPr="00446778" w:rsidRDefault="00820875" w:rsidP="00820875">
      <w:pPr>
        <w:pStyle w:val="BodyTextIndent"/>
        <w:spacing w:before="120" w:after="0"/>
        <w:ind w:left="360"/>
        <w:jc w:val="both"/>
        <w:rPr>
          <w:b/>
          <w:bCs/>
          <w:color w:val="0070C0"/>
          <w:sz w:val="8"/>
          <w:szCs w:val="8"/>
        </w:rPr>
      </w:pPr>
    </w:p>
    <w:p w:rsidR="00820875" w:rsidRPr="005837B1" w:rsidRDefault="00820875" w:rsidP="00820875">
      <w:pPr>
        <w:pStyle w:val="BodyTextIndent"/>
        <w:numPr>
          <w:ilvl w:val="0"/>
          <w:numId w:val="20"/>
        </w:numPr>
        <w:spacing w:before="120" w:after="0"/>
        <w:jc w:val="both"/>
        <w:rPr>
          <w:b/>
          <w:bCs/>
        </w:rPr>
      </w:pPr>
      <w:r w:rsidRPr="005837B1">
        <w:rPr>
          <w:b/>
          <w:bCs/>
        </w:rPr>
        <w:t>Нелихвени разходи</w:t>
      </w:r>
    </w:p>
    <w:p w:rsidR="00820875" w:rsidRPr="005837B1" w:rsidRDefault="00820875" w:rsidP="00820875">
      <w:pPr>
        <w:spacing w:before="120"/>
        <w:jc w:val="both"/>
        <w:rPr>
          <w:bCs/>
        </w:rPr>
      </w:pPr>
      <w:r w:rsidRPr="005837B1">
        <w:rPr>
          <w:b/>
          <w:bCs/>
        </w:rPr>
        <w:t>Нелихвените разходи</w:t>
      </w:r>
      <w:r w:rsidRPr="005837B1">
        <w:rPr>
          <w:bCs/>
        </w:rPr>
        <w:t xml:space="preserve"> по държавния бюджет (без трансферите за др. бюджети) към март 2022</w:t>
      </w:r>
      <w:r w:rsidRPr="005837B1">
        <w:rPr>
          <w:lang w:val="en-US"/>
        </w:rPr>
        <w:t> </w:t>
      </w:r>
      <w:r w:rsidRPr="005837B1">
        <w:t xml:space="preserve">г. </w:t>
      </w:r>
      <w:r w:rsidRPr="005837B1">
        <w:rPr>
          <w:bCs/>
        </w:rPr>
        <w:t xml:space="preserve">са в размер на </w:t>
      </w:r>
      <w:r w:rsidRPr="005837B1">
        <w:rPr>
          <w:b/>
          <w:bCs/>
        </w:rPr>
        <w:t>2 787,8 млн. лв</w:t>
      </w:r>
      <w:r w:rsidRPr="005837B1">
        <w:rPr>
          <w:bCs/>
        </w:rPr>
        <w:t xml:space="preserve">., което представлява 14,4 % от годишния разчет. Съпоставени с данните към март 2021 г., нелихвените разходи намаляват с 204,5 млн. лв. (6,8 %). </w:t>
      </w:r>
    </w:p>
    <w:p w:rsidR="00820875" w:rsidRPr="00DA7CB9" w:rsidRDefault="00820875" w:rsidP="00820875">
      <w:pPr>
        <w:spacing w:before="120" w:after="120"/>
        <w:jc w:val="both"/>
        <w:rPr>
          <w:bCs/>
          <w:color w:val="0070C0"/>
        </w:rPr>
      </w:pPr>
      <w:r w:rsidRPr="00F11982">
        <w:rPr>
          <w:bCs/>
        </w:rPr>
        <w:t xml:space="preserve">Разходите за персонал (заплати и </w:t>
      </w:r>
      <w:r w:rsidRPr="00F11982">
        <w:rPr>
          <w:bCs/>
          <w:noProof/>
        </w:rPr>
        <w:t>възнаграждения</w:t>
      </w:r>
      <w:r w:rsidRPr="00F11982">
        <w:rPr>
          <w:bCs/>
        </w:rPr>
        <w:t xml:space="preserve">, други възнаграждения и плащания за персонала и осигурителни вноски) са в общ размер на 1 600,2 млн. лв. или 22,4 % от планираните </w:t>
      </w:r>
      <w:r w:rsidRPr="00F11982">
        <w:t xml:space="preserve">за 2022 </w:t>
      </w:r>
      <w:r w:rsidRPr="00F11982">
        <w:rPr>
          <w:bCs/>
        </w:rPr>
        <w:t xml:space="preserve">г. Разходите за издръжка (вкл. разходи за членски внос и участие в нетърговски организации и дейности и платени данъци, такси и административни санкции) са в размер на 361,2 млн. лв. или 6,6 % от планираните </w:t>
      </w:r>
      <w:r w:rsidRPr="00F11982">
        <w:t>за годината</w:t>
      </w:r>
      <w:r w:rsidRPr="00F11982">
        <w:rPr>
          <w:bCs/>
        </w:rPr>
        <w:t xml:space="preserve">. Социалните разходи (вкл. разходите за стипендии) са в размер на 287,6 млн. лв. или 14,2 % от предвидените </w:t>
      </w:r>
      <w:r w:rsidRPr="00F11982">
        <w:t>за годината</w:t>
      </w:r>
      <w:r w:rsidRPr="00F11982">
        <w:rPr>
          <w:bCs/>
        </w:rPr>
        <w:t xml:space="preserve"> и са основно разходи по бюджета на МТСП за помощи по Закона за социално подпомагане, Закона за хората с увреждания, Закона за </w:t>
      </w:r>
      <w:r w:rsidRPr="006944DD">
        <w:rPr>
          <w:bCs/>
        </w:rPr>
        <w:t>семейните помощи за деца и др. Предоставените текущи и капиталови трансфери за чужбина са в размер на 0,9</w:t>
      </w:r>
      <w:r w:rsidRPr="006944DD">
        <w:rPr>
          <w:rFonts w:eastAsia="Calibri"/>
          <w:b/>
        </w:rPr>
        <w:t> </w:t>
      </w:r>
      <w:r w:rsidRPr="006944DD">
        <w:rPr>
          <w:bCs/>
        </w:rPr>
        <w:t xml:space="preserve">млн. лв. Разходите за субсидии са в размер на 310,2 млн. </w:t>
      </w:r>
      <w:r w:rsidRPr="002044D1">
        <w:rPr>
          <w:bCs/>
        </w:rPr>
        <w:t>лв. или 18,9 % от планираните за годината. От тях 45,3</w:t>
      </w:r>
      <w:r w:rsidRPr="002044D1">
        <w:t xml:space="preserve"> </w:t>
      </w:r>
      <w:r w:rsidRPr="002044D1">
        <w:rPr>
          <w:bCs/>
        </w:rPr>
        <w:t xml:space="preserve">млн. лв. са субсидиите за </w:t>
      </w:r>
      <w:r w:rsidRPr="002044D1">
        <w:t>„БДЖ – Пътнически превози” ЕООД</w:t>
      </w:r>
      <w:r w:rsidRPr="002044D1">
        <w:rPr>
          <w:bCs/>
        </w:rPr>
        <w:t>; 46,3</w:t>
      </w:r>
      <w:r w:rsidRPr="002044D1">
        <w:rPr>
          <w:rFonts w:eastAsia="Calibri"/>
          <w:b/>
        </w:rPr>
        <w:t> </w:t>
      </w:r>
      <w:r w:rsidRPr="002044D1">
        <w:rPr>
          <w:bCs/>
        </w:rPr>
        <w:t xml:space="preserve">млн. лв. са субсидиите за </w:t>
      </w:r>
      <w:r w:rsidRPr="002044D1">
        <w:t xml:space="preserve">Национална компания „Железопътна инфраструктура” </w:t>
      </w:r>
      <w:r w:rsidRPr="00BB40E8">
        <w:t>и 1</w:t>
      </w:r>
      <w:r>
        <w:t>4</w:t>
      </w:r>
      <w:r w:rsidRPr="00BB40E8">
        <w:t xml:space="preserve">,6 млн. лв. за „Български пощи” ЕАД, в т.ч. </w:t>
      </w:r>
      <w:r>
        <w:t>8</w:t>
      </w:r>
      <w:r w:rsidRPr="00BB40E8">
        <w:t xml:space="preserve">,7 млн. лв. за извършване на универсална пощенска услуга и </w:t>
      </w:r>
      <w:r>
        <w:t>5,9</w:t>
      </w:r>
      <w:r w:rsidRPr="00BB40E8">
        <w:t xml:space="preserve"> млн. лв. за разпространение на </w:t>
      </w:r>
      <w:r w:rsidRPr="00B20419">
        <w:t xml:space="preserve">периодични печатни издания - вестници и списания. Към края на месец </w:t>
      </w:r>
      <w:r w:rsidRPr="00984C05">
        <w:rPr>
          <w:bCs/>
        </w:rPr>
        <w:t xml:space="preserve">март </w:t>
      </w:r>
      <w:r w:rsidRPr="00984C05">
        <w:t>2022</w:t>
      </w:r>
      <w:r w:rsidRPr="00984C05">
        <w:rPr>
          <w:rFonts w:eastAsia="Calibri"/>
          <w:b/>
        </w:rPr>
        <w:t> </w:t>
      </w:r>
      <w:r w:rsidRPr="00984C05">
        <w:rPr>
          <w:bCs/>
        </w:rPr>
        <w:t xml:space="preserve">г. ДФ „Земеделие“ e изплатил субсидии в общ размер на 123,2 млн. лв., от които 28,9 млн. лв. държавна помощ; </w:t>
      </w:r>
      <w:r>
        <w:rPr>
          <w:bCs/>
        </w:rPr>
        <w:t>69,5</w:t>
      </w:r>
      <w:r w:rsidRPr="00E367FE">
        <w:rPr>
          <w:bCs/>
        </w:rPr>
        <w:t xml:space="preserve"> млн. лв. преходна национална помощ за тютюн; </w:t>
      </w:r>
      <w:r w:rsidRPr="00984C05">
        <w:rPr>
          <w:bCs/>
        </w:rPr>
        <w:t xml:space="preserve">22,2 млн. лв. преходна национална помощ за сектор „Животновъдство“ и 2,5 млн. лв. средства за ДДС по схеми „Училищен плод“ и „Училищно мляко“. </w:t>
      </w:r>
    </w:p>
    <w:p w:rsidR="00820875" w:rsidRDefault="00820875" w:rsidP="00820875">
      <w:pPr>
        <w:spacing w:before="120" w:after="120"/>
        <w:jc w:val="both"/>
      </w:pPr>
      <w:r w:rsidRPr="006776EA">
        <w:rPr>
          <w:bCs/>
        </w:rPr>
        <w:t xml:space="preserve">Капиталовите разходи </w:t>
      </w:r>
      <w:r w:rsidRPr="006776EA">
        <w:t>(вкл. нетния прираст на държавния резерв) по държавния бюджет</w:t>
      </w:r>
      <w:r w:rsidRPr="006776EA">
        <w:rPr>
          <w:bCs/>
        </w:rPr>
        <w:t xml:space="preserve"> възлизат на 227,8 млн. лв., от които 3,4 млн. лв. представляват възстановени средства от предоставени капиталови трансфери през 2021 г. на „БДЖ-Пътнически превози“ ЕООД и Национална компания „Железопътна инфраструктура“ в съответствие с чл. 10, ал. 8 от ПМС № 408/2020 година</w:t>
      </w:r>
      <w:r w:rsidRPr="006776EA">
        <w:t>.</w:t>
      </w:r>
    </w:p>
    <w:p w:rsidR="00D533A1" w:rsidRDefault="00D533A1" w:rsidP="00820875">
      <w:pPr>
        <w:spacing w:before="120" w:after="120"/>
        <w:jc w:val="both"/>
      </w:pPr>
    </w:p>
    <w:p w:rsidR="00EE0C9C" w:rsidRPr="00EC57C6" w:rsidRDefault="00EE0C9C" w:rsidP="00820875">
      <w:pPr>
        <w:spacing w:before="120" w:after="120"/>
        <w:jc w:val="both"/>
      </w:pPr>
    </w:p>
    <w:p w:rsidR="00686EF0" w:rsidRPr="00EB3EAF" w:rsidRDefault="00686EF0" w:rsidP="00D6063B">
      <w:pPr>
        <w:numPr>
          <w:ilvl w:val="1"/>
          <w:numId w:val="13"/>
        </w:numPr>
        <w:tabs>
          <w:tab w:val="num" w:pos="720"/>
          <w:tab w:val="num" w:pos="900"/>
        </w:tabs>
        <w:spacing w:before="240" w:after="120"/>
        <w:ind w:left="714" w:hanging="357"/>
        <w:jc w:val="both"/>
        <w:rPr>
          <w:b/>
          <w:bCs/>
        </w:rPr>
      </w:pPr>
      <w:r w:rsidRPr="00EB3EAF">
        <w:rPr>
          <w:b/>
        </w:rPr>
        <w:lastRenderedPageBreak/>
        <w:t>Просрочени задължения</w:t>
      </w:r>
    </w:p>
    <w:p w:rsidR="00EB3EAF" w:rsidRPr="00CA4B7E" w:rsidRDefault="00EB3EAF" w:rsidP="00EB3EAF">
      <w:pPr>
        <w:spacing w:after="120"/>
        <w:jc w:val="both"/>
      </w:pPr>
      <w:r w:rsidRPr="00CA4B7E">
        <w:t>Към 31.03.202</w:t>
      </w:r>
      <w:r w:rsidRPr="00411FD7">
        <w:t>2</w:t>
      </w:r>
      <w:r w:rsidRPr="00CA4B7E">
        <w:t xml:space="preserve"> г. просрочените задължения на централно и местно правителство са в размер на </w:t>
      </w:r>
      <w:r w:rsidRPr="00411FD7">
        <w:rPr>
          <w:b/>
        </w:rPr>
        <w:t>211</w:t>
      </w:r>
      <w:r w:rsidR="00BD0457">
        <w:rPr>
          <w:b/>
        </w:rPr>
        <w:t>,</w:t>
      </w:r>
      <w:r w:rsidR="00BD0457" w:rsidRPr="00BD0457">
        <w:rPr>
          <w:b/>
          <w:lang w:val="ru-RU"/>
        </w:rPr>
        <w:t>0</w:t>
      </w:r>
      <w:r w:rsidRPr="00CA4B7E">
        <w:rPr>
          <w:b/>
        </w:rPr>
        <w:t xml:space="preserve"> млн. лева.</w:t>
      </w:r>
      <w:r w:rsidRPr="00CA4B7E">
        <w:t xml:space="preserve"> </w:t>
      </w:r>
    </w:p>
    <w:p w:rsidR="00EB3EAF" w:rsidRPr="00151757" w:rsidRDefault="00EB3EAF" w:rsidP="00EB3EAF">
      <w:pPr>
        <w:spacing w:before="120"/>
        <w:jc w:val="both"/>
        <w:rPr>
          <w:noProof/>
          <w:color w:val="548DD4" w:themeColor="text2" w:themeTint="99"/>
        </w:rPr>
      </w:pPr>
      <w:r w:rsidRPr="00FD61BF">
        <w:t xml:space="preserve">Размерът на просрочените задължения на </w:t>
      </w:r>
      <w:r w:rsidRPr="00FD61BF">
        <w:rPr>
          <w:b/>
        </w:rPr>
        <w:t>централно правителство</w:t>
      </w:r>
      <w:r w:rsidRPr="00FD61BF">
        <w:t xml:space="preserve"> (министерства, ведомства и разпоредителите с бюджет по чл. 13, ал. 3 и ал. 4 на ЗПФ) е</w:t>
      </w:r>
      <w:r w:rsidR="00BD0457">
        <w:rPr>
          <w:b/>
        </w:rPr>
        <w:t xml:space="preserve"> 90,7</w:t>
      </w:r>
      <w:r w:rsidRPr="00FD61BF">
        <w:rPr>
          <w:b/>
        </w:rPr>
        <w:t xml:space="preserve"> млн. лева. </w:t>
      </w:r>
      <w:r w:rsidRPr="00FD61BF">
        <w:t xml:space="preserve">Спрямо отчетените в края на 2021 г. те намаляват със </w:t>
      </w:r>
      <w:r w:rsidR="00BD0457">
        <w:t>107,3</w:t>
      </w:r>
      <w:r w:rsidRPr="00FD61BF">
        <w:t xml:space="preserve"> млн. лева</w:t>
      </w:r>
      <w:r>
        <w:t xml:space="preserve"> </w:t>
      </w:r>
      <w:r w:rsidRPr="00820875">
        <w:t xml:space="preserve">(основно от намаление на просрочията на МРРБ във връзка с обезпечени със средства </w:t>
      </w:r>
      <w:r w:rsidRPr="00820875">
        <w:rPr>
          <w:noProof/>
        </w:rPr>
        <w:t>договори за текущ ремонт и поддържане на републиканските пътища, вкл. и зимно поддържане</w:t>
      </w:r>
      <w:r w:rsidRPr="00820875">
        <w:t>). В</w:t>
      </w:r>
      <w:r w:rsidRPr="003C5228">
        <w:t xml:space="preserve"> обхвата на държавния бюджет по-значими проблеми с наличие на просрочени задължения има </w:t>
      </w:r>
      <w:r w:rsidRPr="003C5228">
        <w:rPr>
          <w:bCs/>
        </w:rPr>
        <w:t xml:space="preserve">при няколко министерства. </w:t>
      </w:r>
      <w:r w:rsidRPr="003B76F6">
        <w:rPr>
          <w:bCs/>
        </w:rPr>
        <w:t>С най-значими</w:t>
      </w:r>
      <w:r w:rsidRPr="003B76F6">
        <w:t xml:space="preserve"> просрочени задължения по държавния бюджет са: </w:t>
      </w:r>
      <w:r w:rsidRPr="00E65E41">
        <w:t>Министерство на околната среда и водите – 35,0 млн. лв. (увеличение с 35,0 млн. лв. спрямо отчетените в края на 2021 г.</w:t>
      </w:r>
      <w:r>
        <w:t>, като просрочията</w:t>
      </w:r>
      <w:r w:rsidRPr="00E65E41">
        <w:t xml:space="preserve"> представляват разходи по изпълнение на решения на съдебни </w:t>
      </w:r>
      <w:r w:rsidRPr="00C072E1">
        <w:t xml:space="preserve">дела); </w:t>
      </w:r>
      <w:r w:rsidRPr="00C072E1">
        <w:rPr>
          <w:noProof/>
        </w:rPr>
        <w:t xml:space="preserve">Министерство на земеделието – 19,7 млн. лв. (увеличение с 5,3 млн. лв. </w:t>
      </w:r>
      <w:r w:rsidRPr="00C072E1">
        <w:t>спрямо просрочията в края на 2021 г</w:t>
      </w:r>
      <w:r w:rsidRPr="008B7A34">
        <w:t>.</w:t>
      </w:r>
      <w:r w:rsidRPr="008B7A34">
        <w:rPr>
          <w:noProof/>
        </w:rPr>
        <w:t>); Министерство на вътрешните работи – 7,3 млн. лв</w:t>
      </w:r>
      <w:r w:rsidRPr="003075AA">
        <w:rPr>
          <w:noProof/>
        </w:rPr>
        <w:t xml:space="preserve">. (увеличение със 7,2 млн. лв. спрямо </w:t>
      </w:r>
      <w:r w:rsidRPr="003075AA">
        <w:t>отчетените в края на 2021 г.</w:t>
      </w:r>
      <w:r w:rsidR="00FF3965">
        <w:rPr>
          <w:noProof/>
        </w:rPr>
        <w:t xml:space="preserve">); Министерство на отбраната – 3,6 млн. лв. (увеличение </w:t>
      </w:r>
      <w:bookmarkStart w:id="33" w:name="_GoBack"/>
      <w:bookmarkEnd w:id="33"/>
      <w:r w:rsidR="00FF3965">
        <w:rPr>
          <w:noProof/>
        </w:rPr>
        <w:t>с 0,1</w:t>
      </w:r>
      <w:r w:rsidRPr="003075AA">
        <w:rPr>
          <w:noProof/>
        </w:rPr>
        <w:t xml:space="preserve"> млн. лв. спрямо </w:t>
      </w:r>
      <w:r w:rsidRPr="003075AA">
        <w:t>отчетените в края на 2021 г.</w:t>
      </w:r>
      <w:r w:rsidRPr="003075AA">
        <w:rPr>
          <w:noProof/>
        </w:rPr>
        <w:t>), в т.ч. 3,5 млн. лв. на ВМА</w:t>
      </w:r>
      <w:r w:rsidRPr="00C072E1">
        <w:t>;</w:t>
      </w:r>
      <w:r w:rsidRPr="003075AA">
        <w:rPr>
          <w:noProof/>
        </w:rPr>
        <w:t xml:space="preserve"> </w:t>
      </w:r>
      <w:r w:rsidRPr="00C072E1">
        <w:rPr>
          <w:noProof/>
        </w:rPr>
        <w:t xml:space="preserve">Министерство на </w:t>
      </w:r>
      <w:r>
        <w:rPr>
          <w:noProof/>
        </w:rPr>
        <w:t>правосъдието</w:t>
      </w:r>
      <w:r w:rsidRPr="00C072E1">
        <w:rPr>
          <w:noProof/>
        </w:rPr>
        <w:t xml:space="preserve"> – </w:t>
      </w:r>
      <w:r>
        <w:rPr>
          <w:noProof/>
        </w:rPr>
        <w:t>1,8</w:t>
      </w:r>
      <w:r w:rsidRPr="00C072E1">
        <w:rPr>
          <w:noProof/>
        </w:rPr>
        <w:t xml:space="preserve"> млн. лв. (увеличение с </w:t>
      </w:r>
      <w:r>
        <w:rPr>
          <w:noProof/>
        </w:rPr>
        <w:t>1</w:t>
      </w:r>
      <w:r w:rsidRPr="00C072E1">
        <w:rPr>
          <w:noProof/>
        </w:rPr>
        <w:t>,3 млн.</w:t>
      </w:r>
      <w:r>
        <w:rPr>
          <w:noProof/>
        </w:rPr>
        <w:t> </w:t>
      </w:r>
      <w:r w:rsidRPr="003D48B0">
        <w:rPr>
          <w:noProof/>
        </w:rPr>
        <w:t xml:space="preserve">лв. </w:t>
      </w:r>
      <w:r w:rsidRPr="003D48B0">
        <w:t>спрямо просрочията в края на 2021 г.</w:t>
      </w:r>
      <w:r w:rsidRPr="003D48B0">
        <w:rPr>
          <w:noProof/>
        </w:rPr>
        <w:t>) и други. От разпоредителите с бюджет по чл. 13, ал. 3 на Закона за публичните финанси проблеми с наличието на просрочени задължения има основно при Българската национална телевизия – 5,5 млн. лв. (намаление с 0,1 млн</w:t>
      </w:r>
      <w:r w:rsidRPr="00460C36">
        <w:rPr>
          <w:noProof/>
        </w:rPr>
        <w:t xml:space="preserve">. лв. </w:t>
      </w:r>
      <w:r w:rsidRPr="00460C36">
        <w:t>спрямо отчетените в края на 2021 г.</w:t>
      </w:r>
      <w:r w:rsidRPr="00460C36">
        <w:rPr>
          <w:noProof/>
        </w:rPr>
        <w:t xml:space="preserve">, </w:t>
      </w:r>
      <w:r>
        <w:rPr>
          <w:noProof/>
        </w:rPr>
        <w:t>като това</w:t>
      </w:r>
      <w:r w:rsidRPr="00460C36">
        <w:rPr>
          <w:noProof/>
        </w:rPr>
        <w:t xml:space="preserve"> </w:t>
      </w:r>
      <w:r>
        <w:rPr>
          <w:noProof/>
        </w:rPr>
        <w:t xml:space="preserve">са основно </w:t>
      </w:r>
      <w:r w:rsidRPr="00460C36">
        <w:t>просрочени задължения към доставчици в страната)</w:t>
      </w:r>
      <w:r>
        <w:t>,</w:t>
      </w:r>
      <w:r w:rsidRPr="00460C36">
        <w:rPr>
          <w:noProof/>
        </w:rPr>
        <w:t xml:space="preserve"> </w:t>
      </w:r>
      <w:r w:rsidRPr="003D48B0">
        <w:rPr>
          <w:noProof/>
        </w:rPr>
        <w:t>Българск</w:t>
      </w:r>
      <w:r>
        <w:rPr>
          <w:noProof/>
        </w:rPr>
        <w:t>ото</w:t>
      </w:r>
      <w:r w:rsidRPr="003D48B0">
        <w:rPr>
          <w:noProof/>
        </w:rPr>
        <w:t xml:space="preserve"> национал</w:t>
      </w:r>
      <w:r>
        <w:rPr>
          <w:noProof/>
        </w:rPr>
        <w:t>о радио</w:t>
      </w:r>
      <w:r w:rsidRPr="003D48B0">
        <w:rPr>
          <w:noProof/>
        </w:rPr>
        <w:t xml:space="preserve"> – </w:t>
      </w:r>
      <w:r>
        <w:rPr>
          <w:noProof/>
        </w:rPr>
        <w:t>2,6</w:t>
      </w:r>
      <w:r w:rsidRPr="003D48B0">
        <w:rPr>
          <w:noProof/>
        </w:rPr>
        <w:t xml:space="preserve"> млн. лв. (</w:t>
      </w:r>
      <w:r>
        <w:rPr>
          <w:noProof/>
        </w:rPr>
        <w:t>увеличение</w:t>
      </w:r>
      <w:r w:rsidRPr="003D48B0">
        <w:rPr>
          <w:noProof/>
        </w:rPr>
        <w:t xml:space="preserve"> с 0</w:t>
      </w:r>
      <w:r w:rsidRPr="00684F7E">
        <w:rPr>
          <w:noProof/>
        </w:rPr>
        <w:t xml:space="preserve">,2 млн. лв. </w:t>
      </w:r>
      <w:r w:rsidRPr="00684F7E">
        <w:t xml:space="preserve">спрямо отчетените в края на 2021 г.) </w:t>
      </w:r>
      <w:r w:rsidRPr="00684F7E">
        <w:rPr>
          <w:noProof/>
        </w:rPr>
        <w:t xml:space="preserve">и държавните висши училища – 9,1 млн. лв. (увеличение със 2,1 млн. лв. </w:t>
      </w:r>
      <w:r w:rsidRPr="00684F7E">
        <w:t>спрямо отчетените в края на 2021 г. и включват задължения за внасяне на данъци, вноски, такси  и административни санкции, задължения към доставчици и др.</w:t>
      </w:r>
      <w:r w:rsidRPr="00684F7E">
        <w:rPr>
          <w:noProof/>
        </w:rPr>
        <w:t>).</w:t>
      </w:r>
    </w:p>
    <w:p w:rsidR="00EB3EAF" w:rsidRPr="005324D3" w:rsidRDefault="00EB3EAF" w:rsidP="00EB3EAF">
      <w:pPr>
        <w:ind w:firstLine="567"/>
        <w:jc w:val="both"/>
        <w:rPr>
          <w:bCs/>
          <w:sz w:val="6"/>
          <w:szCs w:val="12"/>
        </w:rPr>
      </w:pPr>
    </w:p>
    <w:p w:rsidR="00EB3EAF" w:rsidRPr="000E2106" w:rsidRDefault="00EB3EAF" w:rsidP="00EB3EAF">
      <w:pPr>
        <w:spacing w:after="120"/>
        <w:jc w:val="both"/>
        <w:rPr>
          <w:noProof/>
        </w:rPr>
      </w:pPr>
      <w:r w:rsidRPr="000E2106">
        <w:rPr>
          <w:noProof/>
        </w:rPr>
        <w:t xml:space="preserve">Просрочените задължения по </w:t>
      </w:r>
      <w:r w:rsidRPr="000E2106">
        <w:rPr>
          <w:b/>
          <w:noProof/>
        </w:rPr>
        <w:t>бюджетите на общините</w:t>
      </w:r>
      <w:r w:rsidRPr="000E2106">
        <w:rPr>
          <w:noProof/>
        </w:rPr>
        <w:t xml:space="preserve"> към 31.03.2022 г. са в размер на </w:t>
      </w:r>
      <w:r w:rsidRPr="000E2106">
        <w:rPr>
          <w:b/>
          <w:noProof/>
        </w:rPr>
        <w:t>120,3 млн. лв.,</w:t>
      </w:r>
      <w:r w:rsidRPr="000E2106">
        <w:rPr>
          <w:noProof/>
        </w:rPr>
        <w:t xml:space="preserve"> като спрямо </w:t>
      </w:r>
      <w:r w:rsidRPr="000E2106">
        <w:t xml:space="preserve">края на 2021 г. </w:t>
      </w:r>
      <w:r w:rsidRPr="000E2106">
        <w:rPr>
          <w:noProof/>
        </w:rPr>
        <w:t>се отчита увеличение с 1,6 млн. лева. С най-голям относителен дял в просрочените задължения по бюджетите на общините към края на месец март 2022 г. са просрочените задължения към доставчици, които са в размер на 83,6 млн. лева. В делегираните от държавата дейности просрочените задължения са в размер на 1,7 млн. лева.</w:t>
      </w:r>
    </w:p>
    <w:p w:rsidR="00EB3EAF" w:rsidRPr="00CB55D9" w:rsidRDefault="00EB3EAF" w:rsidP="00EB3EAF">
      <w:pPr>
        <w:spacing w:before="120"/>
        <w:jc w:val="both"/>
      </w:pPr>
      <w:r w:rsidRPr="00CB55D9">
        <w:t xml:space="preserve">В системата на </w:t>
      </w:r>
      <w:r w:rsidRPr="00CB55D9">
        <w:rPr>
          <w:b/>
        </w:rPr>
        <w:t>НЗОК</w:t>
      </w:r>
      <w:r w:rsidRPr="00CB55D9">
        <w:t xml:space="preserve"> към 31.03.2021 г. просрочените задължения са в размер 4,8 хил. лева.</w:t>
      </w:r>
    </w:p>
    <w:p w:rsidR="00EB3EAF" w:rsidRPr="00151757" w:rsidRDefault="00EB3EAF" w:rsidP="00EB3EAF">
      <w:pPr>
        <w:spacing w:after="120"/>
        <w:jc w:val="both"/>
        <w:rPr>
          <w:noProof/>
          <w:color w:val="548DD4" w:themeColor="text2" w:themeTint="99"/>
          <w:sz w:val="6"/>
          <w:szCs w:val="6"/>
        </w:rPr>
      </w:pPr>
    </w:p>
    <w:p w:rsidR="00EB3EAF" w:rsidRPr="00742FDF" w:rsidRDefault="00FC29D5" w:rsidP="00EB3EAF">
      <w:pPr>
        <w:spacing w:after="120"/>
        <w:jc w:val="both"/>
        <w:rPr>
          <w:lang w:val="en-US"/>
        </w:rPr>
      </w:pPr>
      <w:r w:rsidRPr="00742FDF">
        <w:rPr>
          <w:noProof/>
        </w:rPr>
        <w:t xml:space="preserve">Извън обхвата на консолидираната фискална програма, продължава да има проблем с просрочията на лечебните заведения за болнична помощ (държавни и общински болници – търговски дружества). Към 31.03.2022 г. размерът на просрочените задължения е </w:t>
      </w:r>
      <w:r>
        <w:rPr>
          <w:noProof/>
        </w:rPr>
        <w:t>139,1</w:t>
      </w:r>
      <w:r w:rsidRPr="00742FDF">
        <w:rPr>
          <w:noProof/>
        </w:rPr>
        <w:t xml:space="preserve"> млн. лв., от които </w:t>
      </w:r>
      <w:r>
        <w:rPr>
          <w:noProof/>
        </w:rPr>
        <w:t xml:space="preserve">112,7 </w:t>
      </w:r>
      <w:r w:rsidRPr="00742FDF">
        <w:rPr>
          <w:noProof/>
        </w:rPr>
        <w:t xml:space="preserve">млн. лв. са на държавните болници и </w:t>
      </w:r>
      <w:r>
        <w:rPr>
          <w:noProof/>
        </w:rPr>
        <w:t>26,4</w:t>
      </w:r>
      <w:r w:rsidRPr="00742FDF">
        <w:rPr>
          <w:noProof/>
        </w:rPr>
        <w:t xml:space="preserve"> млн. лв. са на общинските болници. Спрямо отчетените просрочени задължения към 31.12.2021 г. се отчита </w:t>
      </w:r>
      <w:r>
        <w:rPr>
          <w:noProof/>
        </w:rPr>
        <w:t>увеличение</w:t>
      </w:r>
      <w:r w:rsidRPr="00742FDF">
        <w:rPr>
          <w:noProof/>
        </w:rPr>
        <w:t xml:space="preserve"> с </w:t>
      </w:r>
      <w:r>
        <w:rPr>
          <w:noProof/>
        </w:rPr>
        <w:t>24,8</w:t>
      </w:r>
      <w:r w:rsidRPr="00742FDF">
        <w:rPr>
          <w:noProof/>
        </w:rPr>
        <w:t xml:space="preserve"> млн. лв. (с </w:t>
      </w:r>
      <w:r>
        <w:rPr>
          <w:noProof/>
        </w:rPr>
        <w:t>22</w:t>
      </w:r>
      <w:r w:rsidRPr="00742FDF">
        <w:rPr>
          <w:noProof/>
        </w:rPr>
        <w:t xml:space="preserve"> на сто)</w:t>
      </w:r>
      <w:r w:rsidR="00EB3EAF" w:rsidRPr="00742FDF">
        <w:t>.</w:t>
      </w:r>
    </w:p>
    <w:p w:rsidR="00BB059C" w:rsidRPr="00151757" w:rsidRDefault="00BB059C" w:rsidP="00BB059C">
      <w:pPr>
        <w:ind w:firstLine="567"/>
        <w:jc w:val="both"/>
        <w:rPr>
          <w:noProof/>
          <w:color w:val="548DD4" w:themeColor="text2" w:themeTint="99"/>
          <w:sz w:val="2"/>
          <w:szCs w:val="12"/>
          <w:lang w:val="en-US"/>
        </w:rPr>
      </w:pPr>
    </w:p>
    <w:p w:rsidR="009C2594" w:rsidRPr="00411FD7" w:rsidRDefault="009C2594" w:rsidP="00D6063B">
      <w:pPr>
        <w:pStyle w:val="BodyTextIndent"/>
        <w:numPr>
          <w:ilvl w:val="1"/>
          <w:numId w:val="13"/>
        </w:numPr>
        <w:tabs>
          <w:tab w:val="clear" w:pos="2160"/>
          <w:tab w:val="num" w:pos="720"/>
          <w:tab w:val="num" w:pos="900"/>
        </w:tabs>
        <w:spacing w:before="120" w:after="0"/>
        <w:ind w:left="720"/>
        <w:jc w:val="both"/>
        <w:rPr>
          <w:b/>
          <w:bCs/>
        </w:rPr>
      </w:pPr>
      <w:r w:rsidRPr="00411FD7">
        <w:rPr>
          <w:b/>
          <w:bCs/>
        </w:rPr>
        <w:t xml:space="preserve">Разходи по </w:t>
      </w:r>
      <w:r w:rsidRPr="00411FD7">
        <w:rPr>
          <w:b/>
          <w:bCs/>
          <w:szCs w:val="26"/>
        </w:rPr>
        <w:t xml:space="preserve">централния бюджет </w:t>
      </w:r>
      <w:r w:rsidRPr="00411FD7">
        <w:rPr>
          <w:b/>
          <w:bCs/>
        </w:rPr>
        <w:t>за субсидии</w:t>
      </w:r>
      <w:r w:rsidR="00F202DD" w:rsidRPr="00411FD7">
        <w:rPr>
          <w:b/>
          <w:bCs/>
        </w:rPr>
        <w:t>,</w:t>
      </w:r>
      <w:r w:rsidR="0091667E" w:rsidRPr="00411FD7">
        <w:rPr>
          <w:b/>
          <w:bCs/>
        </w:rPr>
        <w:t xml:space="preserve"> </w:t>
      </w:r>
      <w:r w:rsidR="00F202DD" w:rsidRPr="00411FD7">
        <w:rPr>
          <w:b/>
          <w:bCs/>
        </w:rPr>
        <w:t xml:space="preserve">капиталови </w:t>
      </w:r>
      <w:r w:rsidR="00AF1CA0" w:rsidRPr="00411FD7">
        <w:rPr>
          <w:b/>
          <w:bCs/>
        </w:rPr>
        <w:t>трансфери</w:t>
      </w:r>
      <w:r w:rsidR="00AF1CA0" w:rsidRPr="00411FD7">
        <w:rPr>
          <w:bCs/>
        </w:rPr>
        <w:t xml:space="preserve"> </w:t>
      </w:r>
      <w:r w:rsidRPr="00411FD7">
        <w:rPr>
          <w:b/>
          <w:bCs/>
        </w:rPr>
        <w:t xml:space="preserve">и други разходи, свързани с дейността на реалния сектор </w:t>
      </w:r>
    </w:p>
    <w:p w:rsidR="009C2594" w:rsidRPr="00151757" w:rsidRDefault="009C2594" w:rsidP="009C2594">
      <w:pPr>
        <w:pStyle w:val="Header"/>
        <w:jc w:val="both"/>
        <w:rPr>
          <w:color w:val="548DD4" w:themeColor="text2" w:themeTint="99"/>
          <w:sz w:val="8"/>
          <w:szCs w:val="8"/>
        </w:rPr>
      </w:pPr>
    </w:p>
    <w:p w:rsidR="00411FD7" w:rsidRPr="00942C95" w:rsidRDefault="00411FD7" w:rsidP="00411FD7">
      <w:pPr>
        <w:pStyle w:val="Header"/>
        <w:ind w:firstLine="567"/>
        <w:jc w:val="both"/>
      </w:pPr>
      <w:r w:rsidRPr="00942C95">
        <w:t>Със ЗДБРБ за 202</w:t>
      </w:r>
      <w:r>
        <w:t>2</w:t>
      </w:r>
      <w:r w:rsidRPr="00942C95">
        <w:t xml:space="preserve"> г. са утвърдени 116,3 млн. лв</w:t>
      </w:r>
      <w:r w:rsidRPr="00942C95">
        <w:rPr>
          <w:b/>
        </w:rPr>
        <w:t>.</w:t>
      </w:r>
      <w:r w:rsidRPr="00942C95">
        <w:t xml:space="preserve"> </w:t>
      </w:r>
      <w:r w:rsidRPr="00942C95">
        <w:rPr>
          <w:b/>
        </w:rPr>
        <w:t>субсидии</w:t>
      </w:r>
      <w:r w:rsidRPr="00942C95">
        <w:t xml:space="preserve"> за нефинансови предприятия от централния бюджет.</w:t>
      </w:r>
    </w:p>
    <w:p w:rsidR="00411FD7" w:rsidRPr="00942C95" w:rsidRDefault="00411FD7" w:rsidP="00411FD7">
      <w:pPr>
        <w:pStyle w:val="Header"/>
        <w:ind w:firstLine="567"/>
        <w:jc w:val="both"/>
        <w:rPr>
          <w:sz w:val="4"/>
          <w:szCs w:val="4"/>
        </w:rPr>
      </w:pPr>
    </w:p>
    <w:p w:rsidR="00411FD7" w:rsidRPr="00942C95" w:rsidRDefault="00411FD7" w:rsidP="00411FD7">
      <w:pPr>
        <w:pStyle w:val="BodyText2"/>
        <w:spacing w:after="0" w:line="240" w:lineRule="auto"/>
        <w:ind w:firstLine="567"/>
        <w:jc w:val="both"/>
      </w:pPr>
      <w:r w:rsidRPr="00942C95">
        <w:t xml:space="preserve">Средствата за </w:t>
      </w:r>
      <w:r w:rsidRPr="00942C95">
        <w:rPr>
          <w:bCs/>
        </w:rPr>
        <w:t>субсидии</w:t>
      </w:r>
      <w:r w:rsidRPr="00942C95">
        <w:t xml:space="preserve"> са предназначени за търговски дружества, осъществяващи превоза на пътниците по нерентабилни автобусни линии във вътрешноградския транспорт и транспорта в планински и други райони, за текущо поддържане и експлоатация на железопътната инфраструктура и др.</w:t>
      </w:r>
    </w:p>
    <w:p w:rsidR="00411FD7" w:rsidRPr="00151757" w:rsidRDefault="00411FD7" w:rsidP="00411FD7">
      <w:pPr>
        <w:pStyle w:val="BodyText2"/>
        <w:spacing w:after="0" w:line="240" w:lineRule="auto"/>
        <w:jc w:val="both"/>
        <w:rPr>
          <w:color w:val="548DD4" w:themeColor="text2" w:themeTint="99"/>
          <w:sz w:val="12"/>
          <w:szCs w:val="12"/>
        </w:rPr>
      </w:pPr>
    </w:p>
    <w:p w:rsidR="00411FD7" w:rsidRPr="00A23D19" w:rsidRDefault="00411FD7" w:rsidP="00411FD7">
      <w:pPr>
        <w:pStyle w:val="BodyTextIndent"/>
        <w:ind w:left="0" w:firstLine="357"/>
        <w:jc w:val="both"/>
      </w:pPr>
      <w:r w:rsidRPr="00942C95">
        <w:t>- Със ЗДБРБ за 202</w:t>
      </w:r>
      <w:r>
        <w:t>2</w:t>
      </w:r>
      <w:r w:rsidRPr="00942C95">
        <w:t xml:space="preserve"> г. за Национална компания „Железопътна инфраструктура” са предвидени средства под формата на субсидии, предназначени за поддържане и експлоатация на железопътната инфраструктура, в размер на 46,3 млн. лева. Средствата са усвоени изцяло, като същите са предоставени в съответствие с утвърдения от министъра на транспорта и </w:t>
      </w:r>
      <w:r w:rsidRPr="00942C95">
        <w:lastRenderedPageBreak/>
        <w:t xml:space="preserve">съобщенията График за превеждане на субсидиите, съобразен с необходимостта от средства за </w:t>
      </w:r>
      <w:r w:rsidRPr="00A23D19">
        <w:t xml:space="preserve">финансиране на текущите дейности на предприятието. </w:t>
      </w:r>
    </w:p>
    <w:p w:rsidR="00411FD7" w:rsidRPr="00061551" w:rsidRDefault="00411FD7" w:rsidP="00411FD7">
      <w:pPr>
        <w:pStyle w:val="BodyTextIndent2"/>
        <w:spacing w:line="240" w:lineRule="auto"/>
        <w:ind w:left="0" w:firstLine="357"/>
        <w:jc w:val="both"/>
        <w:rPr>
          <w:noProof/>
        </w:rPr>
      </w:pPr>
      <w:r w:rsidRPr="00A23D19">
        <w:t>- Предвидените със ЗДБРБ за 2022 г. средства за субсидиране на превоза на пътниците по нерентабилни автобусни линии във вътрешноградския транспорт и транспорта в планински и други райони са в размер на 70,0 млн. лв.</w:t>
      </w:r>
      <w:r>
        <w:t xml:space="preserve">, в т.ч. </w:t>
      </w:r>
      <w:r w:rsidR="00B61317">
        <w:t xml:space="preserve">за </w:t>
      </w:r>
      <w:r>
        <w:t>Столична община – в размер на 15,0 млн. лева.</w:t>
      </w:r>
      <w:r w:rsidRPr="00A23D19">
        <w:t xml:space="preserve"> По своя характер те са обществени превозни услуги от общ икономически интерес и имат предимно социална насоченост – масови превози до и от работните места в рамките на града и превози до малки отдалечени селища, осигуряващи връзка с общинския център. П</w:t>
      </w:r>
      <w:r w:rsidRPr="00A23D19">
        <w:rPr>
          <w:noProof/>
        </w:rPr>
        <w:t xml:space="preserve">рез първото тримесечие на 2022 г. усвоените средства са в размер на 10,1 млн. лв. или 14,4 на сто от разчета </w:t>
      </w:r>
      <w:r w:rsidRPr="00061551">
        <w:rPr>
          <w:noProof/>
        </w:rPr>
        <w:t>за годината. Средствата се разпределят по общини от Министерство на транспорта и съобщенията, с изключение на тези за Столична община, които са определени на самостоятелен ред в Закона за държавния бюджет на Република България за 2022 г.</w:t>
      </w:r>
    </w:p>
    <w:p w:rsidR="00411FD7" w:rsidRPr="006D50CD" w:rsidRDefault="00411FD7" w:rsidP="00411FD7">
      <w:pPr>
        <w:ind w:firstLine="567"/>
        <w:jc w:val="both"/>
        <w:rPr>
          <w:bCs/>
        </w:rPr>
      </w:pPr>
      <w:r w:rsidRPr="00061551">
        <w:rPr>
          <w:bCs/>
        </w:rPr>
        <w:t xml:space="preserve">За </w:t>
      </w:r>
      <w:r w:rsidRPr="006D50CD">
        <w:rPr>
          <w:bCs/>
        </w:rPr>
        <w:t xml:space="preserve">капиталови трансфери от централния бюджет за нефинансови предприятия със ЗДБРБ за 2022 г. са предвидени 49,9 млн. лева. </w:t>
      </w:r>
      <w:r w:rsidR="005D25CB" w:rsidRPr="005D25CB">
        <w:rPr>
          <w:bCs/>
        </w:rPr>
        <w:t>През месец януари</w:t>
      </w:r>
      <w:r w:rsidR="005D25CB">
        <w:rPr>
          <w:bCs/>
        </w:rPr>
        <w:t xml:space="preserve"> 2022 г.</w:t>
      </w:r>
      <w:r w:rsidR="005D25CB" w:rsidRPr="005D25CB">
        <w:rPr>
          <w:bCs/>
        </w:rPr>
        <w:t xml:space="preserve"> са възстановени средства от предоставени капиталови трансфери през 2021 г. на „БДЖ-Пътнически превози“ ЕООД и Национална компания „Железопътна инфраструктура“ в съответствие с чл. 10, ал. 8 от ПМС № 408/2020 г. в размер на 3,4 млн. лева</w:t>
      </w:r>
      <w:r w:rsidR="005D25CB">
        <w:rPr>
          <w:bCs/>
        </w:rPr>
        <w:t xml:space="preserve">. </w:t>
      </w:r>
      <w:r w:rsidRPr="006D50CD">
        <w:rPr>
          <w:bCs/>
        </w:rPr>
        <w:t>Преведените и усвоени средства към 31.03.2022 г. са в размер на 37,8 млн. лв. или 75,7 % от годишния размер, както следва:</w:t>
      </w:r>
    </w:p>
    <w:p w:rsidR="00411FD7" w:rsidRPr="001E2ABB" w:rsidRDefault="00411FD7" w:rsidP="00411FD7">
      <w:pPr>
        <w:numPr>
          <w:ilvl w:val="0"/>
          <w:numId w:val="5"/>
        </w:numPr>
        <w:tabs>
          <w:tab w:val="clear" w:pos="1440"/>
          <w:tab w:val="left" w:pos="851"/>
          <w:tab w:val="left" w:pos="1134"/>
        </w:tabs>
        <w:ind w:left="0" w:firstLine="567"/>
        <w:jc w:val="both"/>
        <w:rPr>
          <w:i/>
        </w:rPr>
      </w:pPr>
      <w:r w:rsidRPr="006D50CD">
        <w:rPr>
          <w:i/>
        </w:rPr>
        <w:t>капиталови трансфери за  Национална компания</w:t>
      </w:r>
      <w:r w:rsidRPr="00061551">
        <w:rPr>
          <w:i/>
        </w:rPr>
        <w:t xml:space="preserve"> „Железопътна инфраструктура</w:t>
      </w:r>
      <w:r w:rsidRPr="00061551">
        <w:t>” - ф</w:t>
      </w:r>
      <w:r w:rsidRPr="00061551">
        <w:rPr>
          <w:noProof/>
        </w:rPr>
        <w:t>инансовото подпомагане от страна на държавата за изграждане и развитие на железопътната инфраструктура е насочено към повишаване на качеството и нивото на безопасност на транспортните услуги, ускоряване реализацията на проекти, свързани с европейските транспортни оси и коридори на територията на страната, ремонт и рехабилитация на железопътната мрежа</w:t>
      </w:r>
      <w:r w:rsidRPr="00061551">
        <w:t xml:space="preserve">. </w:t>
      </w:r>
      <w:r w:rsidRPr="00061551">
        <w:rPr>
          <w:noProof/>
        </w:rPr>
        <w:t xml:space="preserve">За 2022 г. от </w:t>
      </w:r>
      <w:r w:rsidR="009B479F">
        <w:rPr>
          <w:noProof/>
        </w:rPr>
        <w:t>централния</w:t>
      </w:r>
      <w:r w:rsidR="009B479F" w:rsidRPr="00061551">
        <w:rPr>
          <w:noProof/>
        </w:rPr>
        <w:t xml:space="preserve"> </w:t>
      </w:r>
      <w:r w:rsidRPr="00061551">
        <w:rPr>
          <w:noProof/>
        </w:rPr>
        <w:t xml:space="preserve">бюджет за компанията е предвиден капиталов трансфер в размер на 11,1 млн. лева. Средствата са усвоените изцяло. Изпълняват се проекти за ремонт и придобиване на дълготрайни материални активи, за възстановяване и подобряване на експлоатационното състояние на железния път и съоръженията, както и ремонт и </w:t>
      </w:r>
      <w:r w:rsidRPr="001E2ABB">
        <w:rPr>
          <w:noProof/>
        </w:rPr>
        <w:t>преустройство на възлови жп гари в съответствие с европейските изисквания;</w:t>
      </w:r>
    </w:p>
    <w:p w:rsidR="00411FD7" w:rsidRPr="00F856C9" w:rsidRDefault="00411FD7" w:rsidP="00411FD7">
      <w:pPr>
        <w:numPr>
          <w:ilvl w:val="0"/>
          <w:numId w:val="5"/>
        </w:numPr>
        <w:tabs>
          <w:tab w:val="clear" w:pos="1440"/>
          <w:tab w:val="num" w:pos="360"/>
          <w:tab w:val="left" w:pos="851"/>
        </w:tabs>
        <w:ind w:left="0" w:firstLine="567"/>
        <w:jc w:val="both"/>
        <w:rPr>
          <w:i/>
        </w:rPr>
      </w:pPr>
      <w:r w:rsidRPr="001E2ABB">
        <w:rPr>
          <w:i/>
        </w:rPr>
        <w:t xml:space="preserve">капиталови трансфери за „БДЖ – Пътнически превози” - ЕООД – </w:t>
      </w:r>
      <w:r w:rsidRPr="001E2ABB">
        <w:t>предвидените средства със ЗДБРБ за 202</w:t>
      </w:r>
      <w:r>
        <w:t>2</w:t>
      </w:r>
      <w:r w:rsidRPr="001E2ABB">
        <w:t> г. са в размер на 18,3 млн. лева. Средствата са у</w:t>
      </w:r>
      <w:r w:rsidRPr="001E2ABB">
        <w:rPr>
          <w:noProof/>
        </w:rPr>
        <w:t xml:space="preserve">своени изцяло и </w:t>
      </w:r>
      <w:r w:rsidRPr="001E2ABB">
        <w:t xml:space="preserve">са </w:t>
      </w:r>
      <w:r w:rsidRPr="00F856C9">
        <w:t xml:space="preserve">предназначени за планов заводски (среден и капитален) ремонт и </w:t>
      </w:r>
      <w:r w:rsidR="006A4D83">
        <w:t>модернизация</w:t>
      </w:r>
      <w:r w:rsidR="006A4D83" w:rsidRPr="00F856C9">
        <w:t xml:space="preserve"> </w:t>
      </w:r>
      <w:r w:rsidRPr="00F856C9">
        <w:t>на пътнически вагони, подемен и капитален ремонт и преустройство на електрически локомотиви;</w:t>
      </w:r>
    </w:p>
    <w:p w:rsidR="00411FD7" w:rsidRPr="00F856C9" w:rsidRDefault="00411FD7" w:rsidP="00411FD7">
      <w:pPr>
        <w:numPr>
          <w:ilvl w:val="1"/>
          <w:numId w:val="14"/>
        </w:numPr>
        <w:tabs>
          <w:tab w:val="clear" w:pos="1440"/>
          <w:tab w:val="num" w:pos="360"/>
          <w:tab w:val="left" w:pos="851"/>
        </w:tabs>
        <w:ind w:left="0" w:firstLine="567"/>
        <w:jc w:val="both"/>
      </w:pPr>
      <w:r w:rsidRPr="00F856C9">
        <w:rPr>
          <w:i/>
        </w:rPr>
        <w:t>капиталови трансфери за ДП „Пристанищна инфраструктура”</w:t>
      </w:r>
      <w:r w:rsidRPr="00F856C9">
        <w:rPr>
          <w:b/>
          <w:i/>
        </w:rPr>
        <w:t xml:space="preserve"> </w:t>
      </w:r>
      <w:r w:rsidRPr="00F856C9">
        <w:t>- инвестиционната програма на дружеството, която включва изграждане и капиталов ремонт на пристанищна инфраструктура на пристанищата за обществен транспорт с национално значение, се изпълнява с участието на капиталови трансфери от държавния бюджет</w:t>
      </w:r>
      <w:r w:rsidRPr="00F856C9">
        <w:rPr>
          <w:noProof/>
        </w:rPr>
        <w:t>. Предвидените със ЗДБРБ за  2022 г. средства са в размер на 10,5 млн. лева. За първото тримесечие на 2022 г. са усвоени средства в размер на 8,2 млн. лв. или 78,5 на сто от предвидените по центрания бюджет</w:t>
      </w:r>
      <w:r w:rsidRPr="00F856C9">
        <w:t>;</w:t>
      </w:r>
    </w:p>
    <w:p w:rsidR="00411FD7" w:rsidRPr="00F856C9" w:rsidRDefault="00411FD7" w:rsidP="00411FD7">
      <w:pPr>
        <w:numPr>
          <w:ilvl w:val="0"/>
          <w:numId w:val="15"/>
        </w:numPr>
        <w:tabs>
          <w:tab w:val="clear" w:pos="2157"/>
          <w:tab w:val="left" w:pos="360"/>
          <w:tab w:val="left" w:pos="851"/>
        </w:tabs>
        <w:ind w:left="0" w:firstLine="567"/>
        <w:jc w:val="both"/>
      </w:pPr>
      <w:r w:rsidRPr="00F856C9">
        <w:t xml:space="preserve">През 2022 г. продължава изпълнението на Програмите за отстраняване на нанесени щети </w:t>
      </w:r>
      <w:r w:rsidRPr="00F856C9">
        <w:rPr>
          <w:noProof/>
        </w:rPr>
        <w:t>върху околната среда</w:t>
      </w:r>
      <w:r w:rsidRPr="00F856C9">
        <w:t xml:space="preserve">, настъпили от минали действия или бездействия, при приватизация. В ЗДБРБ за 2022 г. за тези програми са предвидени 10,0 млн. лева. </w:t>
      </w:r>
      <w:r w:rsidRPr="00F856C9">
        <w:rPr>
          <w:noProof/>
        </w:rPr>
        <w:t xml:space="preserve">За първото тримесечие на 2022 г. </w:t>
      </w:r>
      <w:r w:rsidRPr="00F856C9">
        <w:t xml:space="preserve">са усвоени средства в размер на 0,2 млн. лв. </w:t>
      </w:r>
      <w:r>
        <w:t>или 1,6 на сто от уточнения годишен план.</w:t>
      </w:r>
      <w:r w:rsidRPr="00F856C9">
        <w:t xml:space="preserve">  </w:t>
      </w:r>
    </w:p>
    <w:p w:rsidR="00411FD7" w:rsidRPr="00151757" w:rsidRDefault="00411FD7" w:rsidP="00411FD7">
      <w:pPr>
        <w:jc w:val="both"/>
        <w:rPr>
          <w:color w:val="548DD4" w:themeColor="text2" w:themeTint="99"/>
          <w:sz w:val="8"/>
          <w:szCs w:val="8"/>
        </w:rPr>
      </w:pPr>
    </w:p>
    <w:p w:rsidR="00411FD7" w:rsidRPr="00151757" w:rsidRDefault="00411FD7" w:rsidP="00411FD7">
      <w:pPr>
        <w:jc w:val="both"/>
        <w:rPr>
          <w:color w:val="548DD4" w:themeColor="text2" w:themeTint="99"/>
          <w:sz w:val="8"/>
          <w:szCs w:val="8"/>
          <w:highlight w:val="yellow"/>
        </w:rPr>
      </w:pPr>
    </w:p>
    <w:p w:rsidR="00411FD7" w:rsidRPr="00A23210" w:rsidRDefault="00411FD7" w:rsidP="00411FD7">
      <w:pPr>
        <w:ind w:firstLine="567"/>
        <w:jc w:val="both"/>
      </w:pPr>
      <w:r w:rsidRPr="00A23210">
        <w:rPr>
          <w:b/>
          <w:bCs/>
        </w:rPr>
        <w:t>Други разходи по централния бюджет</w:t>
      </w:r>
      <w:r w:rsidRPr="00A23210">
        <w:t xml:space="preserve"> предназначени за: </w:t>
      </w:r>
    </w:p>
    <w:p w:rsidR="00411FD7" w:rsidRPr="00151757" w:rsidRDefault="00411FD7" w:rsidP="00411FD7">
      <w:pPr>
        <w:jc w:val="both"/>
        <w:rPr>
          <w:color w:val="548DD4" w:themeColor="text2" w:themeTint="99"/>
          <w:sz w:val="8"/>
          <w:szCs w:val="8"/>
        </w:rPr>
      </w:pPr>
    </w:p>
    <w:p w:rsidR="00411FD7" w:rsidRPr="003C4E85" w:rsidRDefault="00411FD7" w:rsidP="00411FD7">
      <w:pPr>
        <w:numPr>
          <w:ilvl w:val="0"/>
          <w:numId w:val="5"/>
        </w:numPr>
        <w:tabs>
          <w:tab w:val="clear" w:pos="1440"/>
          <w:tab w:val="num" w:pos="360"/>
          <w:tab w:val="left" w:pos="851"/>
        </w:tabs>
        <w:ind w:left="0" w:firstLine="567"/>
        <w:jc w:val="both"/>
        <w:rPr>
          <w:sz w:val="8"/>
          <w:szCs w:val="8"/>
        </w:rPr>
      </w:pPr>
      <w:r w:rsidRPr="00A23210">
        <w:rPr>
          <w:i/>
        </w:rPr>
        <w:t xml:space="preserve">Компенсиране на </w:t>
      </w:r>
      <w:r w:rsidRPr="00A23210">
        <w:rPr>
          <w:bCs/>
          <w:i/>
        </w:rPr>
        <w:t>намалените приходи от прилагането на цени за пътуване, предвидени в нормативни актове за определени категории пътници</w:t>
      </w:r>
      <w:r w:rsidRPr="00A23210">
        <w:rPr>
          <w:i/>
        </w:rPr>
        <w:t xml:space="preserve"> по железопътния и автомобилния транспорт, със средства от държавния бюджет</w:t>
      </w:r>
      <w:r w:rsidRPr="00A23210">
        <w:t xml:space="preserve"> - предвидените средства са общо в </w:t>
      </w:r>
      <w:r w:rsidRPr="003C4E85">
        <w:t xml:space="preserve">размер на 126,5 млн. лв., от които 113,5 млн. лв. </w:t>
      </w:r>
      <w:r w:rsidRPr="003C4E85">
        <w:rPr>
          <w:noProof/>
        </w:rPr>
        <w:t>за пътувания с вътрешноградския транспорт и междуселищния автомобилен транспорт</w:t>
      </w:r>
      <w:r w:rsidRPr="003C4E85">
        <w:t xml:space="preserve">, за транспорт на деца и ученици </w:t>
      </w:r>
      <w:r w:rsidRPr="007F552F">
        <w:t xml:space="preserve">по чл. 283, ал. 2 от Закона за предучилищното и училищното образование и за превоз на служители, ползващи право на безплатно пътуване при изпълнение на служебните си задължения, и 13,0 млн. лв. за пътувания с железопътния транспорт. Предоставените средства за </w:t>
      </w:r>
      <w:r>
        <w:t>първото тримесечие на 2022</w:t>
      </w:r>
      <w:r w:rsidRPr="007F552F">
        <w:t xml:space="preserve"> г. са общо в размер на</w:t>
      </w:r>
      <w:r>
        <w:t xml:space="preserve"> 31,3</w:t>
      </w:r>
      <w:r w:rsidRPr="007F552F">
        <w:t xml:space="preserve"> млн. лв., в т.ч. за вътрешноградския транспорт, </w:t>
      </w:r>
      <w:r w:rsidRPr="007F552F">
        <w:lastRenderedPageBreak/>
        <w:t>междуселищния автомобилен транспорт и железопътния транспорт, или</w:t>
      </w:r>
      <w:r>
        <w:t xml:space="preserve"> 24,7</w:t>
      </w:r>
      <w:r w:rsidRPr="007F552F">
        <w:t xml:space="preserve"> на сто от уточнения </w:t>
      </w:r>
      <w:r w:rsidRPr="003C4E85">
        <w:t xml:space="preserve">годишен план. </w:t>
      </w:r>
    </w:p>
    <w:p w:rsidR="00411FD7" w:rsidRPr="003C4E85" w:rsidRDefault="00411FD7" w:rsidP="00411FD7">
      <w:pPr>
        <w:tabs>
          <w:tab w:val="left" w:pos="851"/>
        </w:tabs>
        <w:ind w:firstLine="567"/>
        <w:jc w:val="both"/>
      </w:pPr>
      <w:r w:rsidRPr="003C4E85">
        <w:t xml:space="preserve">Предоставените средства към 31.03.2022 г. за компенсиране на намалените приходи от прилагането на цени за пътуване, предвидени в нормативни актове за определени категории пътници /компенсации/, структурирани според вида ползван транспорт – </w:t>
      </w:r>
      <w:r w:rsidRPr="003C4E85">
        <w:rPr>
          <w:noProof/>
        </w:rPr>
        <w:t xml:space="preserve">вътрешноградски транспорт и междуселищен </w:t>
      </w:r>
      <w:r w:rsidRPr="003C4E85">
        <w:t>автомобилен транспорт или железопътен транспорт, съгласно ПМС № 31/2022 г., са както следва:</w:t>
      </w:r>
    </w:p>
    <w:p w:rsidR="00411FD7" w:rsidRPr="00FA68CE" w:rsidRDefault="00411FD7" w:rsidP="00411FD7">
      <w:pPr>
        <w:ind w:firstLine="567"/>
        <w:jc w:val="both"/>
      </w:pPr>
      <w:r w:rsidRPr="00FA68CE">
        <w:t xml:space="preserve">- компенсации за пътувания с железопътния транспорт в размер на 1,0 млн. лв.,  което е 7,5 на сто от утвърдения годишен план; </w:t>
      </w:r>
    </w:p>
    <w:p w:rsidR="00411FD7" w:rsidRPr="00FA68CE" w:rsidRDefault="00411FD7" w:rsidP="00411FD7">
      <w:pPr>
        <w:tabs>
          <w:tab w:val="left" w:pos="540"/>
          <w:tab w:val="left" w:pos="709"/>
        </w:tabs>
        <w:ind w:firstLine="567"/>
        <w:jc w:val="both"/>
        <w:rPr>
          <w:noProof/>
        </w:rPr>
      </w:pPr>
      <w:r w:rsidRPr="00FA68CE">
        <w:rPr>
          <w:noProof/>
        </w:rPr>
        <w:t xml:space="preserve">- компенсации за пътувания с вътрешноградски транспорт и междуселищния автомобилен транспорт в страната, предоставени чрез Системата за електронни бюджетни разплащания – 30,3 млн. лв., което е 26,7 на сто от </w:t>
      </w:r>
      <w:r w:rsidRPr="00FA68CE">
        <w:t>уточнения</w:t>
      </w:r>
      <w:r w:rsidRPr="00FA68CE">
        <w:rPr>
          <w:noProof/>
        </w:rPr>
        <w:t xml:space="preserve"> годишен план. </w:t>
      </w:r>
    </w:p>
    <w:p w:rsidR="00411FD7" w:rsidRPr="007B6259" w:rsidRDefault="00411FD7" w:rsidP="00411FD7">
      <w:pPr>
        <w:ind w:firstLine="567"/>
        <w:jc w:val="both"/>
        <w:rPr>
          <w:noProof/>
        </w:rPr>
      </w:pPr>
      <w:r w:rsidRPr="007B6259">
        <w:rPr>
          <w:noProof/>
        </w:rPr>
        <w:t xml:space="preserve">Предоставените средства за </w:t>
      </w:r>
      <w:r w:rsidRPr="007B6259">
        <w:t>компенсиране на намалените приходи от прилагането на цени за пътуване, предвидени в нормативни актове за определени категории пътници,</w:t>
      </w:r>
      <w:r w:rsidRPr="007B6259">
        <w:rPr>
          <w:noProof/>
        </w:rPr>
        <w:t xml:space="preserve"> по вътрешноградския транспорт и междуселищния автомобилен транспорт за първото тримесечие на 2022 г., диференцирани по групи правоимащи лица и размер на намалението спрямо редовната цена, са както следва:</w:t>
      </w:r>
    </w:p>
    <w:p w:rsidR="00411FD7" w:rsidRPr="007B6259" w:rsidRDefault="00411FD7" w:rsidP="00411FD7">
      <w:pPr>
        <w:pStyle w:val="BodyTextIndent"/>
        <w:spacing w:after="0"/>
        <w:ind w:left="0" w:firstLine="567"/>
        <w:jc w:val="both"/>
      </w:pPr>
      <w:r w:rsidRPr="007B6259">
        <w:t xml:space="preserve">- 14,5 млн. лв. за транспорт на деца и ученици, което е 27,7 на сто от утвърдения годишен план; </w:t>
      </w:r>
    </w:p>
    <w:p w:rsidR="00411FD7" w:rsidRPr="007B6259" w:rsidRDefault="00411FD7" w:rsidP="00411FD7">
      <w:pPr>
        <w:pStyle w:val="BodyTextIndent"/>
        <w:tabs>
          <w:tab w:val="left" w:pos="1026"/>
        </w:tabs>
        <w:spacing w:after="0"/>
        <w:ind w:left="0" w:firstLine="567"/>
        <w:jc w:val="both"/>
      </w:pPr>
      <w:r w:rsidRPr="007B6259">
        <w:t>- 15,8 млн. лв. за безплатни и по намалени цени пътувания по общини. Следва да се има предвид, че по пътя на изпълнението тези разходи се отчитат като текущи трансфери, обезщетения и помощи за домакинствата по бюджетите на общините. Изпълнението спрямо годишния план е 25,9 на сто, в това число:</w:t>
      </w:r>
    </w:p>
    <w:p w:rsidR="00411FD7" w:rsidRPr="007B6259" w:rsidRDefault="00411FD7" w:rsidP="00411FD7">
      <w:pPr>
        <w:numPr>
          <w:ilvl w:val="0"/>
          <w:numId w:val="19"/>
        </w:numPr>
        <w:tabs>
          <w:tab w:val="left" w:pos="993"/>
        </w:tabs>
        <w:ind w:hanging="275"/>
        <w:jc w:val="both"/>
      </w:pPr>
      <w:r w:rsidRPr="007B6259">
        <w:t xml:space="preserve">11,8 млн. лв. за безплатни пътувания на деца до седемгодишна възраст, ветерани от войните, военноинвалиди и </w:t>
      </w:r>
      <w:proofErr w:type="spellStart"/>
      <w:r w:rsidRPr="007B6259">
        <w:t>военнопострадали</w:t>
      </w:r>
      <w:proofErr w:type="spellEnd"/>
      <w:r w:rsidRPr="007B6259">
        <w:t xml:space="preserve">, както и пътувания по намалени цени на деца от 7 до 10 навършени години, учащи се и лица, получаващи пенсия, с вътрешноградския транспорт и междуселищния автомобилен транспорт, което е 26,7 на сто спрямо утвърдения годишен план; </w:t>
      </w:r>
    </w:p>
    <w:p w:rsidR="00411FD7" w:rsidRPr="007B6259" w:rsidRDefault="00411FD7" w:rsidP="00411FD7">
      <w:pPr>
        <w:numPr>
          <w:ilvl w:val="0"/>
          <w:numId w:val="19"/>
        </w:numPr>
        <w:tabs>
          <w:tab w:val="num" w:pos="360"/>
          <w:tab w:val="left" w:pos="993"/>
        </w:tabs>
        <w:ind w:hanging="275"/>
        <w:jc w:val="both"/>
      </w:pPr>
      <w:r w:rsidRPr="007B6259">
        <w:t>4,0 млн. лв. за превоз на служители, ползващи право на безплатно пътуване при изпълнение на служебните си задължения, което е 23,8 от годишния план.</w:t>
      </w:r>
    </w:p>
    <w:p w:rsidR="00333B5E" w:rsidRPr="00151757" w:rsidRDefault="00333B5E" w:rsidP="00333B5E">
      <w:pPr>
        <w:jc w:val="both"/>
        <w:rPr>
          <w:color w:val="548DD4" w:themeColor="text2" w:themeTint="99"/>
          <w:sz w:val="12"/>
          <w:szCs w:val="12"/>
        </w:rPr>
      </w:pPr>
    </w:p>
    <w:p w:rsidR="00347A59" w:rsidRPr="00411FD7" w:rsidRDefault="00347A59" w:rsidP="00347A59">
      <w:pPr>
        <w:numPr>
          <w:ilvl w:val="0"/>
          <w:numId w:val="7"/>
        </w:numPr>
        <w:spacing w:after="120"/>
        <w:ind w:left="0" w:firstLine="360"/>
        <w:jc w:val="both"/>
        <w:rPr>
          <w:b/>
        </w:rPr>
      </w:pPr>
      <w:r w:rsidRPr="00411FD7">
        <w:rPr>
          <w:b/>
        </w:rPr>
        <w:t xml:space="preserve">Разходи за лихви </w:t>
      </w:r>
    </w:p>
    <w:p w:rsidR="00FA4628" w:rsidRPr="00FA4628" w:rsidRDefault="00FA4628" w:rsidP="00FA4628">
      <w:pPr>
        <w:spacing w:after="120"/>
        <w:jc w:val="both"/>
        <w:rPr>
          <w:lang w:eastAsia="bg-BG"/>
        </w:rPr>
      </w:pPr>
      <w:r w:rsidRPr="00FA4628">
        <w:rPr>
          <w:b/>
          <w:lang w:eastAsia="bg-BG"/>
        </w:rPr>
        <w:t xml:space="preserve">Лихвените плащания </w:t>
      </w:r>
      <w:r w:rsidRPr="00FA4628">
        <w:rPr>
          <w:lang w:eastAsia="bg-BG"/>
        </w:rPr>
        <w:t xml:space="preserve">по държавния бюджет към </w:t>
      </w:r>
      <w:r w:rsidRPr="00FA4628">
        <w:rPr>
          <w:lang w:val="ru-RU" w:eastAsia="bg-BG"/>
        </w:rPr>
        <w:t>31.03.2022</w:t>
      </w:r>
      <w:r w:rsidRPr="00FA4628">
        <w:rPr>
          <w:lang w:eastAsia="bg-BG"/>
        </w:rPr>
        <w:t xml:space="preserve"> г. са в общ размер на </w:t>
      </w:r>
      <w:r w:rsidRPr="00FA4628">
        <w:rPr>
          <w:b/>
          <w:lang w:eastAsia="bg-BG"/>
        </w:rPr>
        <w:t>327,1 млн. лв</w:t>
      </w:r>
      <w:r w:rsidRPr="00FA4628">
        <w:rPr>
          <w:lang w:eastAsia="bg-BG"/>
        </w:rPr>
        <w:t>. или 51,9 % от предвидените в годишните разчети.</w:t>
      </w:r>
    </w:p>
    <w:p w:rsidR="00FA4628" w:rsidRPr="00FA4628" w:rsidRDefault="00FA4628" w:rsidP="00FA4628">
      <w:pPr>
        <w:spacing w:after="120"/>
        <w:jc w:val="both"/>
        <w:rPr>
          <w:color w:val="0070C0"/>
          <w:lang w:eastAsia="bg-BG"/>
        </w:rPr>
      </w:pPr>
      <w:r w:rsidRPr="00FA4628">
        <w:rPr>
          <w:lang w:eastAsia="bg-BG"/>
        </w:rPr>
        <w:t xml:space="preserve">Разходите за </w:t>
      </w:r>
      <w:r w:rsidRPr="00FA4628">
        <w:rPr>
          <w:b/>
          <w:lang w:eastAsia="bg-BG"/>
        </w:rPr>
        <w:t>лихви по външни заеми</w:t>
      </w:r>
      <w:r w:rsidRPr="00FA4628">
        <w:rPr>
          <w:lang w:eastAsia="bg-BG"/>
        </w:rPr>
        <w:t xml:space="preserve"> са в размер на </w:t>
      </w:r>
      <w:r w:rsidRPr="00FA4628">
        <w:rPr>
          <w:b/>
          <w:lang w:eastAsia="bg-BG"/>
        </w:rPr>
        <w:t xml:space="preserve">282,8 млн. лв., </w:t>
      </w:r>
      <w:r w:rsidRPr="00FA4628">
        <w:rPr>
          <w:lang w:eastAsia="bg-BG"/>
        </w:rPr>
        <w:t>в т.ч. 276,2 млн. лв. по централния бюджет. Разходите за лихви по ДИЗ, управлявани от министерства и ведомства са в размер на 6,7 млн. лв. По заемите с краен бенефициент търговско дружество няма извършени плащания.</w:t>
      </w:r>
    </w:p>
    <w:p w:rsidR="00FA4628" w:rsidRPr="00FA4628" w:rsidRDefault="00FA4628" w:rsidP="00FA4628">
      <w:pPr>
        <w:spacing w:after="120"/>
        <w:jc w:val="both"/>
        <w:rPr>
          <w:b/>
          <w:lang w:eastAsia="bg-BG"/>
        </w:rPr>
      </w:pPr>
      <w:r w:rsidRPr="00FA4628">
        <w:rPr>
          <w:lang w:eastAsia="bg-BG"/>
        </w:rPr>
        <w:t>През отчетния период не са използвани средства за покриване на риска от активиране на държавни гаранции.</w:t>
      </w:r>
      <w:r w:rsidRPr="00FA4628">
        <w:rPr>
          <w:b/>
          <w:lang w:eastAsia="bg-BG"/>
        </w:rPr>
        <w:t xml:space="preserve"> </w:t>
      </w:r>
    </w:p>
    <w:p w:rsidR="00FA4628" w:rsidRPr="00FA4628" w:rsidRDefault="00FA4628" w:rsidP="00FA4628">
      <w:pPr>
        <w:spacing w:after="60"/>
        <w:jc w:val="both"/>
        <w:rPr>
          <w:lang w:eastAsia="bg-BG"/>
        </w:rPr>
      </w:pPr>
      <w:r w:rsidRPr="00FA4628">
        <w:rPr>
          <w:b/>
          <w:lang w:eastAsia="bg-BG"/>
        </w:rPr>
        <w:t>Лихвите по вътрешни заеми</w:t>
      </w:r>
      <w:r w:rsidRPr="00FA4628">
        <w:rPr>
          <w:lang w:eastAsia="bg-BG"/>
        </w:rPr>
        <w:t xml:space="preserve"> по държавния бюджет </w:t>
      </w:r>
      <w:r w:rsidRPr="00FA4628">
        <w:rPr>
          <w:bCs/>
          <w:lang w:eastAsia="bg-BG"/>
        </w:rPr>
        <w:t>към март 2022</w:t>
      </w:r>
      <w:r w:rsidRPr="00FA4628">
        <w:rPr>
          <w:lang w:eastAsia="bg-BG"/>
        </w:rPr>
        <w:t xml:space="preserve"> г. са в размер на </w:t>
      </w:r>
      <w:r w:rsidRPr="00FA4628">
        <w:rPr>
          <w:b/>
          <w:lang w:eastAsia="bg-BG"/>
        </w:rPr>
        <w:t>44,3 млн. лв.</w:t>
      </w:r>
      <w:r w:rsidRPr="00FA4628">
        <w:rPr>
          <w:lang w:eastAsia="bg-BG"/>
        </w:rPr>
        <w:t xml:space="preserve"> и представляват основно лихви по емисии на ДЦК на вътрешния пазар. </w:t>
      </w:r>
    </w:p>
    <w:p w:rsidR="00FA4628" w:rsidRPr="00FA4628" w:rsidRDefault="00FA4628" w:rsidP="00FA4628">
      <w:pPr>
        <w:numPr>
          <w:ilvl w:val="0"/>
          <w:numId w:val="43"/>
        </w:numPr>
        <w:tabs>
          <w:tab w:val="left" w:pos="426"/>
        </w:tabs>
        <w:spacing w:before="120" w:after="60"/>
        <w:ind w:left="0" w:firstLine="0"/>
        <w:jc w:val="both"/>
        <w:rPr>
          <w:b/>
          <w:bCs/>
          <w:lang w:eastAsia="bg-BG"/>
        </w:rPr>
      </w:pPr>
      <w:r w:rsidRPr="00FA4628">
        <w:rPr>
          <w:b/>
          <w:bCs/>
          <w:lang w:eastAsia="bg-BG"/>
        </w:rPr>
        <w:t>Нетният размер на трансферите по държавния бюджет</w:t>
      </w:r>
      <w:r w:rsidRPr="00FA4628">
        <w:rPr>
          <w:bCs/>
          <w:lang w:eastAsia="bg-BG"/>
        </w:rPr>
        <w:t xml:space="preserve">  към март 2022</w:t>
      </w:r>
      <w:r w:rsidRPr="00FA4628">
        <w:rPr>
          <w:lang w:eastAsia="bg-BG"/>
        </w:rPr>
        <w:t xml:space="preserve"> г.</w:t>
      </w:r>
      <w:r w:rsidRPr="00FA4628">
        <w:rPr>
          <w:bCs/>
          <w:lang w:eastAsia="bg-BG"/>
        </w:rPr>
        <w:t xml:space="preserve"> е</w:t>
      </w:r>
      <w:r w:rsidRPr="00FA4628">
        <w:rPr>
          <w:b/>
          <w:bCs/>
          <w:lang w:eastAsia="bg-BG"/>
        </w:rPr>
        <w:t xml:space="preserve"> 4 291,0</w:t>
      </w:r>
      <w:r w:rsidRPr="00FA4628">
        <w:rPr>
          <w:rFonts w:eastAsia="Calibri"/>
          <w:b/>
        </w:rPr>
        <w:t> </w:t>
      </w:r>
      <w:r w:rsidRPr="00FA4628">
        <w:rPr>
          <w:b/>
          <w:bCs/>
          <w:lang w:eastAsia="bg-BG"/>
        </w:rPr>
        <w:t xml:space="preserve">млн. лв.,  </w:t>
      </w:r>
      <w:r w:rsidRPr="00FA4628">
        <w:rPr>
          <w:bCs/>
          <w:lang w:eastAsia="bg-BG"/>
        </w:rPr>
        <w:t>в т.ч.:</w:t>
      </w:r>
      <w:r w:rsidRPr="00FA4628">
        <w:rPr>
          <w:b/>
          <w:bCs/>
          <w:lang w:eastAsia="bg-BG"/>
        </w:rPr>
        <w:t xml:space="preserve"> </w:t>
      </w:r>
    </w:p>
    <w:p w:rsidR="00FA4628" w:rsidRPr="00FA4628" w:rsidRDefault="00FA4628" w:rsidP="00FA4628">
      <w:pPr>
        <w:numPr>
          <w:ilvl w:val="0"/>
          <w:numId w:val="21"/>
        </w:numPr>
        <w:tabs>
          <w:tab w:val="clear" w:pos="700"/>
          <w:tab w:val="left" w:pos="180"/>
          <w:tab w:val="num" w:pos="540"/>
          <w:tab w:val="num" w:pos="1495"/>
          <w:tab w:val="num" w:pos="9858"/>
        </w:tabs>
        <w:ind w:left="538" w:hanging="357"/>
        <w:jc w:val="both"/>
        <w:rPr>
          <w:lang w:eastAsia="bg-BG"/>
        </w:rPr>
      </w:pPr>
      <w:r w:rsidRPr="00FA4628">
        <w:rPr>
          <w:lang w:eastAsia="bg-BG"/>
        </w:rPr>
        <w:t>бюджетните  взаимоотношения  с  общините  включват  нето трансфери  и временни безлихвени заеми в  размер  на 1 581,8 млн. лв.,</w:t>
      </w:r>
      <w:r w:rsidRPr="00FA4628">
        <w:rPr>
          <w:lang w:val="ru-RU" w:eastAsia="bg-BG"/>
        </w:rPr>
        <w:t xml:space="preserve"> </w:t>
      </w:r>
      <w:r w:rsidRPr="00FA4628">
        <w:rPr>
          <w:lang w:eastAsia="bg-BG"/>
        </w:rPr>
        <w:t>от които субсидии от централния бюджет в размер на 1 443,0 млн. лв., други целеви трансфери от централния бюджет в размер на 20,6 млн. лв., нетни трансфери от/за други бюджети в размер на 126,2 млн. лв. и възстановени трансфери от предходни години в централния бюджет – 8,0 млн. лева;</w:t>
      </w:r>
    </w:p>
    <w:p w:rsidR="00FA4628" w:rsidRPr="00FA4628" w:rsidRDefault="00FA4628" w:rsidP="00FA4628">
      <w:pPr>
        <w:numPr>
          <w:ilvl w:val="0"/>
          <w:numId w:val="21"/>
        </w:numPr>
        <w:tabs>
          <w:tab w:val="clear" w:pos="700"/>
          <w:tab w:val="left" w:pos="180"/>
          <w:tab w:val="num" w:pos="540"/>
          <w:tab w:val="num" w:pos="1495"/>
          <w:tab w:val="num" w:pos="9858"/>
        </w:tabs>
        <w:ind w:left="538" w:hanging="357"/>
        <w:jc w:val="both"/>
        <w:rPr>
          <w:lang w:eastAsia="bg-BG"/>
        </w:rPr>
      </w:pPr>
      <w:r w:rsidRPr="00FA4628">
        <w:rPr>
          <w:lang w:eastAsia="bg-BG"/>
        </w:rPr>
        <w:t xml:space="preserve">на </w:t>
      </w:r>
      <w:proofErr w:type="spellStart"/>
      <w:r w:rsidRPr="00FA4628">
        <w:rPr>
          <w:lang w:eastAsia="bg-BG"/>
        </w:rPr>
        <w:t>социалноосигурителните</w:t>
      </w:r>
      <w:proofErr w:type="spellEnd"/>
      <w:r w:rsidRPr="00FA4628">
        <w:rPr>
          <w:lang w:eastAsia="bg-BG"/>
        </w:rPr>
        <w:t xml:space="preserve"> фондове (нето) – 2 203,9 млн. лв., което представлява 23,3 % от годишния разчет;</w:t>
      </w:r>
    </w:p>
    <w:p w:rsidR="00FA4628" w:rsidRPr="00FA4628" w:rsidRDefault="00FA4628" w:rsidP="00FA4628">
      <w:pPr>
        <w:numPr>
          <w:ilvl w:val="0"/>
          <w:numId w:val="21"/>
        </w:numPr>
        <w:tabs>
          <w:tab w:val="clear" w:pos="700"/>
          <w:tab w:val="left" w:pos="180"/>
          <w:tab w:val="num" w:pos="540"/>
          <w:tab w:val="num" w:pos="1495"/>
          <w:tab w:val="num" w:pos="9858"/>
        </w:tabs>
        <w:ind w:left="538" w:hanging="357"/>
        <w:jc w:val="both"/>
        <w:rPr>
          <w:lang w:eastAsia="bg-BG"/>
        </w:rPr>
      </w:pPr>
      <w:r w:rsidRPr="00FA4628">
        <w:rPr>
          <w:lang w:eastAsia="bg-BG"/>
        </w:rPr>
        <w:lastRenderedPageBreak/>
        <w:t>на други автономни бюджети (ДВУ, БАН, ССА, БНТ, БНР и БТА) – 213,9 млн. лв., 23,2 % от годишния разчет.</w:t>
      </w:r>
    </w:p>
    <w:p w:rsidR="00FA4628" w:rsidRPr="00FA4628" w:rsidRDefault="00FA4628" w:rsidP="00FA4628">
      <w:pPr>
        <w:numPr>
          <w:ilvl w:val="0"/>
          <w:numId w:val="6"/>
        </w:numPr>
        <w:tabs>
          <w:tab w:val="clear" w:pos="7650"/>
          <w:tab w:val="left" w:pos="426"/>
          <w:tab w:val="num" w:pos="786"/>
        </w:tabs>
        <w:spacing w:before="120"/>
        <w:ind w:left="0" w:firstLine="0"/>
        <w:jc w:val="both"/>
        <w:rPr>
          <w:bCs/>
          <w:lang w:eastAsia="bg-BG"/>
        </w:rPr>
      </w:pPr>
      <w:r w:rsidRPr="00FA4628">
        <w:rPr>
          <w:lang w:eastAsia="bg-BG"/>
        </w:rPr>
        <w:t>Частта от</w:t>
      </w:r>
      <w:r w:rsidRPr="00FA4628">
        <w:rPr>
          <w:b/>
          <w:lang w:eastAsia="bg-BG"/>
        </w:rPr>
        <w:t xml:space="preserve"> вноската на Република България в общия бюджет на ЕС, </w:t>
      </w:r>
      <w:r w:rsidRPr="00FA4628">
        <w:rPr>
          <w:lang w:eastAsia="bg-BG"/>
        </w:rPr>
        <w:t>изплатена към 31.03.2022 г. от централния бюджет, възлиза на</w:t>
      </w:r>
      <w:r w:rsidRPr="00FA4628">
        <w:rPr>
          <w:b/>
          <w:lang w:eastAsia="bg-BG"/>
        </w:rPr>
        <w:t xml:space="preserve"> 401,8 млн. лева.</w:t>
      </w:r>
      <w:r w:rsidRPr="00FA4628">
        <w:rPr>
          <w:lang w:eastAsia="bg-BG"/>
        </w:rPr>
        <w:t xml:space="preserve"> </w:t>
      </w:r>
    </w:p>
    <w:p w:rsidR="00FA4628" w:rsidRPr="00FA4628" w:rsidRDefault="00FA4628" w:rsidP="00FA4628">
      <w:pPr>
        <w:numPr>
          <w:ilvl w:val="0"/>
          <w:numId w:val="6"/>
        </w:numPr>
        <w:tabs>
          <w:tab w:val="clear" w:pos="7650"/>
          <w:tab w:val="num" w:pos="426"/>
          <w:tab w:val="num" w:pos="786"/>
        </w:tabs>
        <w:spacing w:before="240" w:after="240"/>
        <w:ind w:left="0" w:firstLine="0"/>
        <w:jc w:val="both"/>
        <w:rPr>
          <w:sz w:val="16"/>
          <w:szCs w:val="16"/>
          <w:lang w:eastAsia="bg-BG"/>
        </w:rPr>
      </w:pPr>
      <w:r w:rsidRPr="00FA4628">
        <w:rPr>
          <w:b/>
          <w:lang w:eastAsia="bg-BG"/>
        </w:rPr>
        <w:t>Бюджетното салдо по държавния бюджет</w:t>
      </w:r>
      <w:r w:rsidRPr="00FA4628">
        <w:rPr>
          <w:lang w:eastAsia="bg-BG"/>
        </w:rPr>
        <w:t xml:space="preserve"> към </w:t>
      </w:r>
      <w:r w:rsidRPr="00FA4628">
        <w:rPr>
          <w:lang w:val="ru-RU" w:eastAsia="bg-BG"/>
        </w:rPr>
        <w:t>31.03.2022</w:t>
      </w:r>
      <w:r w:rsidRPr="00FA4628">
        <w:rPr>
          <w:lang w:eastAsia="bg-BG"/>
        </w:rPr>
        <w:t xml:space="preserve"> г. </w:t>
      </w:r>
      <w:r w:rsidRPr="00FA4628">
        <w:rPr>
          <w:b/>
          <w:lang w:eastAsia="bg-BG"/>
        </w:rPr>
        <w:t>е отрицателно</w:t>
      </w:r>
      <w:r w:rsidRPr="00FA4628">
        <w:rPr>
          <w:lang w:eastAsia="bg-BG"/>
        </w:rPr>
        <w:t xml:space="preserve"> в размер на </w:t>
      </w:r>
      <w:r w:rsidRPr="00FA4628">
        <w:rPr>
          <w:b/>
          <w:lang w:eastAsia="bg-BG"/>
        </w:rPr>
        <w:t>610,5 млн. лева</w:t>
      </w:r>
      <w:r w:rsidRPr="00FA4628">
        <w:rPr>
          <w:lang w:eastAsia="bg-BG"/>
        </w:rPr>
        <w:t xml:space="preserve">. </w:t>
      </w:r>
    </w:p>
    <w:p w:rsidR="00DA123A" w:rsidRPr="000E2869" w:rsidRDefault="00DA123A" w:rsidP="00B53EDF">
      <w:pPr>
        <w:numPr>
          <w:ilvl w:val="0"/>
          <w:numId w:val="6"/>
        </w:numPr>
        <w:tabs>
          <w:tab w:val="num" w:pos="426"/>
        </w:tabs>
        <w:spacing w:before="240" w:after="120"/>
        <w:ind w:left="0" w:firstLine="0"/>
        <w:jc w:val="both"/>
        <w:rPr>
          <w:b/>
        </w:rPr>
      </w:pPr>
      <w:r w:rsidRPr="000E2869">
        <w:rPr>
          <w:b/>
        </w:rPr>
        <w:t>Финансиране на бюджета чрез операции по дълга</w:t>
      </w:r>
    </w:p>
    <w:p w:rsidR="009C5806" w:rsidRDefault="009C5806" w:rsidP="009C5806">
      <w:pPr>
        <w:spacing w:after="120"/>
        <w:jc w:val="both"/>
      </w:pPr>
      <w:r w:rsidRPr="00394500">
        <w:t>Към 31.03.2022 г. по централния бюджет няма усвоени средства по заеми от чужбина.</w:t>
      </w:r>
    </w:p>
    <w:p w:rsidR="009C5806" w:rsidRPr="00AC539F" w:rsidRDefault="00AC539F" w:rsidP="009C5806">
      <w:pPr>
        <w:jc w:val="both"/>
      </w:pPr>
      <w:r w:rsidRPr="00AC539F">
        <w:rPr>
          <w:b/>
        </w:rPr>
        <w:t xml:space="preserve">Извършените погашения от централен бюджет възлизат на 2 416,6 млн. лв., </w:t>
      </w:r>
      <w:r w:rsidRPr="00AC539F">
        <w:t>като същите са изплатени на 28 март в полза на държателите на седемгодишни еврооблигации на Република България, които са част от емитираните през март 2015 г. на международните капиталови пазари три транша облигации по средносрочната програма за емитиране на дълг на външните пазари</w:t>
      </w:r>
      <w:r w:rsidR="009C5806" w:rsidRPr="00AC539F">
        <w:t>.</w:t>
      </w:r>
    </w:p>
    <w:p w:rsidR="009C5806" w:rsidRPr="00394500" w:rsidRDefault="009C5806" w:rsidP="009C5806">
      <w:pPr>
        <w:spacing w:before="120" w:after="120"/>
        <w:jc w:val="both"/>
      </w:pPr>
      <w:r w:rsidRPr="00394500">
        <w:t xml:space="preserve">По </w:t>
      </w:r>
      <w:r w:rsidRPr="00394500">
        <w:rPr>
          <w:b/>
        </w:rPr>
        <w:t>държавните инвестиционни заеми</w:t>
      </w:r>
      <w:r w:rsidRPr="00394500">
        <w:t xml:space="preserve">, управлявани от министерства и ведомства, през отчетния период няма </w:t>
      </w:r>
      <w:r w:rsidRPr="00394500">
        <w:rPr>
          <w:b/>
          <w:i/>
        </w:rPr>
        <w:t>усвоени</w:t>
      </w:r>
      <w:r w:rsidRPr="00394500">
        <w:t xml:space="preserve"> средства. </w:t>
      </w:r>
    </w:p>
    <w:p w:rsidR="009C5806" w:rsidRPr="00410F08" w:rsidRDefault="009C5806" w:rsidP="009C5806">
      <w:pPr>
        <w:spacing w:after="120"/>
        <w:jc w:val="both"/>
      </w:pPr>
      <w:r w:rsidRPr="00410F08">
        <w:rPr>
          <w:b/>
          <w:i/>
        </w:rPr>
        <w:t>Изплатените погашения</w:t>
      </w:r>
      <w:r w:rsidRPr="00410F08">
        <w:t xml:space="preserve"> по ДИЗ, управлявани от министерства и ведомства, са в размер на </w:t>
      </w:r>
      <w:r w:rsidRPr="00410F08">
        <w:rPr>
          <w:lang w:val="ru-RU"/>
        </w:rPr>
        <w:t>15,6</w:t>
      </w:r>
      <w:r w:rsidRPr="00410F08">
        <w:t xml:space="preserve"> млн. лв. По заемите с краен бенефициент търговско дружество извършените погашения са в размер на 0,3 млн. лева. </w:t>
      </w:r>
    </w:p>
    <w:p w:rsidR="009C5806" w:rsidRPr="00410F08" w:rsidRDefault="009C5806" w:rsidP="009C5806">
      <w:pPr>
        <w:spacing w:after="120"/>
        <w:jc w:val="both"/>
      </w:pPr>
      <w:r w:rsidRPr="00410F08">
        <w:t>Не са използвани средства, предвидени за покриване на риска от активиране на държавни гаранции.</w:t>
      </w:r>
    </w:p>
    <w:p w:rsidR="009C5806" w:rsidRPr="008F63CB" w:rsidRDefault="009C5806" w:rsidP="009C5806">
      <w:pPr>
        <w:spacing w:after="60"/>
        <w:jc w:val="both"/>
        <w:rPr>
          <w:color w:val="0070C0"/>
        </w:rPr>
      </w:pPr>
      <w:r w:rsidRPr="00374A5B">
        <w:t xml:space="preserve">Операции с </w:t>
      </w:r>
      <w:r w:rsidRPr="00374A5B">
        <w:rPr>
          <w:b/>
        </w:rPr>
        <w:t xml:space="preserve">държавни ценни книжа </w:t>
      </w:r>
      <w:r w:rsidRPr="00374A5B">
        <w:t xml:space="preserve">по централния бюджет </w:t>
      </w:r>
      <w:r w:rsidRPr="00374A5B">
        <w:rPr>
          <w:b/>
        </w:rPr>
        <w:t>(позиция във вътрешното финансиране):</w:t>
      </w:r>
      <w:r w:rsidRPr="00374A5B">
        <w:t xml:space="preserve"> </w:t>
      </w:r>
      <w:r w:rsidRPr="009D3057">
        <w:t xml:space="preserve">В края на март 2022 г. е отчетено положително нетно вътрешно </w:t>
      </w:r>
      <w:r>
        <w:t xml:space="preserve">финансиране на бюджета </w:t>
      </w:r>
      <w:r w:rsidRPr="009D3057">
        <w:t xml:space="preserve">с ДЦК в размер на 954,8 млн. лв. Общият размер на постъпленията от емисии на ДЦК е 954,8 млн. лв. или са емитирани 1 000,0 млн. лв. ДЦК на обща номинална стойност, както следва: на 14 март – Министерство на финансите (МФ) </w:t>
      </w:r>
      <w:proofErr w:type="spellStart"/>
      <w:r w:rsidRPr="009D3057">
        <w:t>преотвори</w:t>
      </w:r>
      <w:proofErr w:type="spellEnd"/>
      <w:r w:rsidRPr="009D3057">
        <w:t xml:space="preserve"> емисия три години и 6 месеца ДЦК, деноминирана в лева, с обем 500 млн. лв. номинална стойност при постигната </w:t>
      </w:r>
      <w:proofErr w:type="spellStart"/>
      <w:r w:rsidRPr="009D3057">
        <w:t>среднопретеглена</w:t>
      </w:r>
      <w:proofErr w:type="spellEnd"/>
      <w:r w:rsidRPr="009D3057">
        <w:t xml:space="preserve"> годишна доходност в размер на 0,55 % и на 21 март – МФ </w:t>
      </w:r>
      <w:proofErr w:type="spellStart"/>
      <w:r w:rsidRPr="009D3057">
        <w:t>преотвори</w:t>
      </w:r>
      <w:proofErr w:type="spellEnd"/>
      <w:r w:rsidRPr="009D3057">
        <w:t xml:space="preserve"> облигации с </w:t>
      </w:r>
      <w:proofErr w:type="spellStart"/>
      <w:r w:rsidRPr="009D3057">
        <w:t>матуритет</w:t>
      </w:r>
      <w:proofErr w:type="spellEnd"/>
      <w:r w:rsidRPr="009D3057">
        <w:t xml:space="preserve"> седем години и 6 месеца с номинална стойност 500 млн. лв. при постигната </w:t>
      </w:r>
      <w:proofErr w:type="spellStart"/>
      <w:r w:rsidRPr="009D3057">
        <w:t>среднопретеглена</w:t>
      </w:r>
      <w:proofErr w:type="spellEnd"/>
      <w:r w:rsidRPr="009D3057">
        <w:t xml:space="preserve"> годишна доходност в размер на 1,33 %; </w:t>
      </w:r>
    </w:p>
    <w:p w:rsidR="009C5806" w:rsidRDefault="009C5806" w:rsidP="009C5806">
      <w:pPr>
        <w:spacing w:after="60"/>
        <w:jc w:val="both"/>
      </w:pPr>
      <w:r w:rsidRPr="006A5E6D">
        <w:t>През март няма извършени погашения по вътрешния дълг.</w:t>
      </w:r>
    </w:p>
    <w:p w:rsidR="0004753C" w:rsidRPr="002763DB" w:rsidRDefault="0004753C" w:rsidP="00C2409D">
      <w:pPr>
        <w:pStyle w:val="Heading1"/>
        <w:numPr>
          <w:ilvl w:val="1"/>
          <w:numId w:val="10"/>
        </w:numPr>
        <w:spacing w:before="240" w:after="120"/>
        <w:ind w:right="-108" w:hanging="357"/>
        <w:jc w:val="both"/>
        <w:rPr>
          <w:sz w:val="24"/>
        </w:rPr>
      </w:pPr>
      <w:r w:rsidRPr="002763DB">
        <w:rPr>
          <w:sz w:val="24"/>
        </w:rPr>
        <w:t>Бюджет на съдебната власт</w:t>
      </w:r>
    </w:p>
    <w:p w:rsidR="002763DB" w:rsidRPr="0030328D" w:rsidRDefault="002763DB" w:rsidP="002763DB">
      <w:pPr>
        <w:ind w:firstLine="567"/>
        <w:jc w:val="both"/>
      </w:pPr>
      <w:r w:rsidRPr="001F6CBC">
        <w:t>Със ЗДБРБ за 202</w:t>
      </w:r>
      <w:r w:rsidRPr="00411FD7">
        <w:t>2</w:t>
      </w:r>
      <w:r w:rsidRPr="001F6CBC">
        <w:t xml:space="preserve"> г. са предвидени общо </w:t>
      </w:r>
      <w:r w:rsidRPr="001F6CBC">
        <w:rPr>
          <w:b/>
        </w:rPr>
        <w:t>приходи</w:t>
      </w:r>
      <w:r w:rsidRPr="001F6CBC">
        <w:t xml:space="preserve"> по бюджета на съдебната власт в размер на </w:t>
      </w:r>
      <w:r w:rsidRPr="00411FD7">
        <w:t>95</w:t>
      </w:r>
      <w:r w:rsidRPr="001F6CBC">
        <w:t xml:space="preserve">,0 млн. лв., от тях </w:t>
      </w:r>
      <w:r w:rsidRPr="00411FD7">
        <w:t>80</w:t>
      </w:r>
      <w:r w:rsidRPr="001F6CBC">
        <w:t>,0 млн. лв. са приходи от съдебни такси. За първото тримесечие на 202</w:t>
      </w:r>
      <w:r w:rsidRPr="00411FD7">
        <w:t>2</w:t>
      </w:r>
      <w:r w:rsidRPr="001F6CBC">
        <w:t xml:space="preserve"> г. са отчетени приходи в размер на 2</w:t>
      </w:r>
      <w:r w:rsidRPr="00411FD7">
        <w:t>5</w:t>
      </w:r>
      <w:r w:rsidRPr="001F6CBC">
        <w:t>,1 млн. лв. (2</w:t>
      </w:r>
      <w:r w:rsidRPr="00411FD7">
        <w:t>6</w:t>
      </w:r>
      <w:r w:rsidRPr="001F6CBC">
        <w:t>,</w:t>
      </w:r>
      <w:r w:rsidRPr="00411FD7">
        <w:t>4</w:t>
      </w:r>
      <w:r w:rsidRPr="001F6CBC">
        <w:t xml:space="preserve"> % от планираните), от които </w:t>
      </w:r>
      <w:r w:rsidRPr="00411FD7">
        <w:t>21</w:t>
      </w:r>
      <w:r w:rsidRPr="001F6CBC">
        <w:t>,</w:t>
      </w:r>
      <w:r w:rsidRPr="00411FD7">
        <w:t>1</w:t>
      </w:r>
      <w:r w:rsidRPr="001F6CBC">
        <w:t xml:space="preserve"> млн. лв. - приходи от съдебни такси. За сравнение, към 31.03.202</w:t>
      </w:r>
      <w:r w:rsidRPr="00411FD7">
        <w:t>1</w:t>
      </w:r>
      <w:r w:rsidRPr="001F6CBC">
        <w:t xml:space="preserve"> г. са отчетени общо приходи в размер на 2</w:t>
      </w:r>
      <w:r w:rsidRPr="00411FD7">
        <w:t>3</w:t>
      </w:r>
      <w:r w:rsidRPr="001F6CBC">
        <w:t>,</w:t>
      </w:r>
      <w:r w:rsidRPr="00411FD7">
        <w:t>1</w:t>
      </w:r>
      <w:r w:rsidRPr="001F6CBC">
        <w:t xml:space="preserve"> млн. лв. (2</w:t>
      </w:r>
      <w:r w:rsidRPr="00411FD7">
        <w:t>1</w:t>
      </w:r>
      <w:r w:rsidRPr="001F6CBC">
        <w:t>,</w:t>
      </w:r>
      <w:r w:rsidRPr="00411FD7">
        <w:t>2</w:t>
      </w:r>
      <w:r w:rsidRPr="001F6CBC">
        <w:t xml:space="preserve"> % от закона), от </w:t>
      </w:r>
      <w:r w:rsidRPr="0030328D">
        <w:t>които 19,</w:t>
      </w:r>
      <w:r w:rsidRPr="00411FD7">
        <w:t>6</w:t>
      </w:r>
      <w:r w:rsidRPr="0030328D">
        <w:t xml:space="preserve"> млн. лв. - приходи от съдебни такси.</w:t>
      </w:r>
    </w:p>
    <w:p w:rsidR="002763DB" w:rsidRPr="0030328D" w:rsidRDefault="002763DB" w:rsidP="00460676">
      <w:pPr>
        <w:spacing w:before="120"/>
        <w:ind w:firstLine="567"/>
        <w:jc w:val="both"/>
      </w:pPr>
      <w:r w:rsidRPr="0030328D">
        <w:rPr>
          <w:b/>
        </w:rPr>
        <w:t xml:space="preserve">Разходите </w:t>
      </w:r>
      <w:r w:rsidRPr="0030328D">
        <w:t>по бюджета на съдебната власт</w:t>
      </w:r>
      <w:r w:rsidRPr="0030328D">
        <w:rPr>
          <w:b/>
        </w:rPr>
        <w:t xml:space="preserve"> </w:t>
      </w:r>
      <w:r w:rsidRPr="0030328D">
        <w:t>към 31.03.202</w:t>
      </w:r>
      <w:r w:rsidRPr="00411FD7">
        <w:t>2</w:t>
      </w:r>
      <w:r w:rsidRPr="0030328D">
        <w:t xml:space="preserve"> г.</w:t>
      </w:r>
      <w:r w:rsidRPr="0030328D">
        <w:rPr>
          <w:b/>
        </w:rPr>
        <w:t xml:space="preserve"> </w:t>
      </w:r>
      <w:r w:rsidRPr="0030328D">
        <w:t xml:space="preserve">са в размер на </w:t>
      </w:r>
      <w:r w:rsidRPr="00411FD7">
        <w:t>182</w:t>
      </w:r>
      <w:r w:rsidRPr="0030328D">
        <w:t>,</w:t>
      </w:r>
      <w:r w:rsidRPr="00411FD7">
        <w:t>3</w:t>
      </w:r>
      <w:r w:rsidRPr="0030328D">
        <w:t xml:space="preserve"> млн. лв. или </w:t>
      </w:r>
      <w:r w:rsidRPr="00411FD7">
        <w:t>19</w:t>
      </w:r>
      <w:r w:rsidRPr="0030328D">
        <w:t>,</w:t>
      </w:r>
      <w:r w:rsidRPr="00411FD7">
        <w:t>4</w:t>
      </w:r>
      <w:r w:rsidRPr="0030328D">
        <w:t> % от планираните за годината (</w:t>
      </w:r>
      <w:r w:rsidRPr="00411FD7">
        <w:t>938</w:t>
      </w:r>
      <w:r w:rsidRPr="0030328D">
        <w:t>,</w:t>
      </w:r>
      <w:r w:rsidRPr="00411FD7">
        <w:t>7</w:t>
      </w:r>
      <w:r w:rsidRPr="0030328D">
        <w:t xml:space="preserve"> млн. лв.). За сравнение, през същия период на 202</w:t>
      </w:r>
      <w:r w:rsidRPr="00411FD7">
        <w:t>1</w:t>
      </w:r>
      <w:r w:rsidRPr="0030328D">
        <w:t xml:space="preserve"> г. са отчетени разходи в размер 2</w:t>
      </w:r>
      <w:r w:rsidRPr="00411FD7">
        <w:t>17</w:t>
      </w:r>
      <w:r w:rsidRPr="0030328D">
        <w:t>,</w:t>
      </w:r>
      <w:r w:rsidRPr="00411FD7">
        <w:t>0</w:t>
      </w:r>
      <w:r w:rsidRPr="0030328D">
        <w:t xml:space="preserve"> млн. лв., които представляват 2</w:t>
      </w:r>
      <w:r w:rsidRPr="00411FD7">
        <w:t>4</w:t>
      </w:r>
      <w:r w:rsidRPr="0030328D">
        <w:t>,</w:t>
      </w:r>
      <w:r w:rsidRPr="00411FD7">
        <w:t>7</w:t>
      </w:r>
      <w:r w:rsidRPr="0030328D">
        <w:t xml:space="preserve"> % от определените с годишния закон </w:t>
      </w:r>
      <w:r w:rsidRPr="00411FD7">
        <w:t>880</w:t>
      </w:r>
      <w:r w:rsidRPr="0030328D">
        <w:t>,3 млн. лева. За първото тримесечие на 202</w:t>
      </w:r>
      <w:r w:rsidRPr="00411FD7">
        <w:t>2</w:t>
      </w:r>
      <w:r w:rsidRPr="0030328D">
        <w:t xml:space="preserve"> г. с най-голям относителен дял от отчетените разходи са тези за персонал – 9</w:t>
      </w:r>
      <w:r w:rsidRPr="00411FD7">
        <w:t>0</w:t>
      </w:r>
      <w:r w:rsidRPr="0030328D">
        <w:t>,</w:t>
      </w:r>
      <w:r w:rsidRPr="00411FD7">
        <w:t>5</w:t>
      </w:r>
      <w:r w:rsidRPr="0030328D">
        <w:t xml:space="preserve"> % (</w:t>
      </w:r>
      <w:r w:rsidRPr="00411FD7">
        <w:t>165</w:t>
      </w:r>
      <w:r w:rsidRPr="0030328D">
        <w:t>,</w:t>
      </w:r>
      <w:r w:rsidRPr="00411FD7">
        <w:t>0</w:t>
      </w:r>
      <w:r w:rsidRPr="0030328D">
        <w:t xml:space="preserve"> млн. лв.).</w:t>
      </w:r>
    </w:p>
    <w:p w:rsidR="00F521AA" w:rsidRPr="00151757" w:rsidRDefault="00F521AA" w:rsidP="00F521AA">
      <w:pPr>
        <w:pStyle w:val="Heading1"/>
        <w:numPr>
          <w:ilvl w:val="0"/>
          <w:numId w:val="10"/>
        </w:numPr>
        <w:spacing w:before="240" w:after="120"/>
        <w:ind w:left="748" w:right="-108" w:hanging="391"/>
        <w:jc w:val="both"/>
        <w:rPr>
          <w:sz w:val="24"/>
        </w:rPr>
      </w:pPr>
      <w:r w:rsidRPr="00151757">
        <w:rPr>
          <w:sz w:val="24"/>
        </w:rPr>
        <w:t xml:space="preserve">Сметки за средства от ЕС на Разплащателната агенция към ДФ „Земеделие“ и на Националния фонд към Министерството на финансите </w:t>
      </w:r>
    </w:p>
    <w:p w:rsidR="00F521AA" w:rsidRDefault="00F521AA" w:rsidP="00F521AA">
      <w:pPr>
        <w:pStyle w:val="Heading1"/>
        <w:numPr>
          <w:ilvl w:val="1"/>
          <w:numId w:val="10"/>
        </w:numPr>
        <w:spacing w:after="120"/>
        <w:ind w:left="788" w:right="-108" w:hanging="431"/>
        <w:jc w:val="both"/>
        <w:rPr>
          <w:sz w:val="24"/>
        </w:rPr>
      </w:pPr>
      <w:r w:rsidRPr="00151757">
        <w:rPr>
          <w:sz w:val="24"/>
        </w:rPr>
        <w:t xml:space="preserve"> Сметка за Европейски средства на Разплащателна агенция към Държавен фонд „Земеделие” </w:t>
      </w:r>
    </w:p>
    <w:p w:rsidR="00FF1643" w:rsidRPr="00FF1643" w:rsidRDefault="00FF1643" w:rsidP="00FF1643"/>
    <w:p w:rsidR="00063CF1" w:rsidRPr="00151757" w:rsidRDefault="00063CF1" w:rsidP="00D6063B">
      <w:pPr>
        <w:numPr>
          <w:ilvl w:val="0"/>
          <w:numId w:val="23"/>
        </w:numPr>
        <w:tabs>
          <w:tab w:val="num" w:pos="540"/>
        </w:tabs>
        <w:spacing w:before="120" w:after="120" w:line="276" w:lineRule="auto"/>
        <w:contextualSpacing/>
        <w:jc w:val="both"/>
        <w:rPr>
          <w:b/>
          <w:lang w:eastAsia="bg-BG"/>
        </w:rPr>
      </w:pPr>
      <w:r w:rsidRPr="00151757">
        <w:rPr>
          <w:b/>
          <w:lang w:eastAsia="bg-BG"/>
        </w:rPr>
        <w:lastRenderedPageBreak/>
        <w:t>Приходи</w:t>
      </w:r>
    </w:p>
    <w:p w:rsidR="0018452B" w:rsidRPr="00151757" w:rsidRDefault="0018452B" w:rsidP="0018452B">
      <w:pPr>
        <w:ind w:firstLine="567"/>
        <w:jc w:val="both"/>
      </w:pPr>
      <w:r w:rsidRPr="00151757">
        <w:t xml:space="preserve">За 2022 г. планираните приходи по утвърдените годишни разчети на сметката за средства от Европейския съюз на Разплащателната агенция към ДФ „Земеделие” са в размер на 755,8 млн. лева. Към 31.03.2022 г. постъпленията са в размер на 79,2 млн. лв., което представлява 10,5 % от годишния план, при 18,7 % изпълнение на годишния план за същия период на предходната година. </w:t>
      </w:r>
      <w:r w:rsidRPr="00151757">
        <w:rPr>
          <w:rFonts w:eastAsiaTheme="minorHAnsi"/>
        </w:rPr>
        <w:t>Приходната част е формирана от помощи и дарения от чужбина, приходи от наказателни лихви и коректив на касови постъпления, разпределени както следва:</w:t>
      </w:r>
    </w:p>
    <w:p w:rsidR="0018452B" w:rsidRPr="00151757" w:rsidRDefault="0018452B" w:rsidP="0018452B">
      <w:pPr>
        <w:numPr>
          <w:ilvl w:val="0"/>
          <w:numId w:val="22"/>
        </w:numPr>
        <w:tabs>
          <w:tab w:val="left" w:pos="993"/>
        </w:tabs>
        <w:spacing w:before="120" w:after="120" w:line="276" w:lineRule="auto"/>
        <w:ind w:left="1321" w:firstLine="567"/>
        <w:jc w:val="both"/>
        <w:rPr>
          <w:b/>
          <w:i/>
        </w:rPr>
      </w:pPr>
      <w:r w:rsidRPr="00151757">
        <w:rPr>
          <w:b/>
          <w:i/>
        </w:rPr>
        <w:t>Текущи помощи и дарения от Европейския съюз</w:t>
      </w:r>
    </w:p>
    <w:p w:rsidR="0018452B" w:rsidRPr="007F1230" w:rsidRDefault="0018452B" w:rsidP="0018452B">
      <w:pPr>
        <w:ind w:firstLine="567"/>
        <w:jc w:val="both"/>
      </w:pPr>
      <w:r w:rsidRPr="007F1230">
        <w:t>Общият размер на получените приходи, отчетени в „Текущи помощи и дарения от Европейския съюз“ към края на март 2022 г. е 10,4 млн. лв. при планирани за годината средства в размер на 162,6 млн. лева.</w:t>
      </w:r>
    </w:p>
    <w:p w:rsidR="0018452B" w:rsidRPr="006E69D4" w:rsidRDefault="0018452B" w:rsidP="0018452B">
      <w:pPr>
        <w:ind w:firstLine="567"/>
        <w:jc w:val="both"/>
        <w:rPr>
          <w:color w:val="000000" w:themeColor="text1"/>
        </w:rPr>
      </w:pPr>
      <w:r w:rsidRPr="007F1230">
        <w:t xml:space="preserve">Получените текущи приходи от възстановяване на средства от Европейски земеделски фонд за развитие на селските райони (ЕЗФРСР) по линия на Програмата за развитие на селските райони (ПРСР), без директни плащания, към 31.03.2022 г. възлизат на 6,5 млн. лв., което е 4,3 </w:t>
      </w:r>
      <w:r w:rsidRPr="006E69D4">
        <w:rPr>
          <w:color w:val="000000" w:themeColor="text1"/>
        </w:rPr>
        <w:t>% от планираните за годината 151,8 млн. лева. За сравнение, изпълнението на плана за първите три месеца на 2021 г. е 8,8 процента.</w:t>
      </w:r>
    </w:p>
    <w:p w:rsidR="0018452B" w:rsidRPr="006E69D4" w:rsidRDefault="0018452B" w:rsidP="0018452B">
      <w:pPr>
        <w:ind w:firstLine="567"/>
        <w:jc w:val="both"/>
        <w:rPr>
          <w:color w:val="000000" w:themeColor="text1"/>
        </w:rPr>
      </w:pPr>
      <w:r w:rsidRPr="006E69D4">
        <w:rPr>
          <w:color w:val="000000" w:themeColor="text1"/>
        </w:rPr>
        <w:t xml:space="preserve">Получените текущи приходи от възстановяване на средства по линия на схемите „Училищен плод“ и „Училищно мляко“ от Европейски фонд за гарантиране на земеделието (EФГЗ) към 31.03.2022 г. са 1,0 млн. лв., което представлява 13,2 % от планираните за годината 7,6 млн. лева. За сравнение, за същия период на предходната година възстановените суми по това направление са 3,3 % от годишния план. </w:t>
      </w:r>
    </w:p>
    <w:p w:rsidR="0018452B" w:rsidRPr="006E69D4" w:rsidRDefault="0018452B" w:rsidP="0018452B">
      <w:pPr>
        <w:ind w:firstLine="567"/>
        <w:jc w:val="both"/>
        <w:rPr>
          <w:color w:val="000000" w:themeColor="text1"/>
        </w:rPr>
      </w:pPr>
      <w:r w:rsidRPr="006E69D4">
        <w:rPr>
          <w:color w:val="000000" w:themeColor="text1"/>
        </w:rPr>
        <w:t xml:space="preserve">През първото тримесечие на 2022 г. са получени 2,9 млн. лв. текущи приходи от възстановяване от Европейския фонд за морско дело и рибарство (ЕФМДР), което представлява 90,6 % от планираните за годината 3,2 млн. лева. За същия период на предходната година изпълнението е било 68,9 %. </w:t>
      </w:r>
    </w:p>
    <w:p w:rsidR="0018452B" w:rsidRPr="00C27A03"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C27A03">
        <w:rPr>
          <w:b/>
          <w:i/>
          <w:color w:val="000000" w:themeColor="text1"/>
        </w:rPr>
        <w:t>Капиталови помощи и дарения от Европейския съюз</w:t>
      </w:r>
    </w:p>
    <w:p w:rsidR="0018452B" w:rsidRPr="00C27A03" w:rsidRDefault="0018452B" w:rsidP="0018452B">
      <w:pPr>
        <w:ind w:firstLine="567"/>
        <w:jc w:val="both"/>
        <w:rPr>
          <w:color w:val="000000" w:themeColor="text1"/>
        </w:rPr>
      </w:pPr>
      <w:r w:rsidRPr="00C27A03">
        <w:rPr>
          <w:color w:val="000000" w:themeColor="text1"/>
        </w:rPr>
        <w:t>Общият размер на получените приходи, отчетени в „Капиталови помощи и дарения от Европейския съюз“ към 31.03.2022 г. е 70,5 млн. лв. при планирани за годината 593,2 млн. лева.</w:t>
      </w:r>
    </w:p>
    <w:p w:rsidR="0018452B" w:rsidRPr="00676E3D" w:rsidRDefault="0018452B" w:rsidP="0018452B">
      <w:pPr>
        <w:ind w:firstLine="567"/>
        <w:jc w:val="both"/>
        <w:rPr>
          <w:color w:val="000000" w:themeColor="text1"/>
        </w:rPr>
      </w:pPr>
      <w:r w:rsidRPr="00C27A03">
        <w:rPr>
          <w:color w:val="000000" w:themeColor="text1"/>
        </w:rPr>
        <w:t xml:space="preserve">Получените капиталови приходи от ЕЗФРСР по линия на ПРСР без директни плащания до 31.03.2022 г. са 63,5 млн. лв., което е 11,3 % от годишния план (564,0 млн. лв.). За сравнение, </w:t>
      </w:r>
      <w:r w:rsidRPr="00676E3D">
        <w:rPr>
          <w:color w:val="000000" w:themeColor="text1"/>
        </w:rPr>
        <w:t>през първото тримесечие на 2021 г. са получени 107,5 млн. лв. (20,1 % от годишния план).</w:t>
      </w:r>
    </w:p>
    <w:p w:rsidR="0018452B" w:rsidRPr="00676E3D" w:rsidRDefault="0018452B" w:rsidP="0018452B">
      <w:pPr>
        <w:ind w:firstLine="567"/>
        <w:jc w:val="both"/>
        <w:rPr>
          <w:color w:val="000000" w:themeColor="text1"/>
        </w:rPr>
      </w:pPr>
      <w:r w:rsidRPr="00676E3D">
        <w:rPr>
          <w:color w:val="000000" w:themeColor="text1"/>
        </w:rPr>
        <w:t xml:space="preserve">През първото тримесечие на 2021 г. са  получени капиталови приходи в размер на 7,0 млн. лв. </w:t>
      </w:r>
      <w:r w:rsidRPr="00676E3D">
        <w:rPr>
          <w:rFonts w:eastAsiaTheme="minorHAnsi"/>
          <w:color w:val="000000" w:themeColor="text1"/>
        </w:rPr>
        <w:t>от фонд ЕФМДР</w:t>
      </w:r>
      <w:r w:rsidRPr="00676E3D">
        <w:rPr>
          <w:color w:val="000000" w:themeColor="text1"/>
        </w:rPr>
        <w:t xml:space="preserve"> при планирани за годината 29,2 млн. лв., което е 24,0</w:t>
      </w:r>
      <w:r w:rsidRPr="00676E3D">
        <w:rPr>
          <w:rFonts w:eastAsiaTheme="minorHAnsi"/>
          <w:color w:val="000000" w:themeColor="text1"/>
        </w:rPr>
        <w:t xml:space="preserve"> % изпълнение на плана за годината. </w:t>
      </w:r>
      <w:r w:rsidRPr="00676E3D">
        <w:rPr>
          <w:color w:val="000000" w:themeColor="text1"/>
        </w:rPr>
        <w:t>За сравнение, изпълнението на годишния план към 31.03.2021 г. е 58,2 процента.</w:t>
      </w:r>
    </w:p>
    <w:p w:rsidR="0018452B" w:rsidRPr="00676E3D" w:rsidRDefault="0018452B" w:rsidP="0018452B">
      <w:pPr>
        <w:numPr>
          <w:ilvl w:val="0"/>
          <w:numId w:val="22"/>
        </w:numPr>
        <w:tabs>
          <w:tab w:val="left" w:pos="993"/>
        </w:tabs>
        <w:spacing w:before="120" w:after="120"/>
        <w:ind w:left="1321" w:firstLine="567"/>
        <w:jc w:val="both"/>
        <w:rPr>
          <w:b/>
          <w:i/>
          <w:color w:val="000000" w:themeColor="text1"/>
        </w:rPr>
      </w:pPr>
      <w:r w:rsidRPr="00676E3D">
        <w:rPr>
          <w:b/>
          <w:i/>
          <w:color w:val="000000" w:themeColor="text1"/>
        </w:rPr>
        <w:t>Приходи от наказателни лихви</w:t>
      </w:r>
    </w:p>
    <w:p w:rsidR="0018452B" w:rsidRPr="00A25B81" w:rsidRDefault="0018452B" w:rsidP="0018452B">
      <w:pPr>
        <w:tabs>
          <w:tab w:val="left" w:pos="993"/>
        </w:tabs>
        <w:spacing w:before="120" w:after="120"/>
        <w:ind w:firstLine="567"/>
        <w:jc w:val="both"/>
        <w:rPr>
          <w:color w:val="000000" w:themeColor="text1"/>
        </w:rPr>
      </w:pPr>
      <w:r w:rsidRPr="00A25B81">
        <w:rPr>
          <w:color w:val="000000" w:themeColor="text1"/>
        </w:rPr>
        <w:t>През първото тримесечие на 2022 г. са отчетени приходи от получени наказателни лихви, свързани с вземания за възстановяване на средства от ЕК в размер на 0,1 млн. лева.</w:t>
      </w:r>
    </w:p>
    <w:p w:rsidR="0018452B" w:rsidRPr="00A25B81" w:rsidRDefault="0018452B" w:rsidP="0018452B">
      <w:pPr>
        <w:ind w:firstLine="567"/>
        <w:jc w:val="both"/>
        <w:rPr>
          <w:color w:val="000000" w:themeColor="text1"/>
          <w:sz w:val="10"/>
        </w:rPr>
      </w:pPr>
    </w:p>
    <w:p w:rsidR="0018452B" w:rsidRPr="00CD7C0C" w:rsidRDefault="0018452B" w:rsidP="0018452B">
      <w:pPr>
        <w:numPr>
          <w:ilvl w:val="0"/>
          <w:numId w:val="23"/>
        </w:numPr>
        <w:tabs>
          <w:tab w:val="num" w:pos="540"/>
        </w:tabs>
        <w:spacing w:before="120" w:after="120" w:line="276" w:lineRule="auto"/>
        <w:contextualSpacing/>
        <w:jc w:val="both"/>
        <w:rPr>
          <w:b/>
          <w:color w:val="000000" w:themeColor="text1"/>
          <w:lang w:eastAsia="bg-BG"/>
        </w:rPr>
      </w:pPr>
      <w:r w:rsidRPr="00CD7C0C">
        <w:rPr>
          <w:b/>
          <w:color w:val="000000" w:themeColor="text1"/>
          <w:lang w:eastAsia="bg-BG"/>
        </w:rPr>
        <w:t xml:space="preserve">Разходи </w:t>
      </w:r>
    </w:p>
    <w:p w:rsidR="0018452B" w:rsidRPr="00CD7C0C" w:rsidRDefault="0018452B" w:rsidP="0018452B">
      <w:pPr>
        <w:ind w:firstLine="567"/>
        <w:jc w:val="both"/>
        <w:rPr>
          <w:color w:val="000000" w:themeColor="text1"/>
        </w:rPr>
      </w:pPr>
      <w:r w:rsidRPr="00CD7C0C">
        <w:rPr>
          <w:color w:val="000000" w:themeColor="text1"/>
        </w:rPr>
        <w:t xml:space="preserve">Общият размер на планираните за 2022 г. разходи по утвърдените годишни разчети на сметката за средства от Европейския съюз на Разплащателната агенция към ДФ „Земеделие” е 945,8 млн. лева. </w:t>
      </w:r>
    </w:p>
    <w:p w:rsidR="0018452B" w:rsidRPr="00CD7C0C" w:rsidRDefault="0018452B" w:rsidP="0018452B">
      <w:pPr>
        <w:ind w:firstLine="567"/>
        <w:jc w:val="both"/>
        <w:rPr>
          <w:color w:val="000000" w:themeColor="text1"/>
        </w:rPr>
      </w:pPr>
      <w:r w:rsidRPr="00CD7C0C">
        <w:rPr>
          <w:color w:val="000000" w:themeColor="text1"/>
        </w:rPr>
        <w:t>Уточненият план на субсидиите за текуща дейност и капиталовите трансфери за 2022 г. е 662,5 млн. лева. Изпълнението към 31.03.2022 г. възлиза на 8,1 % от годишния план и е в размер на 53,9 млн. лева.</w:t>
      </w:r>
    </w:p>
    <w:p w:rsidR="0018452B" w:rsidRPr="00CD7C0C" w:rsidRDefault="0018452B" w:rsidP="0018452B">
      <w:pPr>
        <w:ind w:firstLine="567"/>
        <w:jc w:val="both"/>
        <w:rPr>
          <w:color w:val="000000" w:themeColor="text1"/>
        </w:rPr>
      </w:pPr>
      <w:r w:rsidRPr="00CD7C0C">
        <w:rPr>
          <w:color w:val="000000" w:themeColor="text1"/>
        </w:rPr>
        <w:t>Разпределението на разходите е както следва:</w:t>
      </w:r>
    </w:p>
    <w:p w:rsidR="0018452B" w:rsidRPr="00FA712D"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FA712D">
        <w:rPr>
          <w:b/>
          <w:i/>
          <w:color w:val="000000" w:themeColor="text1"/>
        </w:rPr>
        <w:t>Субсидии и други текущи трансфери за нефинансови предприятия</w:t>
      </w:r>
    </w:p>
    <w:p w:rsidR="0018452B" w:rsidRPr="00FA712D" w:rsidRDefault="0018452B" w:rsidP="0018452B">
      <w:pPr>
        <w:ind w:firstLine="567"/>
        <w:jc w:val="both"/>
        <w:rPr>
          <w:color w:val="000000" w:themeColor="text1"/>
        </w:rPr>
      </w:pPr>
      <w:r w:rsidRPr="00FA712D">
        <w:rPr>
          <w:color w:val="000000" w:themeColor="text1"/>
        </w:rPr>
        <w:t xml:space="preserve">За 2022 г. са планирани средства в размер на 304,8 млн. лв. за субсидии и други текущи трансфери за нефинансови предприятия. Отчетените към края на първото тримесечие на 2022 г. </w:t>
      </w:r>
      <w:r w:rsidRPr="00FA712D">
        <w:rPr>
          <w:color w:val="000000" w:themeColor="text1"/>
        </w:rPr>
        <w:lastRenderedPageBreak/>
        <w:t>средства представляват 6,8 % от планираните за годината и са в размер на 20,8 млн. лева. За същия период на предходната година, изпълнението е 22,7 млн. лева.</w:t>
      </w:r>
    </w:p>
    <w:p w:rsidR="0018452B" w:rsidRPr="00FA712D" w:rsidRDefault="0018452B" w:rsidP="0018452B">
      <w:pPr>
        <w:ind w:firstLine="567"/>
        <w:jc w:val="both"/>
        <w:rPr>
          <w:color w:val="000000" w:themeColor="text1"/>
        </w:rPr>
      </w:pPr>
      <w:r w:rsidRPr="00FA712D">
        <w:rPr>
          <w:color w:val="000000" w:themeColor="text1"/>
        </w:rPr>
        <w:t>Изпълнението по дейности е както следва:</w:t>
      </w:r>
    </w:p>
    <w:p w:rsidR="0018452B" w:rsidRPr="00347826" w:rsidRDefault="0018452B" w:rsidP="0018452B">
      <w:pPr>
        <w:ind w:firstLine="567"/>
        <w:contextualSpacing/>
        <w:jc w:val="both"/>
        <w:rPr>
          <w:color w:val="000000" w:themeColor="text1"/>
        </w:rPr>
      </w:pPr>
      <w:r w:rsidRPr="00347826">
        <w:rPr>
          <w:color w:val="000000" w:themeColor="text1"/>
        </w:rPr>
        <w:t>- национално съфинансиране към ЕЗФРСР за директни плащания – 7,1 млн. лв., изпълнение 10,6 % на планираните за годината 66,7 млн. лева;</w:t>
      </w:r>
    </w:p>
    <w:p w:rsidR="0018452B" w:rsidRPr="00347826" w:rsidRDefault="0018452B" w:rsidP="0018452B">
      <w:pPr>
        <w:ind w:firstLine="567"/>
        <w:contextualSpacing/>
        <w:jc w:val="both"/>
        <w:rPr>
          <w:color w:val="000000" w:themeColor="text1"/>
        </w:rPr>
      </w:pPr>
      <w:r w:rsidRPr="00347826">
        <w:rPr>
          <w:color w:val="000000" w:themeColor="text1"/>
        </w:rPr>
        <w:t>-  текущи субсидии по Програмата за морско дело и рибарство – за отчетния период няма усвоени средства при планирани за годината 2,2 млн. лева;</w:t>
      </w:r>
    </w:p>
    <w:p w:rsidR="0018452B" w:rsidRPr="00347826" w:rsidRDefault="0018452B" w:rsidP="0018452B">
      <w:pPr>
        <w:ind w:firstLine="567"/>
        <w:contextualSpacing/>
        <w:jc w:val="both"/>
        <w:rPr>
          <w:color w:val="000000" w:themeColor="text1"/>
        </w:rPr>
      </w:pPr>
      <w:r w:rsidRPr="00347826">
        <w:rPr>
          <w:color w:val="000000" w:themeColor="text1"/>
        </w:rPr>
        <w:t>- текущи субсидии по Програмата за развитие на селските райони – 4,5 млн. лв., изпълнение от 2,3 % на планираните за годината 194,2 млн. лева;</w:t>
      </w:r>
    </w:p>
    <w:p w:rsidR="0018452B" w:rsidRPr="00347826" w:rsidRDefault="0018452B" w:rsidP="0018452B">
      <w:pPr>
        <w:tabs>
          <w:tab w:val="left" w:pos="851"/>
          <w:tab w:val="left" w:pos="1134"/>
        </w:tabs>
        <w:ind w:firstLine="567"/>
        <w:contextualSpacing/>
        <w:jc w:val="both"/>
        <w:rPr>
          <w:color w:val="000000" w:themeColor="text1"/>
        </w:rPr>
      </w:pPr>
      <w:r w:rsidRPr="00347826">
        <w:rPr>
          <w:color w:val="000000" w:themeColor="text1"/>
        </w:rPr>
        <w:t>- текущи субсидии за пазарни мерки – 9,1 млн. лв., изпълнение от 21,8 % на планираните за 2022 г. 41,7 млн. лева.</w:t>
      </w:r>
    </w:p>
    <w:p w:rsidR="0018452B" w:rsidRPr="003A3360"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347826">
        <w:rPr>
          <w:b/>
          <w:i/>
          <w:color w:val="000000" w:themeColor="text1"/>
        </w:rPr>
        <w:t xml:space="preserve">Субсидии и други текущи трансфери за юридически лица с </w:t>
      </w:r>
      <w:r w:rsidRPr="003A3360">
        <w:rPr>
          <w:b/>
          <w:i/>
          <w:color w:val="000000" w:themeColor="text1"/>
        </w:rPr>
        <w:t>нестопанска цел</w:t>
      </w:r>
    </w:p>
    <w:p w:rsidR="0018452B" w:rsidRPr="003A3360" w:rsidRDefault="0018452B" w:rsidP="0018452B">
      <w:pPr>
        <w:ind w:firstLine="567"/>
        <w:contextualSpacing/>
        <w:jc w:val="both"/>
        <w:rPr>
          <w:color w:val="000000" w:themeColor="text1"/>
        </w:rPr>
      </w:pPr>
      <w:r w:rsidRPr="003A3360">
        <w:rPr>
          <w:color w:val="000000" w:themeColor="text1"/>
        </w:rPr>
        <w:tab/>
        <w:t>За 2022 г. за субсидии и други текущи трансфери за юридически лица с нестопанска цел са планирани 17,5 млн. лева. Към края на първото тримесечие са отчетени разходи в размер на 2,0 млн. лв. (11,4 % от годишния план). За същия период на 2021 година са отчетени 1,8 млн. лева..</w:t>
      </w:r>
    </w:p>
    <w:p w:rsidR="0018452B" w:rsidRPr="00DD5141" w:rsidRDefault="0018452B" w:rsidP="0018452B">
      <w:pPr>
        <w:ind w:firstLine="567"/>
        <w:contextualSpacing/>
        <w:jc w:val="both"/>
        <w:rPr>
          <w:color w:val="000000" w:themeColor="text1"/>
        </w:rPr>
      </w:pPr>
      <w:r w:rsidRPr="00DD5141">
        <w:rPr>
          <w:color w:val="000000" w:themeColor="text1"/>
        </w:rPr>
        <w:t>Разпределението по дейности е както следва:</w:t>
      </w:r>
    </w:p>
    <w:p w:rsidR="0018452B" w:rsidRPr="00905876" w:rsidRDefault="0018452B" w:rsidP="0018452B">
      <w:pPr>
        <w:ind w:firstLine="567"/>
        <w:contextualSpacing/>
        <w:jc w:val="both"/>
        <w:rPr>
          <w:color w:val="000000" w:themeColor="text1"/>
        </w:rPr>
      </w:pPr>
      <w:r w:rsidRPr="00905876">
        <w:rPr>
          <w:color w:val="000000" w:themeColor="text1"/>
        </w:rPr>
        <w:t xml:space="preserve">-  национално съфинансиране към ЕЗФРСР за директни плащания  – няма усвоени средства; </w:t>
      </w:r>
    </w:p>
    <w:p w:rsidR="0018452B" w:rsidRPr="00905876" w:rsidRDefault="0018452B" w:rsidP="0018452B">
      <w:pPr>
        <w:tabs>
          <w:tab w:val="left" w:pos="851"/>
        </w:tabs>
        <w:ind w:firstLine="567"/>
        <w:contextualSpacing/>
        <w:jc w:val="both"/>
        <w:rPr>
          <w:color w:val="000000" w:themeColor="text1"/>
        </w:rPr>
      </w:pPr>
      <w:r w:rsidRPr="00905876">
        <w:rPr>
          <w:color w:val="000000" w:themeColor="text1"/>
        </w:rPr>
        <w:t>-  текущи субсидии по ПМДР – 1,4 млн. лв. при планирани 2,2 млн. лева;</w:t>
      </w:r>
    </w:p>
    <w:p w:rsidR="0018452B" w:rsidRPr="00905876" w:rsidRDefault="0018452B" w:rsidP="0018452B">
      <w:pPr>
        <w:ind w:firstLine="567"/>
        <w:contextualSpacing/>
        <w:jc w:val="both"/>
        <w:rPr>
          <w:color w:val="000000" w:themeColor="text1"/>
        </w:rPr>
      </w:pPr>
      <w:r w:rsidRPr="00905876">
        <w:rPr>
          <w:color w:val="000000" w:themeColor="text1"/>
        </w:rPr>
        <w:t>- текущи субсидии по Програмата за развитие на селските райони – 0,6 млн. лв., изпълнение 4,3 % на планираните 13,9 млн. лева;</w:t>
      </w:r>
    </w:p>
    <w:p w:rsidR="0018452B" w:rsidRPr="00905876" w:rsidRDefault="0018452B" w:rsidP="0018452B">
      <w:pPr>
        <w:ind w:firstLine="567"/>
        <w:contextualSpacing/>
        <w:jc w:val="both"/>
        <w:rPr>
          <w:color w:val="000000" w:themeColor="text1"/>
        </w:rPr>
      </w:pPr>
      <w:r w:rsidRPr="00905876">
        <w:rPr>
          <w:color w:val="000000" w:themeColor="text1"/>
        </w:rPr>
        <w:t>-  текущи субсидии за пазарни мерки – няма усвоени средства през първото тримесечие при планирани за годината 1,4 млн. лева.</w:t>
      </w:r>
    </w:p>
    <w:p w:rsidR="0018452B" w:rsidRPr="00905876"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905876">
        <w:rPr>
          <w:b/>
          <w:i/>
          <w:color w:val="000000" w:themeColor="text1"/>
        </w:rPr>
        <w:t>Капиталови трансфери за нефинансови предприятия</w:t>
      </w:r>
    </w:p>
    <w:p w:rsidR="0018452B" w:rsidRPr="00905876" w:rsidRDefault="0018452B" w:rsidP="0018452B">
      <w:pPr>
        <w:ind w:firstLine="567"/>
        <w:jc w:val="both"/>
        <w:rPr>
          <w:color w:val="000000" w:themeColor="text1"/>
        </w:rPr>
      </w:pPr>
      <w:r w:rsidRPr="00905876">
        <w:rPr>
          <w:color w:val="000000" w:themeColor="text1"/>
        </w:rPr>
        <w:t>За 2022 г. за капиталови трансфери за нефинансови предприятия са планирани 311,5 млн. лева. Към 31.03.2022 г. са отчетени 30,1 млн. лв., което е 9,7 % изпълнение на годишния план. Изпълнението за същия период на предходната година е 30,3 млн. лева.</w:t>
      </w:r>
    </w:p>
    <w:p w:rsidR="0018452B" w:rsidRPr="00905876" w:rsidRDefault="0018452B" w:rsidP="0018452B">
      <w:pPr>
        <w:ind w:firstLine="567"/>
        <w:jc w:val="both"/>
        <w:rPr>
          <w:color w:val="000000" w:themeColor="text1"/>
        </w:rPr>
      </w:pPr>
      <w:r w:rsidRPr="00905876">
        <w:rPr>
          <w:color w:val="000000" w:themeColor="text1"/>
        </w:rPr>
        <w:t>Разпределението по дейности е както следва:</w:t>
      </w:r>
    </w:p>
    <w:p w:rsidR="0018452B" w:rsidRPr="00905876" w:rsidRDefault="0018452B" w:rsidP="0018452B">
      <w:pPr>
        <w:ind w:firstLine="567"/>
        <w:contextualSpacing/>
        <w:jc w:val="both"/>
        <w:rPr>
          <w:color w:val="000000" w:themeColor="text1"/>
        </w:rPr>
      </w:pPr>
      <w:r w:rsidRPr="00905876">
        <w:rPr>
          <w:color w:val="000000" w:themeColor="text1"/>
        </w:rPr>
        <w:t>-  капиталови трансфери по Програмата за морско дело и рибарство (ПМДР) – 0,8 млн. лв., което е 3,3 %  изпълнение на годишния план (24,1 млн. лева);</w:t>
      </w:r>
    </w:p>
    <w:p w:rsidR="0018452B" w:rsidRPr="00905876" w:rsidRDefault="0018452B" w:rsidP="0018452B">
      <w:pPr>
        <w:ind w:firstLine="567"/>
        <w:contextualSpacing/>
        <w:jc w:val="both"/>
        <w:rPr>
          <w:color w:val="000000" w:themeColor="text1"/>
        </w:rPr>
      </w:pPr>
      <w:r w:rsidRPr="00905876">
        <w:rPr>
          <w:color w:val="000000" w:themeColor="text1"/>
        </w:rPr>
        <w:t>-  капиталови трансфери по ПРСР – 29,3 млн. лв., 10,3 %  изпълнение на годишния план (284,4 млн. лв.);</w:t>
      </w:r>
    </w:p>
    <w:p w:rsidR="0018452B" w:rsidRPr="00905876" w:rsidRDefault="0018452B" w:rsidP="0018452B">
      <w:pPr>
        <w:ind w:firstLine="567"/>
        <w:contextualSpacing/>
        <w:jc w:val="both"/>
        <w:rPr>
          <w:color w:val="000000" w:themeColor="text1"/>
        </w:rPr>
      </w:pPr>
      <w:r w:rsidRPr="00905876">
        <w:rPr>
          <w:color w:val="000000" w:themeColor="text1"/>
        </w:rPr>
        <w:t xml:space="preserve">-  капиталови трансфери за пазарни мерки – няма усвоени средства при планирани в разчетите за годината 2,9 млн. лева. </w:t>
      </w:r>
    </w:p>
    <w:p w:rsidR="0018452B" w:rsidRPr="00905876"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905876">
        <w:rPr>
          <w:b/>
          <w:i/>
          <w:color w:val="000000" w:themeColor="text1"/>
        </w:rPr>
        <w:t>Капиталови трансфери за организации с нестопанска цел</w:t>
      </w:r>
    </w:p>
    <w:p w:rsidR="0018452B" w:rsidRPr="00905876" w:rsidRDefault="0018452B" w:rsidP="0018452B">
      <w:pPr>
        <w:ind w:firstLine="567"/>
        <w:jc w:val="both"/>
        <w:rPr>
          <w:color w:val="000000" w:themeColor="text1"/>
        </w:rPr>
      </w:pPr>
      <w:r w:rsidRPr="00905876">
        <w:rPr>
          <w:color w:val="000000" w:themeColor="text1"/>
        </w:rPr>
        <w:t xml:space="preserve">За 2022 г. са планирани капиталови трансфери за организации с нестопанска цел в размер на 28,7 млн. лева. Към 31.03.2022 г. са отчетени капиталови трансфери по ПРСР в размер на 0,9 млн. лв., 3,4 % изпълнение на годишния план. </w:t>
      </w:r>
    </w:p>
    <w:p w:rsidR="0018452B" w:rsidRPr="00905876" w:rsidRDefault="0018452B" w:rsidP="0018452B">
      <w:pPr>
        <w:spacing w:before="120"/>
        <w:ind w:firstLine="567"/>
        <w:jc w:val="both"/>
        <w:rPr>
          <w:color w:val="000000" w:themeColor="text1"/>
        </w:rPr>
      </w:pPr>
      <w:r w:rsidRPr="00905876">
        <w:rPr>
          <w:color w:val="000000" w:themeColor="text1"/>
        </w:rPr>
        <w:t>Планираните разходи в размер на 283,3 млн. лв., в т.ч.: за заплати и възнаграждения на персонала 8,9 млн. лв., задължителни осигурителни вноски от работодатели 2,5 млн. лв., издръжка 9,7 млн. лв. и придобиване на ДМА 262,1 млн. лв., подлежат на отчитане в § 63-00 „Трансфери между сметки за средствата от ЕС“.</w:t>
      </w:r>
    </w:p>
    <w:p w:rsidR="0018452B" w:rsidRPr="00905876" w:rsidRDefault="0018452B" w:rsidP="0018452B">
      <w:pPr>
        <w:ind w:firstLine="567"/>
        <w:jc w:val="both"/>
        <w:rPr>
          <w:b/>
          <w:color w:val="000000" w:themeColor="text1"/>
          <w:sz w:val="12"/>
          <w:u w:val="single"/>
        </w:rPr>
      </w:pPr>
    </w:p>
    <w:p w:rsidR="0018452B" w:rsidRPr="00905876" w:rsidRDefault="0018452B" w:rsidP="0018452B">
      <w:pPr>
        <w:numPr>
          <w:ilvl w:val="0"/>
          <w:numId w:val="23"/>
        </w:numPr>
        <w:tabs>
          <w:tab w:val="num" w:pos="540"/>
        </w:tabs>
        <w:spacing w:before="120" w:after="120" w:line="276" w:lineRule="auto"/>
        <w:contextualSpacing/>
        <w:jc w:val="both"/>
        <w:rPr>
          <w:b/>
          <w:color w:val="000000" w:themeColor="text1"/>
          <w:lang w:eastAsia="bg-BG"/>
        </w:rPr>
      </w:pPr>
      <w:r w:rsidRPr="00905876">
        <w:rPr>
          <w:b/>
          <w:color w:val="000000" w:themeColor="text1"/>
          <w:lang w:eastAsia="bg-BG"/>
        </w:rPr>
        <w:t xml:space="preserve">Трансфери </w:t>
      </w:r>
    </w:p>
    <w:p w:rsidR="0018452B" w:rsidRPr="00905876" w:rsidRDefault="0018452B" w:rsidP="0018452B">
      <w:pPr>
        <w:ind w:firstLine="567"/>
        <w:jc w:val="both"/>
        <w:rPr>
          <w:color w:val="000000" w:themeColor="text1"/>
        </w:rPr>
      </w:pPr>
      <w:r w:rsidRPr="00905876">
        <w:rPr>
          <w:color w:val="000000" w:themeColor="text1"/>
        </w:rPr>
        <w:t>В частта на трансферите, в касовия отчет на ДФЗ-РА към 31.03.2022 г. са отразени следните касови потоци:</w:t>
      </w:r>
    </w:p>
    <w:p w:rsidR="0018452B" w:rsidRPr="00905876"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905876">
        <w:rPr>
          <w:b/>
          <w:i/>
          <w:color w:val="000000" w:themeColor="text1"/>
        </w:rPr>
        <w:t xml:space="preserve">Трансфери между бюджети и сметки за средства от Европейския съюз </w:t>
      </w:r>
    </w:p>
    <w:p w:rsidR="0018452B" w:rsidRPr="00905876" w:rsidRDefault="0018452B" w:rsidP="0018452B">
      <w:pPr>
        <w:ind w:firstLine="567"/>
        <w:jc w:val="both"/>
        <w:rPr>
          <w:color w:val="000000" w:themeColor="text1"/>
        </w:rPr>
      </w:pPr>
      <w:r w:rsidRPr="00905876">
        <w:rPr>
          <w:color w:val="000000" w:themeColor="text1"/>
        </w:rPr>
        <w:lastRenderedPageBreak/>
        <w:t xml:space="preserve">Получените трансфери от бюджетни сметки на бюджетни организации и общини са формирани при възстановяване на суми по вземания по ПРСР и директни плащания. Към 31.03.2022 г. техният размер е 0,5 млн. лева. </w:t>
      </w:r>
    </w:p>
    <w:p w:rsidR="0018452B" w:rsidRPr="00905876" w:rsidRDefault="0018452B" w:rsidP="0018452B">
      <w:pPr>
        <w:ind w:firstLine="567"/>
        <w:jc w:val="both"/>
        <w:rPr>
          <w:color w:val="000000" w:themeColor="text1"/>
        </w:rPr>
      </w:pPr>
      <w:r w:rsidRPr="00905876">
        <w:rPr>
          <w:color w:val="000000" w:themeColor="text1"/>
        </w:rPr>
        <w:tab/>
        <w:t>Предоставените през първото тримесечие на 2022 г. трансфери във връзка с чл.14 от Закона за подпомагане на земеделските производители възлизат на 0,3 млн. лева.</w:t>
      </w:r>
    </w:p>
    <w:p w:rsidR="0018452B" w:rsidRPr="00905876" w:rsidRDefault="0018452B" w:rsidP="0018452B">
      <w:pPr>
        <w:numPr>
          <w:ilvl w:val="0"/>
          <w:numId w:val="22"/>
        </w:numPr>
        <w:tabs>
          <w:tab w:val="left" w:pos="993"/>
        </w:tabs>
        <w:spacing w:before="120" w:after="120" w:line="276" w:lineRule="auto"/>
        <w:ind w:left="1321" w:firstLine="567"/>
        <w:jc w:val="both"/>
        <w:rPr>
          <w:b/>
          <w:i/>
          <w:color w:val="000000" w:themeColor="text1"/>
        </w:rPr>
      </w:pPr>
      <w:r w:rsidRPr="00905876">
        <w:rPr>
          <w:b/>
          <w:i/>
          <w:color w:val="000000" w:themeColor="text1"/>
        </w:rPr>
        <w:t>Трансфери между сметки за средства от Европейския съюз:</w:t>
      </w:r>
    </w:p>
    <w:p w:rsidR="0018452B" w:rsidRPr="00905876" w:rsidRDefault="0018452B" w:rsidP="0018452B">
      <w:pPr>
        <w:ind w:firstLine="567"/>
        <w:jc w:val="both"/>
        <w:rPr>
          <w:color w:val="000000" w:themeColor="text1"/>
        </w:rPr>
      </w:pPr>
      <w:r w:rsidRPr="00905876">
        <w:rPr>
          <w:color w:val="000000" w:themeColor="text1"/>
        </w:rPr>
        <w:t>Предоставените трансфери са формирани от изплатените субсидии и възстановените суми от публични бенефициенти. Към края на първото тримесечие на 2022 г. са отчетени 31,8 млн. лв., в т.ч.:</w:t>
      </w:r>
    </w:p>
    <w:p w:rsidR="0018452B" w:rsidRPr="00905876" w:rsidRDefault="0018452B" w:rsidP="0018452B">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905876">
        <w:rPr>
          <w:rFonts w:ascii="Times New Roman" w:hAnsi="Times New Roman"/>
          <w:color w:val="000000" w:themeColor="text1"/>
        </w:rPr>
        <w:t>по Програмата за развитие на селските райони – 30,7 млн. лв.;</w:t>
      </w:r>
    </w:p>
    <w:p w:rsidR="0018452B" w:rsidRPr="00905876" w:rsidRDefault="0018452B" w:rsidP="0018452B">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905876">
        <w:rPr>
          <w:rFonts w:ascii="Times New Roman" w:hAnsi="Times New Roman"/>
          <w:color w:val="000000" w:themeColor="text1"/>
        </w:rPr>
        <w:t>национално съфинансиране към директни плащания – 0,1 млн. лв.;</w:t>
      </w:r>
    </w:p>
    <w:p w:rsidR="0018452B" w:rsidRPr="00905876" w:rsidRDefault="0018452B" w:rsidP="0018452B">
      <w:pPr>
        <w:pStyle w:val="ListParagraph"/>
        <w:numPr>
          <w:ilvl w:val="0"/>
          <w:numId w:val="21"/>
        </w:numPr>
        <w:tabs>
          <w:tab w:val="left" w:pos="1080"/>
        </w:tabs>
        <w:spacing w:line="240" w:lineRule="auto"/>
        <w:ind w:left="706" w:firstLine="14"/>
        <w:rPr>
          <w:rFonts w:ascii="Times New Roman" w:hAnsi="Times New Roman"/>
          <w:color w:val="000000" w:themeColor="text1"/>
        </w:rPr>
      </w:pPr>
      <w:r w:rsidRPr="00905876">
        <w:rPr>
          <w:rFonts w:ascii="Times New Roman" w:hAnsi="Times New Roman"/>
          <w:color w:val="000000" w:themeColor="text1"/>
        </w:rPr>
        <w:t>по Програмата за морско дело и рибарство: 1,0 млн. лева.</w:t>
      </w:r>
    </w:p>
    <w:p w:rsidR="0018452B" w:rsidRPr="00905876" w:rsidRDefault="0018452B" w:rsidP="0018452B">
      <w:pPr>
        <w:ind w:firstLine="567"/>
        <w:jc w:val="both"/>
        <w:rPr>
          <w:color w:val="000000" w:themeColor="text1"/>
        </w:rPr>
      </w:pPr>
      <w:r w:rsidRPr="00905876">
        <w:rPr>
          <w:color w:val="000000" w:themeColor="text1"/>
        </w:rPr>
        <w:t>През първото тримесечие на 2020 г. са предоставени трансфери в размер на 64,5 млн. лв.</w:t>
      </w:r>
    </w:p>
    <w:p w:rsidR="0018452B" w:rsidRPr="00905876" w:rsidRDefault="0018452B" w:rsidP="0018452B">
      <w:pPr>
        <w:tabs>
          <w:tab w:val="left" w:pos="540"/>
        </w:tabs>
        <w:ind w:firstLine="567"/>
        <w:jc w:val="both"/>
        <w:rPr>
          <w:color w:val="000000" w:themeColor="text1"/>
        </w:rPr>
      </w:pPr>
      <w:r w:rsidRPr="00905876">
        <w:rPr>
          <w:color w:val="000000" w:themeColor="text1"/>
          <w:lang w:eastAsia="bg-BG"/>
        </w:rPr>
        <w:tab/>
      </w:r>
    </w:p>
    <w:p w:rsidR="0018452B" w:rsidRPr="00905876" w:rsidRDefault="0018452B" w:rsidP="0018452B">
      <w:pPr>
        <w:numPr>
          <w:ilvl w:val="0"/>
          <w:numId w:val="23"/>
        </w:numPr>
        <w:tabs>
          <w:tab w:val="num" w:pos="540"/>
        </w:tabs>
        <w:spacing w:before="120" w:after="120" w:line="276" w:lineRule="auto"/>
        <w:contextualSpacing/>
        <w:jc w:val="both"/>
        <w:rPr>
          <w:b/>
          <w:color w:val="000000" w:themeColor="text1"/>
          <w:lang w:eastAsia="bg-BG"/>
        </w:rPr>
      </w:pPr>
      <w:r w:rsidRPr="00905876">
        <w:rPr>
          <w:b/>
          <w:color w:val="000000" w:themeColor="text1"/>
          <w:lang w:eastAsia="bg-BG"/>
        </w:rPr>
        <w:t>Финансиране</w:t>
      </w:r>
    </w:p>
    <w:p w:rsidR="0018452B" w:rsidRPr="00905876" w:rsidRDefault="0018452B" w:rsidP="0018452B">
      <w:pPr>
        <w:ind w:firstLine="567"/>
        <w:jc w:val="both"/>
        <w:rPr>
          <w:color w:val="000000" w:themeColor="text1"/>
        </w:rPr>
      </w:pPr>
      <w:r w:rsidRPr="00905876">
        <w:rPr>
          <w:color w:val="000000" w:themeColor="text1"/>
        </w:rPr>
        <w:t>Към 31.03.2022 г. извършените плащания, възстановените суми, разчетът с централния бюджет и операциите с чужди средства, включени в отчетността в „Друго финансиране“ са в размер на 6,4 млн. лева.</w:t>
      </w:r>
    </w:p>
    <w:p w:rsidR="0018452B" w:rsidRPr="00905876" w:rsidRDefault="0018452B" w:rsidP="0018452B">
      <w:pPr>
        <w:ind w:firstLine="567"/>
        <w:jc w:val="both"/>
        <w:rPr>
          <w:color w:val="000000" w:themeColor="text1"/>
          <w:lang w:eastAsia="bg-BG"/>
        </w:rPr>
      </w:pPr>
      <w:r w:rsidRPr="00905876">
        <w:rPr>
          <w:color w:val="000000" w:themeColor="text1"/>
          <w:lang w:eastAsia="bg-BG"/>
        </w:rPr>
        <w:t>Към 31.03.2022 г. са отчетени плащания в общ размер на 206,5 млн. лв., 10,9 % от годишните разчети (1 888,5 млн. лв.) при 217,3 млн. лв. за първото тримесечие на 2021 г.</w:t>
      </w:r>
    </w:p>
    <w:p w:rsidR="0018452B" w:rsidRPr="00905876" w:rsidRDefault="0018452B" w:rsidP="0018452B">
      <w:pPr>
        <w:ind w:firstLine="567"/>
        <w:jc w:val="both"/>
        <w:rPr>
          <w:color w:val="000000" w:themeColor="text1"/>
          <w:lang w:eastAsia="bg-BG"/>
        </w:rPr>
      </w:pPr>
      <w:r w:rsidRPr="00905876">
        <w:rPr>
          <w:color w:val="000000" w:themeColor="text1"/>
          <w:lang w:eastAsia="bg-BG"/>
        </w:rPr>
        <w:t>Отчетени са плащания по следните направления:</w:t>
      </w:r>
    </w:p>
    <w:p w:rsidR="0018452B" w:rsidRPr="00905876" w:rsidRDefault="0018452B" w:rsidP="0018452B">
      <w:pPr>
        <w:numPr>
          <w:ilvl w:val="0"/>
          <w:numId w:val="24"/>
        </w:numPr>
        <w:tabs>
          <w:tab w:val="left" w:pos="993"/>
        </w:tabs>
        <w:ind w:left="0" w:firstLine="562"/>
        <w:contextualSpacing/>
        <w:jc w:val="both"/>
        <w:rPr>
          <w:color w:val="000000" w:themeColor="text1"/>
          <w:szCs w:val="20"/>
        </w:rPr>
      </w:pPr>
      <w:r w:rsidRPr="00905876">
        <w:rPr>
          <w:color w:val="000000" w:themeColor="text1"/>
          <w:szCs w:val="20"/>
        </w:rPr>
        <w:t>181,5 млн. лв. за директни плащания за сметка на ЕФГЗ, представляващи 11,3 % от планираните 1 607,4 млн. лева;</w:t>
      </w:r>
    </w:p>
    <w:p w:rsidR="0018452B" w:rsidRPr="00905876" w:rsidRDefault="0018452B" w:rsidP="0018452B">
      <w:pPr>
        <w:numPr>
          <w:ilvl w:val="0"/>
          <w:numId w:val="24"/>
        </w:numPr>
        <w:tabs>
          <w:tab w:val="left" w:pos="993"/>
        </w:tabs>
        <w:ind w:left="0" w:firstLine="562"/>
        <w:contextualSpacing/>
        <w:jc w:val="both"/>
        <w:rPr>
          <w:color w:val="000000" w:themeColor="text1"/>
          <w:szCs w:val="20"/>
        </w:rPr>
      </w:pPr>
      <w:r w:rsidRPr="00905876">
        <w:rPr>
          <w:color w:val="000000" w:themeColor="text1"/>
          <w:szCs w:val="20"/>
        </w:rPr>
        <w:t>21,5 млн. лв. средства от ЕЗФРСР, прехвърлени към директни плащания, което е 10,3 % от планираните 209,4 млн. лева;</w:t>
      </w:r>
    </w:p>
    <w:p w:rsidR="0018452B" w:rsidRPr="00905876" w:rsidRDefault="0018452B" w:rsidP="0018452B">
      <w:pPr>
        <w:numPr>
          <w:ilvl w:val="0"/>
          <w:numId w:val="24"/>
        </w:numPr>
        <w:tabs>
          <w:tab w:val="left" w:pos="993"/>
        </w:tabs>
        <w:ind w:left="0" w:firstLine="562"/>
        <w:contextualSpacing/>
        <w:jc w:val="both"/>
        <w:rPr>
          <w:color w:val="000000" w:themeColor="text1"/>
          <w:szCs w:val="20"/>
        </w:rPr>
      </w:pPr>
      <w:r w:rsidRPr="00905876">
        <w:rPr>
          <w:color w:val="000000" w:themeColor="text1"/>
          <w:szCs w:val="20"/>
        </w:rPr>
        <w:t>1,5 млн. лв. за пазарни мерки, което е 3,6 % изпълнение на годишния разчет от 41,9 млн. лева;</w:t>
      </w:r>
    </w:p>
    <w:p w:rsidR="0018452B" w:rsidRPr="00905876" w:rsidRDefault="0018452B" w:rsidP="0018452B">
      <w:pPr>
        <w:numPr>
          <w:ilvl w:val="0"/>
          <w:numId w:val="24"/>
        </w:numPr>
        <w:tabs>
          <w:tab w:val="left" w:pos="993"/>
        </w:tabs>
        <w:ind w:left="0" w:firstLine="562"/>
        <w:contextualSpacing/>
        <w:jc w:val="both"/>
        <w:rPr>
          <w:color w:val="000000" w:themeColor="text1"/>
          <w:szCs w:val="20"/>
        </w:rPr>
      </w:pPr>
      <w:r w:rsidRPr="00905876">
        <w:rPr>
          <w:color w:val="000000" w:themeColor="text1"/>
          <w:szCs w:val="20"/>
        </w:rPr>
        <w:t>2,0 млн. лв. суми за преструктуриране, 6,7 % от планираните 29,8 млн. лева.</w:t>
      </w:r>
    </w:p>
    <w:p w:rsidR="0018452B" w:rsidRPr="00654515" w:rsidRDefault="0018452B" w:rsidP="0018452B">
      <w:pPr>
        <w:ind w:firstLine="567"/>
        <w:jc w:val="both"/>
        <w:rPr>
          <w:color w:val="000000" w:themeColor="text1"/>
          <w:sz w:val="12"/>
          <w:szCs w:val="12"/>
          <w:lang w:eastAsia="bg-BG"/>
        </w:rPr>
      </w:pPr>
    </w:p>
    <w:p w:rsidR="0018452B" w:rsidRPr="005919D5" w:rsidRDefault="0018452B" w:rsidP="0018452B">
      <w:pPr>
        <w:ind w:firstLine="567"/>
        <w:jc w:val="both"/>
        <w:rPr>
          <w:color w:val="000000" w:themeColor="text1"/>
          <w:lang w:eastAsia="bg-BG"/>
        </w:rPr>
      </w:pPr>
      <w:r w:rsidRPr="005919D5">
        <w:rPr>
          <w:color w:val="000000" w:themeColor="text1"/>
          <w:lang w:eastAsia="bg-BG"/>
        </w:rPr>
        <w:t>Възстановените суми от Европейския съюз към 31.03.2022 г. възлизат общо на 837,2</w:t>
      </w:r>
      <w:r w:rsidRPr="005919D5">
        <w:rPr>
          <w:color w:val="000000" w:themeColor="text1"/>
        </w:rPr>
        <w:t> </w:t>
      </w:r>
      <w:r w:rsidRPr="005919D5">
        <w:rPr>
          <w:color w:val="000000" w:themeColor="text1"/>
          <w:lang w:eastAsia="bg-BG"/>
        </w:rPr>
        <w:t>млн. лв., което е 44,9 % от планираните 1 864,8 млн. лв. За сравнение към 31.03.2021 г. изпълнението е било 47,7 %.</w:t>
      </w:r>
    </w:p>
    <w:p w:rsidR="0018452B" w:rsidRPr="005919D5" w:rsidRDefault="0018452B" w:rsidP="0018452B">
      <w:pPr>
        <w:ind w:firstLine="567"/>
        <w:jc w:val="both"/>
        <w:rPr>
          <w:color w:val="000000" w:themeColor="text1"/>
          <w:lang w:eastAsia="bg-BG"/>
        </w:rPr>
      </w:pPr>
      <w:r w:rsidRPr="005919D5">
        <w:rPr>
          <w:color w:val="000000" w:themeColor="text1"/>
          <w:lang w:eastAsia="bg-BG"/>
        </w:rPr>
        <w:t>Възстановени са суми по следните направления:</w:t>
      </w:r>
    </w:p>
    <w:p w:rsidR="0018452B" w:rsidRPr="005919D5" w:rsidRDefault="0018452B" w:rsidP="0018452B">
      <w:pPr>
        <w:numPr>
          <w:ilvl w:val="0"/>
          <w:numId w:val="24"/>
        </w:numPr>
        <w:tabs>
          <w:tab w:val="left" w:pos="993"/>
        </w:tabs>
        <w:ind w:left="0" w:firstLine="562"/>
        <w:contextualSpacing/>
        <w:jc w:val="both"/>
        <w:rPr>
          <w:color w:val="000000" w:themeColor="text1"/>
          <w:szCs w:val="20"/>
        </w:rPr>
      </w:pPr>
      <w:r w:rsidRPr="005919D5">
        <w:rPr>
          <w:color w:val="000000" w:themeColor="text1"/>
          <w:szCs w:val="20"/>
        </w:rPr>
        <w:t>754,1 млн. лв. за директни плащания от ЕФГЗ – 47,4 % от заложените 1 591,3 млн. лева;</w:t>
      </w:r>
    </w:p>
    <w:p w:rsidR="0018452B" w:rsidRPr="005919D5" w:rsidRDefault="0018452B" w:rsidP="0018452B">
      <w:pPr>
        <w:numPr>
          <w:ilvl w:val="0"/>
          <w:numId w:val="24"/>
        </w:numPr>
        <w:tabs>
          <w:tab w:val="left" w:pos="993"/>
        </w:tabs>
        <w:ind w:left="0" w:firstLine="562"/>
        <w:contextualSpacing/>
        <w:jc w:val="both"/>
        <w:rPr>
          <w:color w:val="000000" w:themeColor="text1"/>
          <w:szCs w:val="20"/>
        </w:rPr>
      </w:pPr>
      <w:r w:rsidRPr="005919D5">
        <w:rPr>
          <w:color w:val="000000" w:themeColor="text1"/>
          <w:szCs w:val="20"/>
        </w:rPr>
        <w:t xml:space="preserve">71,7 млн. лв. от ЕЗФРСР, прехвърлени към директни плащания – 34,2 % от заложените 209,4 млн. лева; </w:t>
      </w:r>
    </w:p>
    <w:p w:rsidR="0018452B" w:rsidRPr="005919D5" w:rsidRDefault="0018452B" w:rsidP="0018452B">
      <w:pPr>
        <w:numPr>
          <w:ilvl w:val="0"/>
          <w:numId w:val="24"/>
        </w:numPr>
        <w:tabs>
          <w:tab w:val="left" w:pos="993"/>
        </w:tabs>
        <w:ind w:left="0" w:firstLine="562"/>
        <w:contextualSpacing/>
        <w:jc w:val="both"/>
        <w:rPr>
          <w:color w:val="000000" w:themeColor="text1"/>
          <w:szCs w:val="20"/>
        </w:rPr>
      </w:pPr>
      <w:r w:rsidRPr="005919D5">
        <w:rPr>
          <w:color w:val="000000" w:themeColor="text1"/>
          <w:szCs w:val="20"/>
        </w:rPr>
        <w:t>1,9 млн. лв. за пазарни мерки от ЕФГЗ, 5,7 % изпълнение на планираните за годината 33,4 млн. лева;</w:t>
      </w:r>
    </w:p>
    <w:p w:rsidR="0018452B" w:rsidRPr="005919D5" w:rsidRDefault="0018452B" w:rsidP="0018452B">
      <w:pPr>
        <w:numPr>
          <w:ilvl w:val="0"/>
          <w:numId w:val="24"/>
        </w:numPr>
        <w:tabs>
          <w:tab w:val="left" w:pos="993"/>
        </w:tabs>
        <w:ind w:left="0" w:firstLine="562"/>
        <w:contextualSpacing/>
        <w:jc w:val="both"/>
        <w:rPr>
          <w:color w:val="000000" w:themeColor="text1"/>
        </w:rPr>
      </w:pPr>
      <w:r w:rsidRPr="005919D5">
        <w:rPr>
          <w:color w:val="000000" w:themeColor="text1"/>
          <w:szCs w:val="20"/>
        </w:rPr>
        <w:t>9,5 млн. лв. суми за преструктуриране от ЕФГЗ при планирани 30,7 млн. лв., изпълнение 30,9 %.</w:t>
      </w:r>
    </w:p>
    <w:p w:rsidR="0018452B" w:rsidRPr="005919D5" w:rsidRDefault="0018452B" w:rsidP="0018452B">
      <w:pPr>
        <w:spacing w:before="120"/>
        <w:ind w:firstLine="567"/>
        <w:jc w:val="both"/>
        <w:rPr>
          <w:color w:val="000000" w:themeColor="text1"/>
        </w:rPr>
      </w:pPr>
      <w:r w:rsidRPr="005919D5">
        <w:rPr>
          <w:color w:val="000000" w:themeColor="text1"/>
        </w:rPr>
        <w:t xml:space="preserve">Предоставените суми (нето) по разчети с ЦБ за финансиране на плащания при недостиг на средства по сметки възлизат на -624,4 млн. лева. при планирани -20,6 млн. лева. </w:t>
      </w:r>
    </w:p>
    <w:p w:rsidR="00063CF1" w:rsidRPr="00151757" w:rsidRDefault="00477886" w:rsidP="004C7DEF">
      <w:pPr>
        <w:tabs>
          <w:tab w:val="left" w:pos="540"/>
        </w:tabs>
        <w:spacing w:before="120"/>
        <w:ind w:firstLine="567"/>
        <w:jc w:val="both"/>
        <w:rPr>
          <w:color w:val="548DD4" w:themeColor="text2" w:themeTint="99"/>
        </w:rPr>
      </w:pPr>
      <w:r w:rsidRPr="00151757">
        <w:rPr>
          <w:color w:val="548DD4" w:themeColor="text2" w:themeTint="99"/>
          <w:lang w:eastAsia="bg-BG"/>
        </w:rPr>
        <w:tab/>
      </w:r>
    </w:p>
    <w:p w:rsidR="002744A6" w:rsidRDefault="002744A6" w:rsidP="002744A6">
      <w:pPr>
        <w:pStyle w:val="Heading1"/>
        <w:numPr>
          <w:ilvl w:val="1"/>
          <w:numId w:val="10"/>
        </w:numPr>
        <w:spacing w:after="120"/>
        <w:ind w:left="792" w:right="-115" w:hanging="432"/>
        <w:jc w:val="both"/>
        <w:rPr>
          <w:sz w:val="24"/>
        </w:rPr>
      </w:pPr>
      <w:bookmarkStart w:id="34" w:name="_Toc83045529"/>
      <w:r w:rsidRPr="002744A6">
        <w:rPr>
          <w:sz w:val="24"/>
        </w:rPr>
        <w:t>Сметка за средствата от Европейския съюз на Национален фонд към Министерство на финансите</w:t>
      </w:r>
      <w:bookmarkEnd w:id="34"/>
    </w:p>
    <w:p w:rsidR="00A40757" w:rsidRPr="00A74D31" w:rsidRDefault="00A40757" w:rsidP="00A40757">
      <w:pPr>
        <w:pStyle w:val="BodyTextIndent"/>
        <w:ind w:left="0" w:firstLine="567"/>
        <w:jc w:val="both"/>
        <w:rPr>
          <w:bCs/>
          <w:color w:val="0070C0"/>
        </w:rPr>
      </w:pPr>
      <w:r w:rsidRPr="002B122B">
        <w:rPr>
          <w:bCs/>
        </w:rPr>
        <w:t>По сметките на НФ към 3</w:t>
      </w:r>
      <w:r w:rsidRPr="002B122B">
        <w:rPr>
          <w:bCs/>
          <w:lang w:val="ru-RU"/>
        </w:rPr>
        <w:t>1</w:t>
      </w:r>
      <w:r w:rsidRPr="002B122B">
        <w:rPr>
          <w:bCs/>
        </w:rPr>
        <w:t>.</w:t>
      </w:r>
      <w:r w:rsidRPr="002B122B">
        <w:rPr>
          <w:bCs/>
          <w:lang w:val="ru-RU"/>
        </w:rPr>
        <w:t>03</w:t>
      </w:r>
      <w:r w:rsidRPr="002B122B">
        <w:rPr>
          <w:bCs/>
        </w:rPr>
        <w:t xml:space="preserve">.2022 г. са постъпили приходи (нето) в размер на </w:t>
      </w:r>
      <w:r w:rsidRPr="00B93C25">
        <w:rPr>
          <w:bCs/>
        </w:rPr>
        <w:t>359</w:t>
      </w:r>
      <w:r>
        <w:rPr>
          <w:bCs/>
        </w:rPr>
        <w:t>,</w:t>
      </w:r>
      <w:r w:rsidRPr="00B93C25">
        <w:rPr>
          <w:bCs/>
        </w:rPr>
        <w:t>8</w:t>
      </w:r>
      <w:r>
        <w:rPr>
          <w:bCs/>
        </w:rPr>
        <w:t> </w:t>
      </w:r>
      <w:r w:rsidRPr="002B122B">
        <w:rPr>
          <w:bCs/>
        </w:rPr>
        <w:t xml:space="preserve">млн. лева по програмите, съфинансирани от Европейския фонд за регионално развитие, Европейския социален фонд (включително Инициативата за младежка заетост), Кохезионния фонд и Фонда за европейско подпомагане на най-нуждаещите се лица (ФЕПНЛ) на ЕС за финансовата рамка 2014–2020 г. и двустранните програми за трансгранично сътрудничество </w:t>
      </w:r>
      <w:r w:rsidRPr="00D06937">
        <w:rPr>
          <w:bCs/>
        </w:rPr>
        <w:lastRenderedPageBreak/>
        <w:t>по външните граници на EС (ПТСВГ) за периода 2014–2020 г., като в тази сума са включени и</w:t>
      </w:r>
      <w:r w:rsidRPr="002B122B">
        <w:rPr>
          <w:bCs/>
        </w:rPr>
        <w:t xml:space="preserve"> отразените (нето) в отчетността на НФ операции по постъпването по банковите бюджетни сметки на Министерство на регионалното развитие и благоустройството (МРРБ) на чуждото финансиране по ПТСВГ и изплатените средства от получения ресурс към бенефициенти извън страната.</w:t>
      </w:r>
    </w:p>
    <w:p w:rsidR="00A40757" w:rsidRPr="00E54B80" w:rsidRDefault="00A40757" w:rsidP="00A40757">
      <w:pPr>
        <w:pStyle w:val="BodyTextIndent"/>
        <w:ind w:left="0" w:firstLine="567"/>
        <w:jc w:val="both"/>
        <w:rPr>
          <w:bCs/>
        </w:rPr>
      </w:pPr>
      <w:r w:rsidRPr="00E54B80">
        <w:rPr>
          <w:bCs/>
        </w:rPr>
        <w:t xml:space="preserve">Извършените разходи (нето) за периода с натрупване чрез сметките на НФ възлизат на </w:t>
      </w:r>
      <w:r w:rsidRPr="00B93C25">
        <w:rPr>
          <w:bCs/>
        </w:rPr>
        <w:t>200</w:t>
      </w:r>
      <w:r>
        <w:rPr>
          <w:bCs/>
        </w:rPr>
        <w:t>,</w:t>
      </w:r>
      <w:r w:rsidRPr="00B93C25">
        <w:rPr>
          <w:bCs/>
        </w:rPr>
        <w:t>1</w:t>
      </w:r>
      <w:r w:rsidRPr="00E54B80">
        <w:rPr>
          <w:bCs/>
        </w:rPr>
        <w:t xml:space="preserve"> млн. лева. По видове разходи изпълнението е както следва: </w:t>
      </w:r>
      <w:r w:rsidRPr="00B93C25">
        <w:rPr>
          <w:bCs/>
        </w:rPr>
        <w:t>57</w:t>
      </w:r>
      <w:r>
        <w:rPr>
          <w:bCs/>
        </w:rPr>
        <w:t>,</w:t>
      </w:r>
      <w:r w:rsidRPr="00B93C25">
        <w:rPr>
          <w:bCs/>
        </w:rPr>
        <w:t>91</w:t>
      </w:r>
      <w:r>
        <w:rPr>
          <w:bCs/>
        </w:rPr>
        <w:t xml:space="preserve"> </w:t>
      </w:r>
      <w:r w:rsidRPr="00E54B80">
        <w:rPr>
          <w:bCs/>
        </w:rPr>
        <w:t>% от общата стойност са капиталови трансфери, 4</w:t>
      </w:r>
      <w:r w:rsidRPr="00B93C25">
        <w:rPr>
          <w:bCs/>
        </w:rPr>
        <w:t>1</w:t>
      </w:r>
      <w:r>
        <w:rPr>
          <w:bCs/>
        </w:rPr>
        <w:t>,</w:t>
      </w:r>
      <w:r w:rsidRPr="00B93C25">
        <w:rPr>
          <w:bCs/>
        </w:rPr>
        <w:t>24</w:t>
      </w:r>
      <w:r>
        <w:rPr>
          <w:bCs/>
        </w:rPr>
        <w:t xml:space="preserve"> </w:t>
      </w:r>
      <w:r w:rsidRPr="00E54B80">
        <w:rPr>
          <w:bCs/>
        </w:rPr>
        <w:t>% са субсидии, 0</w:t>
      </w:r>
      <w:r>
        <w:rPr>
          <w:bCs/>
        </w:rPr>
        <w:t>,</w:t>
      </w:r>
      <w:r w:rsidRPr="00B93C25">
        <w:rPr>
          <w:bCs/>
        </w:rPr>
        <w:t>85</w:t>
      </w:r>
      <w:r>
        <w:rPr>
          <w:bCs/>
        </w:rPr>
        <w:t xml:space="preserve"> </w:t>
      </w:r>
      <w:r w:rsidRPr="00E54B80">
        <w:rPr>
          <w:bCs/>
        </w:rPr>
        <w:t>% предоставени текущи и капиталови трансфери за чужбина и 0</w:t>
      </w:r>
      <w:r>
        <w:rPr>
          <w:bCs/>
        </w:rPr>
        <w:t>,</w:t>
      </w:r>
      <w:r w:rsidRPr="00E54B80">
        <w:rPr>
          <w:bCs/>
        </w:rPr>
        <w:t>00</w:t>
      </w:r>
      <w:r w:rsidRPr="00B93C25">
        <w:rPr>
          <w:bCs/>
        </w:rPr>
        <w:t>1</w:t>
      </w:r>
      <w:r>
        <w:rPr>
          <w:bCs/>
        </w:rPr>
        <w:t xml:space="preserve"> </w:t>
      </w:r>
      <w:r w:rsidRPr="00E54B80">
        <w:rPr>
          <w:bCs/>
        </w:rPr>
        <w:t>% - издръжка.</w:t>
      </w:r>
    </w:p>
    <w:p w:rsidR="00A40757" w:rsidRPr="00A74D31" w:rsidRDefault="00A40757" w:rsidP="00A40757">
      <w:pPr>
        <w:pStyle w:val="BodyTextIndent"/>
        <w:ind w:left="0" w:firstLine="567"/>
        <w:jc w:val="both"/>
        <w:rPr>
          <w:bCs/>
          <w:color w:val="0070C0"/>
        </w:rPr>
      </w:pPr>
      <w:r w:rsidRPr="00E667ED">
        <w:rPr>
          <w:bCs/>
        </w:rPr>
        <w:t xml:space="preserve">Трансферите (нето), временните безлихвени заеми (нето) и временна възмездна финансова помощ за разглеждания период са на стойност </w:t>
      </w:r>
      <w:r w:rsidRPr="00B93C25">
        <w:rPr>
          <w:bCs/>
        </w:rPr>
        <w:t>212</w:t>
      </w:r>
      <w:r>
        <w:rPr>
          <w:bCs/>
        </w:rPr>
        <w:t>,</w:t>
      </w:r>
      <w:r w:rsidRPr="00B93C25">
        <w:rPr>
          <w:bCs/>
        </w:rPr>
        <w:t>8</w:t>
      </w:r>
      <w:r w:rsidRPr="00E667ED">
        <w:rPr>
          <w:bCs/>
        </w:rPr>
        <w:t xml:space="preserve"> млн. лв. (включват предоставените трансфери към бенефициенти по Оперативните програми (ОП) на ЕС - програмен период 2014 – 2020 г., ПТСВГ за периода 2014 – 2020 г., ФМ на ЕИП 2014–2021 г. и НФМ 2014–2021 г., както и възстановени трансфери от бенефициенти-бюджетни организации за неусвоени суми по приключили проекти, за недопустими разходи или други надплащания. В консолидираната отчетност на НФ са отразени и трансфери (нето) към бенефициенти – бюджетни организации, които са за сметка на средства, предоставени от държавите-партньори по ПТСВГ.</w:t>
      </w:r>
    </w:p>
    <w:p w:rsidR="00A40757" w:rsidRPr="00082522" w:rsidRDefault="00A40757" w:rsidP="00A40757">
      <w:pPr>
        <w:pStyle w:val="BodyTextIndent"/>
        <w:ind w:left="0" w:firstLine="567"/>
        <w:jc w:val="both"/>
        <w:rPr>
          <w:bCs/>
        </w:rPr>
      </w:pPr>
      <w:r w:rsidRPr="00082522">
        <w:rPr>
          <w:bCs/>
        </w:rPr>
        <w:t>Във връзка с изпълнение на ОП - програмен период 2014 – 2020 г. и ПТСВГ 2014 – 2020</w:t>
      </w:r>
      <w:r>
        <w:rPr>
          <w:bCs/>
        </w:rPr>
        <w:t> </w:t>
      </w:r>
      <w:r w:rsidRPr="00082522">
        <w:rPr>
          <w:bCs/>
        </w:rPr>
        <w:t xml:space="preserve">г. по сметките на НФ са получени трансфери от централния бюджет на стойност </w:t>
      </w:r>
      <w:r w:rsidRPr="00B93C25">
        <w:rPr>
          <w:bCs/>
        </w:rPr>
        <w:t>54</w:t>
      </w:r>
      <w:r>
        <w:rPr>
          <w:bCs/>
        </w:rPr>
        <w:t>,</w:t>
      </w:r>
      <w:r w:rsidRPr="00B93C25">
        <w:rPr>
          <w:bCs/>
        </w:rPr>
        <w:t>1</w:t>
      </w:r>
      <w:r w:rsidRPr="00082522">
        <w:rPr>
          <w:bCs/>
        </w:rPr>
        <w:t xml:space="preserve"> млн. лева.</w:t>
      </w:r>
    </w:p>
    <w:p w:rsidR="00A40757" w:rsidRPr="007C3E77" w:rsidRDefault="00A40757" w:rsidP="00A40757">
      <w:pPr>
        <w:pStyle w:val="BodyTextIndent"/>
        <w:ind w:left="0" w:firstLine="567"/>
        <w:jc w:val="both"/>
        <w:rPr>
          <w:bCs/>
        </w:rPr>
      </w:pPr>
      <w:r w:rsidRPr="007C3E77">
        <w:rPr>
          <w:bCs/>
        </w:rPr>
        <w:t xml:space="preserve">Общата сума от други приходи (корективи за касови постъпления, отчетени за дължими суми от бенефициенти), отчетени по сметката за средства от ЕС на НФ, са в размер на </w:t>
      </w:r>
      <w:r w:rsidRPr="00B93C25">
        <w:rPr>
          <w:bCs/>
        </w:rPr>
        <w:t>0</w:t>
      </w:r>
      <w:r>
        <w:rPr>
          <w:bCs/>
        </w:rPr>
        <w:t>,</w:t>
      </w:r>
      <w:r w:rsidRPr="00B93C25">
        <w:rPr>
          <w:bCs/>
        </w:rPr>
        <w:t>2</w:t>
      </w:r>
      <w:r w:rsidRPr="007C3E77">
        <w:rPr>
          <w:bCs/>
        </w:rPr>
        <w:t xml:space="preserve"> млн. лева.</w:t>
      </w:r>
    </w:p>
    <w:p w:rsidR="00852345" w:rsidRDefault="00852345" w:rsidP="00A40757">
      <w:pPr>
        <w:pStyle w:val="BodyTextIndent"/>
        <w:spacing w:before="120"/>
        <w:ind w:left="0" w:firstLine="567"/>
        <w:jc w:val="both"/>
        <w:rPr>
          <w:b/>
          <w:bCs/>
        </w:rPr>
      </w:pPr>
    </w:p>
    <w:p w:rsidR="00A40757" w:rsidRPr="00293ACA" w:rsidRDefault="00A40757" w:rsidP="00A40757">
      <w:pPr>
        <w:pStyle w:val="BodyTextIndent"/>
        <w:spacing w:before="120"/>
        <w:ind w:left="0" w:firstLine="567"/>
        <w:jc w:val="both"/>
        <w:rPr>
          <w:b/>
          <w:bCs/>
        </w:rPr>
      </w:pPr>
      <w:r w:rsidRPr="00293ACA">
        <w:rPr>
          <w:b/>
          <w:bCs/>
        </w:rPr>
        <w:t>Структурни и Кохезионен фондове (СКФ) 2007 – 2013 г.</w:t>
      </w:r>
    </w:p>
    <w:p w:rsidR="00A40757" w:rsidRPr="00A74D31" w:rsidRDefault="00A40757" w:rsidP="00852345">
      <w:pPr>
        <w:pStyle w:val="BodyTextIndent"/>
        <w:spacing w:before="240"/>
        <w:ind w:left="0" w:firstLine="567"/>
        <w:jc w:val="both"/>
        <w:rPr>
          <w:bCs/>
          <w:color w:val="0070C0"/>
        </w:rPr>
      </w:pPr>
      <w:r w:rsidRPr="00293ACA">
        <w:rPr>
          <w:bCs/>
        </w:rPr>
        <w:t>През отчетния период са отчетени (нето) възстановени суми от бенефициенти на стойност на 20</w:t>
      </w:r>
      <w:r>
        <w:rPr>
          <w:bCs/>
        </w:rPr>
        <w:t>,</w:t>
      </w:r>
      <w:r w:rsidRPr="00293ACA">
        <w:rPr>
          <w:bCs/>
        </w:rPr>
        <w:t>4 млн. лв.</w:t>
      </w:r>
      <w:r w:rsidRPr="00293ACA">
        <w:t xml:space="preserve"> </w:t>
      </w:r>
    </w:p>
    <w:p w:rsidR="00A40757" w:rsidRPr="00DF7248" w:rsidRDefault="00A40757" w:rsidP="00852345">
      <w:pPr>
        <w:pStyle w:val="BodyTextIndent"/>
        <w:spacing w:before="240"/>
        <w:ind w:left="0" w:firstLine="567"/>
        <w:jc w:val="both"/>
        <w:rPr>
          <w:b/>
          <w:bCs/>
        </w:rPr>
      </w:pPr>
      <w:r w:rsidRPr="00A74D31">
        <w:rPr>
          <w:bCs/>
          <w:color w:val="0070C0"/>
        </w:rPr>
        <w:t xml:space="preserve"> </w:t>
      </w:r>
      <w:r w:rsidRPr="00DF7248">
        <w:rPr>
          <w:b/>
          <w:bCs/>
        </w:rPr>
        <w:t>Европейски фонд за регионално развитие, Европейски социален фонд (включително Инициативата за младежка заетост), Кохезионния фонд и ФЕПНЛ на Европейския съюз за финансова рамка 2014 – 2020 г.</w:t>
      </w:r>
    </w:p>
    <w:p w:rsidR="00A40757" w:rsidRPr="00DF7248" w:rsidRDefault="00A40757" w:rsidP="00A40757">
      <w:pPr>
        <w:pStyle w:val="BodyTextIndent"/>
        <w:ind w:left="0" w:firstLine="567"/>
        <w:jc w:val="both"/>
        <w:rPr>
          <w:bCs/>
        </w:rPr>
      </w:pPr>
      <w:r w:rsidRPr="00DF7248">
        <w:rPr>
          <w:bCs/>
        </w:rPr>
        <w:tab/>
        <w:t>Общо получените средства (нето) от ЕК за периода са в размер на 356</w:t>
      </w:r>
      <w:r>
        <w:rPr>
          <w:bCs/>
        </w:rPr>
        <w:t>,</w:t>
      </w:r>
      <w:r w:rsidRPr="00DF7248">
        <w:rPr>
          <w:bCs/>
        </w:rPr>
        <w:t>4 млн. лв. (в тях влизат и получените приходи по REACT-EU в размер на 118</w:t>
      </w:r>
      <w:r>
        <w:rPr>
          <w:bCs/>
        </w:rPr>
        <w:t>,</w:t>
      </w:r>
      <w:r w:rsidRPr="00DF7248">
        <w:rPr>
          <w:bCs/>
        </w:rPr>
        <w:t>9 млн. лева) и са разпределени както следва:</w:t>
      </w:r>
    </w:p>
    <w:p w:rsidR="00A40757" w:rsidRPr="00DF7248" w:rsidRDefault="00A40757" w:rsidP="00852345">
      <w:pPr>
        <w:pStyle w:val="BodyTextIndent"/>
        <w:numPr>
          <w:ilvl w:val="0"/>
          <w:numId w:val="12"/>
        </w:numPr>
        <w:tabs>
          <w:tab w:val="clear" w:pos="1101"/>
          <w:tab w:val="num" w:pos="786"/>
        </w:tabs>
        <w:spacing w:before="120" w:after="0"/>
        <w:ind w:left="0" w:firstLine="567"/>
        <w:jc w:val="both"/>
        <w:rPr>
          <w:bCs/>
        </w:rPr>
      </w:pPr>
      <w:r w:rsidRPr="00DF7248">
        <w:rPr>
          <w:bCs/>
        </w:rPr>
        <w:t>ОП „Иновации и конкурентоспособност” – 123</w:t>
      </w:r>
      <w:r>
        <w:rPr>
          <w:bCs/>
        </w:rPr>
        <w:t>,</w:t>
      </w:r>
      <w:r w:rsidRPr="00DF7248">
        <w:rPr>
          <w:bCs/>
        </w:rPr>
        <w:t>3 млн. лв. (вкл. REACT-EU в размер на 82</w:t>
      </w:r>
      <w:r>
        <w:rPr>
          <w:bCs/>
        </w:rPr>
        <w:t>,</w:t>
      </w:r>
      <w:r w:rsidRPr="00DF7248">
        <w:rPr>
          <w:bCs/>
        </w:rPr>
        <w:t xml:space="preserve">0 млн. лева);  </w:t>
      </w:r>
    </w:p>
    <w:p w:rsidR="00A40757" w:rsidRPr="00DF7248" w:rsidRDefault="00A40757" w:rsidP="00852345">
      <w:pPr>
        <w:pStyle w:val="BodyTextIndent"/>
        <w:numPr>
          <w:ilvl w:val="0"/>
          <w:numId w:val="12"/>
        </w:numPr>
        <w:tabs>
          <w:tab w:val="clear" w:pos="1101"/>
          <w:tab w:val="num" w:pos="786"/>
        </w:tabs>
        <w:spacing w:before="120" w:after="0"/>
        <w:ind w:left="0" w:firstLine="567"/>
        <w:jc w:val="both"/>
        <w:rPr>
          <w:bCs/>
        </w:rPr>
      </w:pPr>
      <w:r w:rsidRPr="00DF7248">
        <w:rPr>
          <w:bCs/>
        </w:rPr>
        <w:t>ОП „Добро управление” – 36</w:t>
      </w:r>
      <w:r>
        <w:rPr>
          <w:bCs/>
        </w:rPr>
        <w:t>,</w:t>
      </w:r>
      <w:r w:rsidRPr="00DF7248">
        <w:rPr>
          <w:bCs/>
        </w:rPr>
        <w:t>7 млн. лв.;</w:t>
      </w:r>
    </w:p>
    <w:p w:rsidR="00A40757" w:rsidRPr="00DF7248" w:rsidRDefault="00A40757" w:rsidP="00852345">
      <w:pPr>
        <w:pStyle w:val="BodyTextIndent"/>
        <w:numPr>
          <w:ilvl w:val="0"/>
          <w:numId w:val="12"/>
        </w:numPr>
        <w:tabs>
          <w:tab w:val="clear" w:pos="1101"/>
          <w:tab w:val="num" w:pos="786"/>
        </w:tabs>
        <w:spacing w:before="120" w:after="0"/>
        <w:ind w:left="0" w:firstLine="567"/>
        <w:jc w:val="both"/>
        <w:rPr>
          <w:bCs/>
        </w:rPr>
      </w:pPr>
      <w:r w:rsidRPr="00DF7248">
        <w:rPr>
          <w:bCs/>
        </w:rPr>
        <w:t>ОП „Транспорт и транспортна инфраструктура” – 14</w:t>
      </w:r>
      <w:r>
        <w:rPr>
          <w:bCs/>
        </w:rPr>
        <w:t>,</w:t>
      </w:r>
      <w:r w:rsidRPr="00DF7248">
        <w:rPr>
          <w:bCs/>
        </w:rPr>
        <w:t>0 млн. лв.;</w:t>
      </w:r>
    </w:p>
    <w:p w:rsidR="00A40757" w:rsidRPr="00973A87" w:rsidRDefault="00A40757" w:rsidP="00852345">
      <w:pPr>
        <w:pStyle w:val="BodyTextIndent"/>
        <w:numPr>
          <w:ilvl w:val="0"/>
          <w:numId w:val="12"/>
        </w:numPr>
        <w:tabs>
          <w:tab w:val="clear" w:pos="1101"/>
          <w:tab w:val="num" w:pos="786"/>
        </w:tabs>
        <w:spacing w:before="120" w:after="0"/>
        <w:ind w:left="0" w:firstLine="567"/>
        <w:jc w:val="both"/>
        <w:rPr>
          <w:bCs/>
        </w:rPr>
      </w:pPr>
      <w:r w:rsidRPr="00973A87">
        <w:rPr>
          <w:bCs/>
        </w:rPr>
        <w:t xml:space="preserve">ОП „Околна среда 2014 – 2020 г.“ – </w:t>
      </w:r>
      <w:r w:rsidRPr="00B93C25">
        <w:rPr>
          <w:bCs/>
        </w:rPr>
        <w:t>60</w:t>
      </w:r>
      <w:r>
        <w:rPr>
          <w:bCs/>
        </w:rPr>
        <w:t>,</w:t>
      </w:r>
      <w:r w:rsidRPr="00B93C25">
        <w:rPr>
          <w:bCs/>
        </w:rPr>
        <w:t>6</w:t>
      </w:r>
      <w:r w:rsidRPr="00973A87">
        <w:rPr>
          <w:bCs/>
        </w:rPr>
        <w:t xml:space="preserve"> млн. лв.;</w:t>
      </w:r>
    </w:p>
    <w:p w:rsidR="00A40757" w:rsidRPr="002B6CCE" w:rsidRDefault="00A40757" w:rsidP="00852345">
      <w:pPr>
        <w:pStyle w:val="BodyTextIndent"/>
        <w:numPr>
          <w:ilvl w:val="0"/>
          <w:numId w:val="12"/>
        </w:numPr>
        <w:tabs>
          <w:tab w:val="clear" w:pos="1101"/>
          <w:tab w:val="num" w:pos="786"/>
        </w:tabs>
        <w:spacing w:before="120" w:after="0"/>
        <w:ind w:left="0" w:firstLine="567"/>
        <w:jc w:val="both"/>
        <w:rPr>
          <w:bCs/>
        </w:rPr>
      </w:pPr>
      <w:r w:rsidRPr="002B6CCE">
        <w:rPr>
          <w:bCs/>
        </w:rPr>
        <w:t xml:space="preserve">ОП „Развитие на човешките ресурси 2014 - 2020 г.” – </w:t>
      </w:r>
      <w:r w:rsidRPr="00B93C25">
        <w:rPr>
          <w:bCs/>
        </w:rPr>
        <w:t>62</w:t>
      </w:r>
      <w:r>
        <w:rPr>
          <w:bCs/>
        </w:rPr>
        <w:t>,</w:t>
      </w:r>
      <w:r w:rsidRPr="002B6CCE">
        <w:rPr>
          <w:bCs/>
        </w:rPr>
        <w:t>8 млн. лв.</w:t>
      </w:r>
      <w:r w:rsidRPr="002B6CCE">
        <w:t xml:space="preserve"> (</w:t>
      </w:r>
      <w:r w:rsidRPr="002B6CCE">
        <w:rPr>
          <w:bCs/>
        </w:rPr>
        <w:t xml:space="preserve">вкл. REACT-EU в размер на </w:t>
      </w:r>
      <w:r w:rsidRPr="00FF5E8F">
        <w:rPr>
          <w:bCs/>
        </w:rPr>
        <w:t>32</w:t>
      </w:r>
      <w:r>
        <w:rPr>
          <w:bCs/>
        </w:rPr>
        <w:t>,</w:t>
      </w:r>
      <w:r w:rsidRPr="00FF5E8F">
        <w:rPr>
          <w:bCs/>
        </w:rPr>
        <w:t>6</w:t>
      </w:r>
      <w:r w:rsidRPr="002B6CCE">
        <w:rPr>
          <w:bCs/>
        </w:rPr>
        <w:t xml:space="preserve"> млн. лева);</w:t>
      </w:r>
    </w:p>
    <w:p w:rsidR="00A40757" w:rsidRPr="00B51AE2" w:rsidRDefault="00A40757" w:rsidP="00852345">
      <w:pPr>
        <w:pStyle w:val="BodyTextIndent"/>
        <w:numPr>
          <w:ilvl w:val="0"/>
          <w:numId w:val="12"/>
        </w:numPr>
        <w:tabs>
          <w:tab w:val="clear" w:pos="1101"/>
          <w:tab w:val="num" w:pos="786"/>
        </w:tabs>
        <w:spacing w:before="120" w:after="0"/>
        <w:ind w:left="0" w:firstLine="567"/>
        <w:jc w:val="both"/>
        <w:rPr>
          <w:bCs/>
        </w:rPr>
      </w:pPr>
      <w:r w:rsidRPr="00B51AE2">
        <w:rPr>
          <w:bCs/>
        </w:rPr>
        <w:t xml:space="preserve">Инициативата за младежка заетост – </w:t>
      </w:r>
      <w:r w:rsidRPr="00B93C25">
        <w:rPr>
          <w:bCs/>
        </w:rPr>
        <w:t>2</w:t>
      </w:r>
      <w:r>
        <w:rPr>
          <w:bCs/>
        </w:rPr>
        <w:t>,</w:t>
      </w:r>
      <w:r w:rsidRPr="00B93C25">
        <w:rPr>
          <w:bCs/>
        </w:rPr>
        <w:t>6</w:t>
      </w:r>
      <w:r w:rsidRPr="00B51AE2">
        <w:rPr>
          <w:bCs/>
        </w:rPr>
        <w:t xml:space="preserve"> млн. лв.;</w:t>
      </w:r>
    </w:p>
    <w:p w:rsidR="00A40757" w:rsidRPr="00A74D31" w:rsidRDefault="00A40757" w:rsidP="00852345">
      <w:pPr>
        <w:pStyle w:val="BodyTextIndent"/>
        <w:numPr>
          <w:ilvl w:val="0"/>
          <w:numId w:val="12"/>
        </w:numPr>
        <w:tabs>
          <w:tab w:val="clear" w:pos="1101"/>
          <w:tab w:val="num" w:pos="786"/>
        </w:tabs>
        <w:spacing w:before="120" w:after="0"/>
        <w:ind w:left="0" w:firstLine="567"/>
        <w:jc w:val="both"/>
        <w:rPr>
          <w:bCs/>
          <w:color w:val="0070C0"/>
        </w:rPr>
      </w:pPr>
      <w:r w:rsidRPr="00B51AE2">
        <w:rPr>
          <w:bCs/>
        </w:rPr>
        <w:t xml:space="preserve">ОП „Региони в растеж“ – </w:t>
      </w:r>
      <w:r w:rsidRPr="00B93C25">
        <w:rPr>
          <w:bCs/>
        </w:rPr>
        <w:t>32</w:t>
      </w:r>
      <w:r>
        <w:rPr>
          <w:bCs/>
        </w:rPr>
        <w:t>,</w:t>
      </w:r>
      <w:r w:rsidRPr="00B93C25">
        <w:rPr>
          <w:bCs/>
        </w:rPr>
        <w:t>6</w:t>
      </w:r>
      <w:r w:rsidRPr="00B51AE2">
        <w:rPr>
          <w:bCs/>
        </w:rPr>
        <w:t xml:space="preserve"> млн. лв. (по REACT-EU няма възстановени средства);</w:t>
      </w:r>
    </w:p>
    <w:p w:rsidR="00A40757" w:rsidRPr="00D06937" w:rsidRDefault="00A40757" w:rsidP="00852345">
      <w:pPr>
        <w:pStyle w:val="BodyTextIndent"/>
        <w:numPr>
          <w:ilvl w:val="0"/>
          <w:numId w:val="12"/>
        </w:numPr>
        <w:tabs>
          <w:tab w:val="clear" w:pos="1101"/>
          <w:tab w:val="num" w:pos="786"/>
        </w:tabs>
        <w:spacing w:before="120" w:after="0"/>
        <w:ind w:left="0" w:firstLine="567"/>
        <w:jc w:val="both"/>
        <w:rPr>
          <w:bCs/>
        </w:rPr>
      </w:pPr>
      <w:r w:rsidRPr="00B51AE2">
        <w:rPr>
          <w:bCs/>
        </w:rPr>
        <w:t>ОП за храни и/или основно материално подпомагане от Фонда за европейско подпомагане на най-нуждаещите се лица в България за периода 2014 – 2020 г. – 4</w:t>
      </w:r>
      <w:r>
        <w:rPr>
          <w:bCs/>
        </w:rPr>
        <w:t>,</w:t>
      </w:r>
      <w:r w:rsidRPr="00B51AE2">
        <w:rPr>
          <w:bCs/>
        </w:rPr>
        <w:t xml:space="preserve">5 млн. лв. </w:t>
      </w:r>
      <w:r w:rsidRPr="00D06937">
        <w:rPr>
          <w:bCs/>
        </w:rPr>
        <w:t>(вкл. REACT-EU в размер на 4,3 млн. лева) и</w:t>
      </w:r>
    </w:p>
    <w:p w:rsidR="00A40757" w:rsidRPr="00E96293" w:rsidRDefault="00A40757" w:rsidP="00A40757">
      <w:pPr>
        <w:pStyle w:val="BodyTextIndent"/>
        <w:numPr>
          <w:ilvl w:val="0"/>
          <w:numId w:val="12"/>
        </w:numPr>
        <w:tabs>
          <w:tab w:val="clear" w:pos="1101"/>
          <w:tab w:val="num" w:pos="786"/>
        </w:tabs>
        <w:spacing w:after="0"/>
        <w:ind w:left="0" w:firstLine="567"/>
        <w:jc w:val="both"/>
        <w:rPr>
          <w:bCs/>
        </w:rPr>
      </w:pPr>
      <w:r w:rsidRPr="00E96293">
        <w:rPr>
          <w:bCs/>
        </w:rPr>
        <w:lastRenderedPageBreak/>
        <w:t>ОП „Наука и образование за интелигентен растеж” – 19</w:t>
      </w:r>
      <w:r>
        <w:rPr>
          <w:bCs/>
        </w:rPr>
        <w:t>,</w:t>
      </w:r>
      <w:r w:rsidRPr="00E96293">
        <w:rPr>
          <w:bCs/>
        </w:rPr>
        <w:t>3 млн. лв. (по REACT-EU няма възстановени средства).</w:t>
      </w:r>
    </w:p>
    <w:p w:rsidR="00A40757" w:rsidRPr="00BC4CED" w:rsidRDefault="00A40757" w:rsidP="00A40757">
      <w:pPr>
        <w:pStyle w:val="BodyTextIndent"/>
        <w:spacing w:before="120"/>
        <w:ind w:left="0" w:firstLine="567"/>
        <w:jc w:val="both"/>
        <w:rPr>
          <w:bCs/>
        </w:rPr>
      </w:pPr>
      <w:r w:rsidRPr="00A74D31">
        <w:rPr>
          <w:bCs/>
          <w:color w:val="0070C0"/>
        </w:rPr>
        <w:t xml:space="preserve"> </w:t>
      </w:r>
      <w:r w:rsidRPr="00BC4CED">
        <w:rPr>
          <w:bCs/>
        </w:rPr>
        <w:t xml:space="preserve">Направените разходи (нето) по Оперативни програми и трансферите (нето) към бюджетни организации и операции с активи към края на </w:t>
      </w:r>
      <w:r>
        <w:rPr>
          <w:bCs/>
        </w:rPr>
        <w:t xml:space="preserve">първото тримесечие на </w:t>
      </w:r>
      <w:r w:rsidRPr="00BC4CED">
        <w:rPr>
          <w:bCs/>
        </w:rPr>
        <w:t>годината са на стойност 477</w:t>
      </w:r>
      <w:r>
        <w:rPr>
          <w:bCs/>
        </w:rPr>
        <w:t>,</w:t>
      </w:r>
      <w:r w:rsidRPr="00BC4CED">
        <w:rPr>
          <w:bCs/>
        </w:rPr>
        <w:t>4 млн. лв. (в тях влизат и извършените разходи по REACT-EU в размер на 103</w:t>
      </w:r>
      <w:r>
        <w:rPr>
          <w:bCs/>
        </w:rPr>
        <w:t>,</w:t>
      </w:r>
      <w:r w:rsidRPr="00BC4CED">
        <w:rPr>
          <w:bCs/>
        </w:rPr>
        <w:t>8 млн. лева), като разпределението по Оперативни програми е следното:</w:t>
      </w:r>
    </w:p>
    <w:p w:rsidR="00A40757" w:rsidRPr="00BE2EDA" w:rsidRDefault="00A40757" w:rsidP="00A40757">
      <w:pPr>
        <w:pStyle w:val="BodyTextIndent"/>
        <w:numPr>
          <w:ilvl w:val="0"/>
          <w:numId w:val="12"/>
        </w:numPr>
        <w:tabs>
          <w:tab w:val="clear" w:pos="1101"/>
          <w:tab w:val="num" w:pos="786"/>
        </w:tabs>
        <w:spacing w:after="0"/>
        <w:ind w:left="0" w:firstLine="567"/>
        <w:jc w:val="both"/>
        <w:rPr>
          <w:bCs/>
        </w:rPr>
      </w:pPr>
      <w:r w:rsidRPr="00BE2EDA">
        <w:rPr>
          <w:bCs/>
        </w:rPr>
        <w:t>ОП „Развитие на човешките ресурси 2014 - 2020 г.” – 91</w:t>
      </w:r>
      <w:r>
        <w:rPr>
          <w:bCs/>
        </w:rPr>
        <w:t>,</w:t>
      </w:r>
      <w:r w:rsidRPr="00BE2EDA">
        <w:rPr>
          <w:bCs/>
        </w:rPr>
        <w:t>7 млн. лв.</w:t>
      </w:r>
      <w:r w:rsidRPr="00BE2EDA">
        <w:t xml:space="preserve"> </w:t>
      </w:r>
      <w:r w:rsidRPr="00BE2EDA">
        <w:rPr>
          <w:bCs/>
        </w:rPr>
        <w:t>(вкл. REACT-EU в размер на 59</w:t>
      </w:r>
      <w:r>
        <w:rPr>
          <w:bCs/>
        </w:rPr>
        <w:t>,</w:t>
      </w:r>
      <w:r w:rsidRPr="00BE2EDA">
        <w:rPr>
          <w:bCs/>
        </w:rPr>
        <w:t>5 млн. лева);</w:t>
      </w:r>
    </w:p>
    <w:p w:rsidR="00A40757" w:rsidRPr="00BE2EDA" w:rsidRDefault="00A40757" w:rsidP="00A40757">
      <w:pPr>
        <w:pStyle w:val="BodyTextIndent"/>
        <w:numPr>
          <w:ilvl w:val="0"/>
          <w:numId w:val="12"/>
        </w:numPr>
        <w:tabs>
          <w:tab w:val="clear" w:pos="1101"/>
          <w:tab w:val="num" w:pos="786"/>
        </w:tabs>
        <w:spacing w:after="0"/>
        <w:ind w:left="0" w:firstLine="567"/>
        <w:jc w:val="both"/>
        <w:rPr>
          <w:bCs/>
        </w:rPr>
      </w:pPr>
      <w:r w:rsidRPr="00BE2EDA">
        <w:rPr>
          <w:bCs/>
        </w:rPr>
        <w:t>Инициативата за младежка заетост – 3</w:t>
      </w:r>
      <w:r>
        <w:rPr>
          <w:bCs/>
        </w:rPr>
        <w:t>,</w:t>
      </w:r>
      <w:r w:rsidRPr="00BE2EDA">
        <w:rPr>
          <w:bCs/>
        </w:rPr>
        <w:t>5 млн. лв.;</w:t>
      </w:r>
    </w:p>
    <w:p w:rsidR="00A40757" w:rsidRPr="00D778F2" w:rsidRDefault="00A40757" w:rsidP="00A40757">
      <w:pPr>
        <w:pStyle w:val="BodyTextIndent"/>
        <w:numPr>
          <w:ilvl w:val="0"/>
          <w:numId w:val="12"/>
        </w:numPr>
        <w:tabs>
          <w:tab w:val="clear" w:pos="1101"/>
          <w:tab w:val="num" w:pos="786"/>
        </w:tabs>
        <w:spacing w:after="0"/>
        <w:ind w:left="0" w:firstLine="567"/>
        <w:jc w:val="both"/>
        <w:rPr>
          <w:bCs/>
        </w:rPr>
      </w:pPr>
      <w:r w:rsidRPr="00BE2EDA">
        <w:rPr>
          <w:bCs/>
        </w:rPr>
        <w:t xml:space="preserve">ОП за храни и/или основно материално подпомагане от Фонда за европейско </w:t>
      </w:r>
      <w:r w:rsidRPr="00D778F2">
        <w:rPr>
          <w:bCs/>
        </w:rPr>
        <w:t>подпомагане на най-нуждаещите се лица в България за периода 2014 – 2020 г. – 9,1 млн. лева (вкл. REACT-EU в размер на 9,5 млн. лева);</w:t>
      </w:r>
    </w:p>
    <w:p w:rsidR="00A40757" w:rsidRPr="00D778F2" w:rsidRDefault="00A40757" w:rsidP="00A40757">
      <w:pPr>
        <w:pStyle w:val="BodyTextIndent"/>
        <w:numPr>
          <w:ilvl w:val="0"/>
          <w:numId w:val="12"/>
        </w:numPr>
        <w:tabs>
          <w:tab w:val="clear" w:pos="1101"/>
          <w:tab w:val="num" w:pos="786"/>
        </w:tabs>
        <w:spacing w:after="0"/>
        <w:ind w:left="0" w:firstLine="567"/>
        <w:jc w:val="both"/>
        <w:rPr>
          <w:bCs/>
        </w:rPr>
      </w:pPr>
      <w:r w:rsidRPr="00D778F2">
        <w:rPr>
          <w:bCs/>
        </w:rPr>
        <w:t>ОП „Иновации и конкурентоспособност” – 113,1 млн. лв. (вкл. REACT-EU в размер на 34,6 млн. лева);</w:t>
      </w:r>
    </w:p>
    <w:p w:rsidR="00A40757" w:rsidRPr="00BE2EDA" w:rsidRDefault="00A40757" w:rsidP="00A40757">
      <w:pPr>
        <w:pStyle w:val="BodyTextIndent"/>
        <w:numPr>
          <w:ilvl w:val="0"/>
          <w:numId w:val="12"/>
        </w:numPr>
        <w:tabs>
          <w:tab w:val="clear" w:pos="1101"/>
          <w:tab w:val="num" w:pos="786"/>
        </w:tabs>
        <w:spacing w:after="0"/>
        <w:ind w:left="0" w:firstLine="567"/>
        <w:jc w:val="both"/>
        <w:rPr>
          <w:bCs/>
        </w:rPr>
      </w:pPr>
      <w:r w:rsidRPr="00BE2EDA">
        <w:rPr>
          <w:bCs/>
        </w:rPr>
        <w:t>ОП „Добро управление” – 23</w:t>
      </w:r>
      <w:r>
        <w:rPr>
          <w:bCs/>
        </w:rPr>
        <w:t>,</w:t>
      </w:r>
      <w:r w:rsidRPr="00BE2EDA">
        <w:rPr>
          <w:bCs/>
        </w:rPr>
        <w:t>2 млн. лв.;</w:t>
      </w:r>
    </w:p>
    <w:p w:rsidR="00A40757" w:rsidRPr="00A65255" w:rsidRDefault="00A40757" w:rsidP="00A40757">
      <w:pPr>
        <w:pStyle w:val="BodyTextIndent"/>
        <w:numPr>
          <w:ilvl w:val="0"/>
          <w:numId w:val="12"/>
        </w:numPr>
        <w:tabs>
          <w:tab w:val="clear" w:pos="1101"/>
          <w:tab w:val="num" w:pos="786"/>
        </w:tabs>
        <w:spacing w:after="0"/>
        <w:ind w:left="0" w:firstLine="567"/>
        <w:jc w:val="both"/>
        <w:rPr>
          <w:bCs/>
        </w:rPr>
      </w:pPr>
      <w:r w:rsidRPr="00A65255">
        <w:rPr>
          <w:bCs/>
        </w:rPr>
        <w:t>ОП „Региони в растеж“ – 33</w:t>
      </w:r>
      <w:r>
        <w:rPr>
          <w:bCs/>
        </w:rPr>
        <w:t>,</w:t>
      </w:r>
      <w:r w:rsidRPr="00A65255">
        <w:rPr>
          <w:bCs/>
        </w:rPr>
        <w:t>5 млн. лв.;</w:t>
      </w:r>
    </w:p>
    <w:p w:rsidR="00A40757" w:rsidRPr="00A65255" w:rsidRDefault="00A40757" w:rsidP="00A40757">
      <w:pPr>
        <w:pStyle w:val="BodyTextIndent"/>
        <w:numPr>
          <w:ilvl w:val="0"/>
          <w:numId w:val="12"/>
        </w:numPr>
        <w:tabs>
          <w:tab w:val="clear" w:pos="1101"/>
          <w:tab w:val="num" w:pos="786"/>
        </w:tabs>
        <w:spacing w:after="0"/>
        <w:ind w:left="0" w:firstLine="567"/>
        <w:jc w:val="both"/>
        <w:rPr>
          <w:bCs/>
        </w:rPr>
      </w:pPr>
      <w:r w:rsidRPr="00A65255">
        <w:rPr>
          <w:bCs/>
        </w:rPr>
        <w:t>ОП „Транспорт и транспортна инфраструктура” – 56</w:t>
      </w:r>
      <w:r>
        <w:rPr>
          <w:bCs/>
        </w:rPr>
        <w:t>,</w:t>
      </w:r>
      <w:r w:rsidRPr="00A65255">
        <w:rPr>
          <w:bCs/>
        </w:rPr>
        <w:t>9 млн. лв.;</w:t>
      </w:r>
    </w:p>
    <w:p w:rsidR="00A40757" w:rsidRPr="00A65255" w:rsidRDefault="00A40757" w:rsidP="00A40757">
      <w:pPr>
        <w:pStyle w:val="BodyTextIndent"/>
        <w:numPr>
          <w:ilvl w:val="0"/>
          <w:numId w:val="12"/>
        </w:numPr>
        <w:tabs>
          <w:tab w:val="clear" w:pos="1101"/>
          <w:tab w:val="num" w:pos="786"/>
        </w:tabs>
        <w:spacing w:after="0"/>
        <w:ind w:left="0" w:firstLine="567"/>
        <w:jc w:val="both"/>
        <w:rPr>
          <w:bCs/>
        </w:rPr>
      </w:pPr>
      <w:r w:rsidRPr="00A65255">
        <w:rPr>
          <w:bCs/>
        </w:rPr>
        <w:t>ОП „Наука и образование за интелигентен растеж” – 32</w:t>
      </w:r>
      <w:r>
        <w:rPr>
          <w:bCs/>
        </w:rPr>
        <w:t>,6</w:t>
      </w:r>
      <w:r w:rsidRPr="00A65255">
        <w:rPr>
          <w:bCs/>
        </w:rPr>
        <w:t xml:space="preserve"> млн. лв. (вкл. REACT-EU в размер на 0</w:t>
      </w:r>
      <w:r>
        <w:rPr>
          <w:bCs/>
        </w:rPr>
        <w:t>,</w:t>
      </w:r>
      <w:r w:rsidRPr="00A65255">
        <w:rPr>
          <w:bCs/>
        </w:rPr>
        <w:t>2 млн. лева) и</w:t>
      </w:r>
    </w:p>
    <w:p w:rsidR="00A40757" w:rsidRDefault="00A40757" w:rsidP="00A40757">
      <w:pPr>
        <w:pStyle w:val="BodyTextIndent"/>
        <w:numPr>
          <w:ilvl w:val="0"/>
          <w:numId w:val="12"/>
        </w:numPr>
        <w:tabs>
          <w:tab w:val="clear" w:pos="1101"/>
          <w:tab w:val="num" w:pos="786"/>
        </w:tabs>
        <w:spacing w:after="0"/>
        <w:ind w:left="0" w:firstLine="567"/>
        <w:jc w:val="both"/>
        <w:rPr>
          <w:bCs/>
        </w:rPr>
      </w:pPr>
      <w:r w:rsidRPr="00A65255">
        <w:rPr>
          <w:bCs/>
        </w:rPr>
        <w:t>ОП „Околна среда 2014 – 2020 г.“ – 113</w:t>
      </w:r>
      <w:r>
        <w:rPr>
          <w:bCs/>
        </w:rPr>
        <w:t>,8</w:t>
      </w:r>
      <w:r w:rsidRPr="00A65255">
        <w:rPr>
          <w:bCs/>
        </w:rPr>
        <w:t xml:space="preserve"> млн. лв.</w:t>
      </w:r>
    </w:p>
    <w:p w:rsidR="00A40757" w:rsidRPr="000A2257" w:rsidRDefault="00A40757" w:rsidP="00A40757">
      <w:pPr>
        <w:pStyle w:val="BodyTextIndent"/>
        <w:ind w:left="0" w:firstLine="567"/>
        <w:jc w:val="both"/>
        <w:rPr>
          <w:bCs/>
        </w:rPr>
      </w:pPr>
      <w:r w:rsidRPr="000A2257">
        <w:rPr>
          <w:bCs/>
        </w:rPr>
        <w:t>Предоставеното авансов</w:t>
      </w:r>
      <w:r>
        <w:rPr>
          <w:bCs/>
        </w:rPr>
        <w:t>о финансиране по реда на ДДС 6/</w:t>
      </w:r>
      <w:r w:rsidRPr="000A2257">
        <w:rPr>
          <w:bCs/>
        </w:rPr>
        <w:t xml:space="preserve">2011 г. към бюджетни организации за периода е на стойност </w:t>
      </w:r>
      <w:r w:rsidRPr="00B93C25">
        <w:rPr>
          <w:bCs/>
        </w:rPr>
        <w:t>1</w:t>
      </w:r>
      <w:r>
        <w:rPr>
          <w:bCs/>
        </w:rPr>
        <w:t>,</w:t>
      </w:r>
      <w:r w:rsidRPr="00B93C25">
        <w:rPr>
          <w:bCs/>
        </w:rPr>
        <w:t>0</w:t>
      </w:r>
      <w:r w:rsidRPr="000A2257">
        <w:rPr>
          <w:bCs/>
        </w:rPr>
        <w:t xml:space="preserve"> млн. лева, а възстановените средства – </w:t>
      </w:r>
      <w:r w:rsidRPr="00B93C25">
        <w:rPr>
          <w:bCs/>
        </w:rPr>
        <w:t>64</w:t>
      </w:r>
      <w:r>
        <w:rPr>
          <w:bCs/>
        </w:rPr>
        <w:t>,</w:t>
      </w:r>
      <w:r w:rsidRPr="00B93C25">
        <w:rPr>
          <w:bCs/>
        </w:rPr>
        <w:t>4</w:t>
      </w:r>
      <w:r w:rsidRPr="000A2257">
        <w:rPr>
          <w:bCs/>
        </w:rPr>
        <w:t xml:space="preserve"> млн. лева.</w:t>
      </w:r>
    </w:p>
    <w:p w:rsidR="00A40757" w:rsidRPr="00B93C25" w:rsidRDefault="00A40757" w:rsidP="00A40757">
      <w:pPr>
        <w:pStyle w:val="BodyTextIndent"/>
        <w:ind w:left="0" w:firstLine="567"/>
        <w:jc w:val="both"/>
        <w:rPr>
          <w:bCs/>
        </w:rPr>
      </w:pPr>
      <w:r w:rsidRPr="000A2257">
        <w:t xml:space="preserve">В сумата </w:t>
      </w:r>
      <w:r w:rsidRPr="00752B8E">
        <w:t>на предоставеното авансово финансиране по реда на ДДС6/2011 г. е включена и предоставена възмездна финансова помощ (нето) в размер на (6</w:t>
      </w:r>
      <w:r>
        <w:t>,</w:t>
      </w:r>
      <w:r w:rsidRPr="00752B8E">
        <w:t>6 млн. лева) на ОП „Транспорт и транспортна инфраструктура” (6</w:t>
      </w:r>
      <w:r>
        <w:t>,</w:t>
      </w:r>
      <w:r w:rsidRPr="00752B8E">
        <w:t>3 млн. лева), ОП "Иновации и конкуре</w:t>
      </w:r>
      <w:r>
        <w:t>нтоспособност" (0,</w:t>
      </w:r>
      <w:r w:rsidRPr="00B93C25">
        <w:t>3</w:t>
      </w:r>
      <w:r>
        <w:t xml:space="preserve"> млн. лева).</w:t>
      </w:r>
      <w:r w:rsidRPr="00B24E92">
        <w:t xml:space="preserve"> </w:t>
      </w:r>
    </w:p>
    <w:p w:rsidR="00A40757" w:rsidRPr="00B45550" w:rsidRDefault="00A40757" w:rsidP="00A40757">
      <w:pPr>
        <w:pStyle w:val="BodyTextIndent"/>
        <w:ind w:left="0" w:firstLine="567"/>
        <w:jc w:val="both"/>
        <w:rPr>
          <w:bCs/>
          <w:highlight w:val="yellow"/>
        </w:rPr>
      </w:pPr>
      <w:r w:rsidRPr="00B24E92">
        <w:rPr>
          <w:bCs/>
        </w:rPr>
        <w:t xml:space="preserve">Изплатените </w:t>
      </w:r>
      <w:r w:rsidRPr="00B45550">
        <w:rPr>
          <w:bCs/>
        </w:rPr>
        <w:t>средства от оперативните програми за мерките за минимизиране на отрицателните последици от епидемичното разпространение на COVD-19 през отчетния период са в размер на 131</w:t>
      </w:r>
      <w:r>
        <w:rPr>
          <w:bCs/>
        </w:rPr>
        <w:t>,</w:t>
      </w:r>
      <w:r w:rsidRPr="00B45550">
        <w:rPr>
          <w:bCs/>
        </w:rPr>
        <w:t>0 млн. лева.</w:t>
      </w:r>
    </w:p>
    <w:p w:rsidR="00A40757" w:rsidRPr="005B6CE0" w:rsidRDefault="00A40757" w:rsidP="00A40757">
      <w:pPr>
        <w:pStyle w:val="BodyTextIndent"/>
        <w:spacing w:before="120"/>
        <w:ind w:left="0" w:firstLine="567"/>
        <w:jc w:val="both"/>
        <w:rPr>
          <w:b/>
          <w:bCs/>
        </w:rPr>
      </w:pPr>
      <w:r w:rsidRPr="005B6CE0">
        <w:rPr>
          <w:b/>
          <w:bCs/>
        </w:rPr>
        <w:t>Програма ФАР и Преходен финансов инструмент</w:t>
      </w:r>
    </w:p>
    <w:p w:rsidR="00A40757" w:rsidRPr="005B6CE0" w:rsidRDefault="00A40757" w:rsidP="00A40757">
      <w:pPr>
        <w:pStyle w:val="BodyTextIndent"/>
        <w:ind w:left="0" w:firstLine="567"/>
        <w:jc w:val="both"/>
        <w:rPr>
          <w:bCs/>
        </w:rPr>
      </w:pPr>
      <w:r w:rsidRPr="005B6CE0">
        <w:rPr>
          <w:bCs/>
        </w:rPr>
        <w:t>През отчетния период са възстановени суми от бенефициенти на стойност 0</w:t>
      </w:r>
      <w:r>
        <w:rPr>
          <w:bCs/>
        </w:rPr>
        <w:t>,</w:t>
      </w:r>
      <w:r w:rsidRPr="005B6CE0">
        <w:rPr>
          <w:bCs/>
        </w:rPr>
        <w:t xml:space="preserve">001 млн. лева. </w:t>
      </w:r>
    </w:p>
    <w:p w:rsidR="00A40757" w:rsidRPr="005B6CE0" w:rsidRDefault="00A40757" w:rsidP="00A40757">
      <w:pPr>
        <w:pStyle w:val="BodyTextIndent"/>
        <w:spacing w:before="120"/>
        <w:ind w:left="0" w:firstLine="567"/>
        <w:jc w:val="both"/>
        <w:rPr>
          <w:b/>
          <w:bCs/>
        </w:rPr>
      </w:pPr>
      <w:r w:rsidRPr="005B6CE0">
        <w:rPr>
          <w:b/>
          <w:bCs/>
        </w:rPr>
        <w:t xml:space="preserve">Програма САПАРД </w:t>
      </w:r>
    </w:p>
    <w:p w:rsidR="00A40757" w:rsidRPr="005B6CE0" w:rsidRDefault="00A40757" w:rsidP="00A40757">
      <w:pPr>
        <w:pStyle w:val="BodyTextIndent"/>
        <w:ind w:left="0" w:firstLine="567"/>
        <w:jc w:val="both"/>
        <w:rPr>
          <w:bCs/>
        </w:rPr>
      </w:pPr>
      <w:r w:rsidRPr="005B6CE0">
        <w:rPr>
          <w:bCs/>
        </w:rPr>
        <w:t>През периода са извършени възстановявания от бенефициенти по дългове на стойност 0</w:t>
      </w:r>
      <w:r>
        <w:rPr>
          <w:bCs/>
        </w:rPr>
        <w:t>,</w:t>
      </w:r>
      <w:r w:rsidRPr="005B6CE0">
        <w:rPr>
          <w:bCs/>
        </w:rPr>
        <w:t>002 млн. лв.</w:t>
      </w:r>
    </w:p>
    <w:p w:rsidR="00A40757" w:rsidRPr="00012BB3" w:rsidRDefault="00A40757" w:rsidP="00A40757">
      <w:pPr>
        <w:pStyle w:val="BodyTextIndent"/>
        <w:spacing w:before="120"/>
        <w:ind w:left="0" w:firstLine="567"/>
        <w:jc w:val="both"/>
        <w:rPr>
          <w:b/>
          <w:bCs/>
        </w:rPr>
      </w:pPr>
      <w:r w:rsidRPr="00012BB3">
        <w:rPr>
          <w:b/>
          <w:bCs/>
        </w:rPr>
        <w:t>Двустранни програми за трансгранично сътрудничество по външните граници на Европейския съюз 2014 – 2020 г.</w:t>
      </w:r>
    </w:p>
    <w:p w:rsidR="00A40757" w:rsidRPr="00012BB3" w:rsidRDefault="00A40757" w:rsidP="00A40757">
      <w:pPr>
        <w:pStyle w:val="BodyTextIndent"/>
        <w:ind w:left="0" w:firstLine="567"/>
        <w:jc w:val="both"/>
        <w:rPr>
          <w:bCs/>
        </w:rPr>
      </w:pPr>
      <w:r w:rsidRPr="00012BB3">
        <w:rPr>
          <w:bCs/>
        </w:rPr>
        <w:t>Получените средства към 31.</w:t>
      </w:r>
      <w:r w:rsidRPr="00B93C25">
        <w:rPr>
          <w:bCs/>
        </w:rPr>
        <w:t>03</w:t>
      </w:r>
      <w:r w:rsidRPr="00012BB3">
        <w:rPr>
          <w:bCs/>
        </w:rPr>
        <w:t>.202</w:t>
      </w:r>
      <w:r w:rsidRPr="00B93C25">
        <w:rPr>
          <w:bCs/>
        </w:rPr>
        <w:t>2</w:t>
      </w:r>
      <w:r w:rsidRPr="00012BB3">
        <w:rPr>
          <w:bCs/>
        </w:rPr>
        <w:t xml:space="preserve"> г. са на стойност </w:t>
      </w:r>
      <w:r w:rsidRPr="00B93C25">
        <w:rPr>
          <w:bCs/>
        </w:rPr>
        <w:t>3</w:t>
      </w:r>
      <w:r>
        <w:rPr>
          <w:bCs/>
        </w:rPr>
        <w:t>,</w:t>
      </w:r>
      <w:r w:rsidRPr="00B93C25">
        <w:rPr>
          <w:bCs/>
        </w:rPr>
        <w:t>4</w:t>
      </w:r>
      <w:r w:rsidRPr="00012BB3">
        <w:rPr>
          <w:bCs/>
        </w:rPr>
        <w:t xml:space="preserve"> млн. лв., представляващи възстановени разходи от ЕК и постъпили средства за съфинансиране от страните-партньори, както разпределени към администратори в чужбина за сметка на средствата, получени от страната-партньор.</w:t>
      </w:r>
    </w:p>
    <w:p w:rsidR="00A40757" w:rsidRPr="00A74D31" w:rsidRDefault="00A40757" w:rsidP="00A40757">
      <w:pPr>
        <w:pStyle w:val="BodyTextIndent"/>
        <w:ind w:left="0" w:firstLine="567"/>
        <w:jc w:val="both"/>
        <w:rPr>
          <w:b/>
          <w:bCs/>
          <w:color w:val="0070C0"/>
        </w:rPr>
      </w:pPr>
      <w:r w:rsidRPr="00012BB3">
        <w:rPr>
          <w:bCs/>
        </w:rPr>
        <w:t xml:space="preserve">Сумата на разходите и трансферите (нето) към бюджетни организации в страната, които са направени през същия период по двустранните програми са на обща стойност </w:t>
      </w:r>
      <w:r w:rsidRPr="00B93C25">
        <w:rPr>
          <w:bCs/>
        </w:rPr>
        <w:t>4</w:t>
      </w:r>
      <w:r>
        <w:rPr>
          <w:bCs/>
        </w:rPr>
        <w:t>,</w:t>
      </w:r>
      <w:r w:rsidRPr="00B93C25">
        <w:rPr>
          <w:bCs/>
        </w:rPr>
        <w:t>1</w:t>
      </w:r>
      <w:r w:rsidRPr="00012BB3">
        <w:rPr>
          <w:bCs/>
        </w:rPr>
        <w:t xml:space="preserve"> млн. лв., включително за плащания към бенефициенти в страната, извършени за сметка на полученото финансиране от страната-партньор по тези програми. </w:t>
      </w:r>
    </w:p>
    <w:p w:rsidR="00A40757" w:rsidRPr="00C76A78" w:rsidRDefault="00A40757" w:rsidP="00A40757">
      <w:pPr>
        <w:pStyle w:val="BodyTextIndent"/>
        <w:spacing w:before="120"/>
        <w:ind w:left="0" w:firstLine="567"/>
        <w:jc w:val="both"/>
        <w:rPr>
          <w:b/>
          <w:bCs/>
        </w:rPr>
      </w:pPr>
      <w:r w:rsidRPr="00C76A78">
        <w:rPr>
          <w:b/>
          <w:bCs/>
        </w:rPr>
        <w:t>Финансов механизъм на Европейското икономическо пространство и Норвежки финансов механизъм за периода 2009-2014 г. и 2014-2021 г.</w:t>
      </w:r>
    </w:p>
    <w:p w:rsidR="00A40757" w:rsidRPr="00C76A78" w:rsidRDefault="00A40757" w:rsidP="00A40757">
      <w:pPr>
        <w:pStyle w:val="BodyTextIndent"/>
        <w:ind w:left="0" w:firstLine="567"/>
        <w:jc w:val="both"/>
        <w:rPr>
          <w:bCs/>
        </w:rPr>
      </w:pPr>
      <w:r w:rsidRPr="00C76A78">
        <w:rPr>
          <w:bCs/>
        </w:rPr>
        <w:t xml:space="preserve">Сумата на разходите и трансферите (нето) за периода са на обща стойност </w:t>
      </w:r>
      <w:r w:rsidRPr="00B93C25">
        <w:rPr>
          <w:bCs/>
        </w:rPr>
        <w:t>8</w:t>
      </w:r>
      <w:r>
        <w:rPr>
          <w:bCs/>
        </w:rPr>
        <w:t>,</w:t>
      </w:r>
      <w:r w:rsidRPr="00B93C25">
        <w:rPr>
          <w:bCs/>
        </w:rPr>
        <w:t>6</w:t>
      </w:r>
      <w:r w:rsidRPr="00C76A78">
        <w:rPr>
          <w:bCs/>
        </w:rPr>
        <w:t xml:space="preserve"> млн. лева.</w:t>
      </w:r>
    </w:p>
    <w:p w:rsidR="00251963" w:rsidRPr="00427AC9" w:rsidRDefault="00251963" w:rsidP="006B4AFB">
      <w:pPr>
        <w:pStyle w:val="Heading1"/>
        <w:numPr>
          <w:ilvl w:val="0"/>
          <w:numId w:val="10"/>
        </w:numPr>
        <w:spacing w:before="360"/>
        <w:ind w:left="533" w:right="-108" w:hanging="391"/>
        <w:jc w:val="both"/>
        <w:rPr>
          <w:sz w:val="24"/>
        </w:rPr>
      </w:pPr>
      <w:r w:rsidRPr="00427AC9">
        <w:rPr>
          <w:sz w:val="24"/>
        </w:rPr>
        <w:lastRenderedPageBreak/>
        <w:t>Бюджети на социално и здравно-осигурителните фондове и бюджети по чл. 13, ал. 2 и ал. 3 на Закона за публичните финанси</w:t>
      </w:r>
    </w:p>
    <w:p w:rsidR="007C1025" w:rsidRPr="002763DB" w:rsidRDefault="007C1025" w:rsidP="007C1025">
      <w:pPr>
        <w:pStyle w:val="Heading1"/>
        <w:numPr>
          <w:ilvl w:val="1"/>
          <w:numId w:val="10"/>
        </w:numPr>
        <w:spacing w:before="120"/>
        <w:ind w:left="788" w:right="-108" w:hanging="431"/>
        <w:jc w:val="both"/>
        <w:rPr>
          <w:sz w:val="24"/>
          <w:lang w:val="en-US"/>
        </w:rPr>
      </w:pPr>
      <w:r w:rsidRPr="002763DB">
        <w:rPr>
          <w:sz w:val="24"/>
        </w:rPr>
        <w:t>Социално и здравно-осигурителни фондове</w:t>
      </w:r>
    </w:p>
    <w:p w:rsidR="002763DB" w:rsidRPr="002B36F0" w:rsidRDefault="002763DB" w:rsidP="002763DB">
      <w:pPr>
        <w:numPr>
          <w:ilvl w:val="1"/>
          <w:numId w:val="6"/>
        </w:numPr>
        <w:spacing w:before="120" w:line="276" w:lineRule="auto"/>
        <w:ind w:left="992" w:hanging="357"/>
        <w:jc w:val="both"/>
        <w:rPr>
          <w:b/>
          <w:bCs/>
        </w:rPr>
      </w:pPr>
      <w:r w:rsidRPr="002B36F0">
        <w:rPr>
          <w:b/>
        </w:rPr>
        <w:t>Държавно обществено осигуряване</w:t>
      </w:r>
    </w:p>
    <w:p w:rsidR="002763DB" w:rsidRPr="002B36F0" w:rsidRDefault="002763DB" w:rsidP="002763DB">
      <w:pPr>
        <w:ind w:firstLine="567"/>
        <w:jc w:val="both"/>
        <w:rPr>
          <w:rFonts w:eastAsiaTheme="minorHAnsi"/>
          <w:color w:val="4F81BD" w:themeColor="accent1"/>
        </w:rPr>
      </w:pPr>
      <w:r w:rsidRPr="002B36F0">
        <w:t xml:space="preserve">Общата сума на </w:t>
      </w:r>
      <w:r w:rsidRPr="002B36F0">
        <w:rPr>
          <w:b/>
        </w:rPr>
        <w:t>приходите, помощите и даренията</w:t>
      </w:r>
      <w:r w:rsidRPr="002B36F0">
        <w:t xml:space="preserve"> по бюджета на Държавното обществено осигуряване (ДОО) към 31.03.202</w:t>
      </w:r>
      <w:r w:rsidRPr="00411FD7">
        <w:t>2</w:t>
      </w:r>
      <w:r w:rsidRPr="002B36F0">
        <w:t xml:space="preserve"> г. възлиза на 2 </w:t>
      </w:r>
      <w:r w:rsidRPr="00411FD7">
        <w:t>213</w:t>
      </w:r>
      <w:r w:rsidRPr="002B36F0">
        <w:t>,4 млн. лв. Най-голям е делът на приходите от осигурителни вноски (9</w:t>
      </w:r>
      <w:r w:rsidRPr="00411FD7">
        <w:t>8</w:t>
      </w:r>
      <w:r w:rsidRPr="002B36F0">
        <w:t>,</w:t>
      </w:r>
      <w:r w:rsidRPr="00411FD7">
        <w:t>7</w:t>
      </w:r>
      <w:r w:rsidRPr="002B36F0">
        <w:t xml:space="preserve"> % от общите приходи), които за отчетния период са в размер на 2 </w:t>
      </w:r>
      <w:r w:rsidRPr="00411FD7">
        <w:t>183</w:t>
      </w:r>
      <w:r w:rsidRPr="002B36F0">
        <w:t>,</w:t>
      </w:r>
      <w:r w:rsidRPr="00411FD7">
        <w:t>5</w:t>
      </w:r>
      <w:r w:rsidRPr="002B36F0">
        <w:t xml:space="preserve"> млн. лв. Съпоставени с първото тримесечие на 202</w:t>
      </w:r>
      <w:r w:rsidRPr="00411FD7">
        <w:t>1</w:t>
      </w:r>
      <w:r w:rsidRPr="002B36F0">
        <w:t xml:space="preserve"> г., приходите по бюджета на ДОО нарастват със 1</w:t>
      </w:r>
      <w:r w:rsidRPr="00411FD7">
        <w:t>28</w:t>
      </w:r>
      <w:r w:rsidRPr="002B36F0">
        <w:t>,</w:t>
      </w:r>
      <w:r w:rsidRPr="00411FD7">
        <w:t>7</w:t>
      </w:r>
      <w:r w:rsidRPr="002B36F0">
        <w:t xml:space="preserve"> млн. лв. (</w:t>
      </w:r>
      <w:r w:rsidRPr="00411FD7">
        <w:t>6</w:t>
      </w:r>
      <w:r w:rsidRPr="002B36F0">
        <w:t>,</w:t>
      </w:r>
      <w:r w:rsidRPr="00411FD7">
        <w:t>2</w:t>
      </w:r>
      <w:r w:rsidRPr="002B36F0">
        <w:t xml:space="preserve"> %). </w:t>
      </w:r>
    </w:p>
    <w:p w:rsidR="002763DB" w:rsidRPr="00CC0631" w:rsidRDefault="002763DB" w:rsidP="002763DB">
      <w:pPr>
        <w:ind w:firstLine="567"/>
        <w:jc w:val="both"/>
        <w:rPr>
          <w:bCs/>
        </w:rPr>
      </w:pPr>
      <w:r w:rsidRPr="00CC0631">
        <w:rPr>
          <w:bCs/>
        </w:rPr>
        <w:t>Отчетените неданъчни приходи към края на март 202</w:t>
      </w:r>
      <w:r w:rsidRPr="00411FD7">
        <w:rPr>
          <w:bCs/>
        </w:rPr>
        <w:t>2</w:t>
      </w:r>
      <w:r w:rsidRPr="00CC0631">
        <w:rPr>
          <w:bCs/>
        </w:rPr>
        <w:t xml:space="preserve"> г. по бюджета на ДОО възлизат на </w:t>
      </w:r>
      <w:r w:rsidRPr="00411FD7">
        <w:rPr>
          <w:bCs/>
        </w:rPr>
        <w:t>29</w:t>
      </w:r>
      <w:r w:rsidRPr="00CC0631">
        <w:rPr>
          <w:bCs/>
        </w:rPr>
        <w:t>,</w:t>
      </w:r>
      <w:r w:rsidRPr="00411FD7">
        <w:rPr>
          <w:bCs/>
        </w:rPr>
        <w:t>8</w:t>
      </w:r>
      <w:r w:rsidRPr="00CC0631">
        <w:rPr>
          <w:bCs/>
        </w:rPr>
        <w:t xml:space="preserve"> млн. лв., в т.ч. </w:t>
      </w:r>
      <w:r w:rsidRPr="00411FD7">
        <w:rPr>
          <w:bCs/>
        </w:rPr>
        <w:t>22</w:t>
      </w:r>
      <w:r w:rsidRPr="00CC0631">
        <w:rPr>
          <w:bCs/>
        </w:rPr>
        <w:t>,</w:t>
      </w:r>
      <w:r w:rsidRPr="00411FD7">
        <w:rPr>
          <w:bCs/>
        </w:rPr>
        <w:t>3</w:t>
      </w:r>
      <w:r w:rsidRPr="00CC0631">
        <w:rPr>
          <w:bCs/>
        </w:rPr>
        <w:t xml:space="preserve"> млн. лв. постъпили средства по чл. 4б, чл. 4в и чл. 69б от Кодекса за социално осигуряване (КСО)</w:t>
      </w:r>
      <w:r w:rsidRPr="00CC0631">
        <w:t>.</w:t>
      </w:r>
      <w:r w:rsidRPr="00CC0631">
        <w:rPr>
          <w:bCs/>
        </w:rPr>
        <w:t xml:space="preserve"> </w:t>
      </w:r>
    </w:p>
    <w:p w:rsidR="002763DB" w:rsidRPr="002B36F0" w:rsidRDefault="002763DB" w:rsidP="00754696">
      <w:pPr>
        <w:tabs>
          <w:tab w:val="num" w:pos="1499"/>
          <w:tab w:val="num" w:pos="2148"/>
        </w:tabs>
        <w:ind w:firstLine="567"/>
        <w:jc w:val="both"/>
        <w:rPr>
          <w:bCs/>
          <w:color w:val="4F81BD" w:themeColor="accent1"/>
        </w:rPr>
      </w:pPr>
      <w:r w:rsidRPr="00CC0631">
        <w:rPr>
          <w:bCs/>
        </w:rPr>
        <w:t xml:space="preserve">Размерът на извършените </w:t>
      </w:r>
      <w:r w:rsidRPr="00CC0631">
        <w:rPr>
          <w:b/>
          <w:bCs/>
        </w:rPr>
        <w:t xml:space="preserve">разходи </w:t>
      </w:r>
      <w:r w:rsidRPr="00CC0631">
        <w:rPr>
          <w:bCs/>
        </w:rPr>
        <w:t>за първите три месеца на 202</w:t>
      </w:r>
      <w:r w:rsidRPr="00411FD7">
        <w:rPr>
          <w:bCs/>
        </w:rPr>
        <w:t>2</w:t>
      </w:r>
      <w:r w:rsidRPr="00CC0631">
        <w:rPr>
          <w:bCs/>
        </w:rPr>
        <w:t xml:space="preserve"> г. по бюджета на ДОО е 3 </w:t>
      </w:r>
      <w:r w:rsidRPr="00411FD7">
        <w:rPr>
          <w:bCs/>
        </w:rPr>
        <w:t>978</w:t>
      </w:r>
      <w:r w:rsidRPr="00CC0631">
        <w:rPr>
          <w:bCs/>
        </w:rPr>
        <w:t>,</w:t>
      </w:r>
      <w:r w:rsidRPr="00411FD7">
        <w:rPr>
          <w:bCs/>
        </w:rPr>
        <w:t>9</w:t>
      </w:r>
      <w:r w:rsidRPr="00CC0631">
        <w:rPr>
          <w:bCs/>
        </w:rPr>
        <w:t xml:space="preserve"> млн. лв</w:t>
      </w:r>
      <w:r w:rsidRPr="006E1D1B">
        <w:rPr>
          <w:bCs/>
        </w:rPr>
        <w:t>., което представлява</w:t>
      </w:r>
      <w:r w:rsidRPr="00411FD7">
        <w:rPr>
          <w:bCs/>
        </w:rPr>
        <w:t xml:space="preserve"> </w:t>
      </w:r>
      <w:r>
        <w:rPr>
          <w:bCs/>
        </w:rPr>
        <w:t>23,6 % от предвидените в ЗБДОО за 2022 г. средства.</w:t>
      </w:r>
      <w:r w:rsidRPr="00CC0631">
        <w:rPr>
          <w:bCs/>
        </w:rPr>
        <w:t xml:space="preserve"> Спрямо същия период на миналата година, общо разходите по бюджета на ДОО са с </w:t>
      </w:r>
      <w:r w:rsidRPr="00411FD7">
        <w:rPr>
          <w:bCs/>
        </w:rPr>
        <w:t>95</w:t>
      </w:r>
      <w:r w:rsidRPr="00CC0631">
        <w:rPr>
          <w:bCs/>
        </w:rPr>
        <w:t>,</w:t>
      </w:r>
      <w:r w:rsidRPr="00411FD7">
        <w:rPr>
          <w:bCs/>
        </w:rPr>
        <w:t>2</w:t>
      </w:r>
      <w:r w:rsidRPr="00CC0631">
        <w:rPr>
          <w:bCs/>
        </w:rPr>
        <w:t xml:space="preserve"> млн. лв. (2,</w:t>
      </w:r>
      <w:r w:rsidRPr="00411FD7">
        <w:rPr>
          <w:bCs/>
        </w:rPr>
        <w:t>5</w:t>
      </w:r>
      <w:r w:rsidRPr="00CC0631">
        <w:rPr>
          <w:bCs/>
        </w:rPr>
        <w:t xml:space="preserve"> %) повече. От структурна гледна точка най-голям относителен дял в общите разходи заемат разходите за пенсии, обезщетенията и помощите, изплащани на основание КСО – общо 3 </w:t>
      </w:r>
      <w:r w:rsidRPr="00411FD7">
        <w:rPr>
          <w:bCs/>
        </w:rPr>
        <w:t>950</w:t>
      </w:r>
      <w:r w:rsidRPr="00CC0631">
        <w:rPr>
          <w:bCs/>
        </w:rPr>
        <w:t>,</w:t>
      </w:r>
      <w:r w:rsidRPr="00411FD7">
        <w:rPr>
          <w:bCs/>
        </w:rPr>
        <w:t>4</w:t>
      </w:r>
      <w:r w:rsidRPr="00CC0631">
        <w:rPr>
          <w:bCs/>
        </w:rPr>
        <w:t xml:space="preserve"> млн. лв. или 99,</w:t>
      </w:r>
      <w:r w:rsidRPr="00411FD7">
        <w:rPr>
          <w:bCs/>
        </w:rPr>
        <w:t>3</w:t>
      </w:r>
      <w:r w:rsidRPr="00CC0631">
        <w:rPr>
          <w:bCs/>
        </w:rPr>
        <w:t xml:space="preserve"> % от общия размер на разходите за отчетния период. </w:t>
      </w:r>
    </w:p>
    <w:p w:rsidR="002763DB" w:rsidRPr="002B36F0" w:rsidRDefault="002763DB" w:rsidP="00754696">
      <w:pPr>
        <w:tabs>
          <w:tab w:val="num" w:pos="1499"/>
          <w:tab w:val="num" w:pos="2148"/>
        </w:tabs>
        <w:ind w:firstLine="567"/>
        <w:jc w:val="both"/>
        <w:rPr>
          <w:bCs/>
          <w:color w:val="4F81BD" w:themeColor="accent1"/>
        </w:rPr>
      </w:pPr>
      <w:r w:rsidRPr="00B63656">
        <w:rPr>
          <w:bCs/>
        </w:rPr>
        <w:t xml:space="preserve">Отчетените разходи за </w:t>
      </w:r>
      <w:r w:rsidRPr="00B63656">
        <w:rPr>
          <w:b/>
          <w:bCs/>
        </w:rPr>
        <w:t>пенсии</w:t>
      </w:r>
      <w:r w:rsidRPr="00B63656">
        <w:rPr>
          <w:bCs/>
        </w:rPr>
        <w:t xml:space="preserve"> по бюджета на ДОО към 31.03.2022 г. възлизат на 3 432,3 млн. лв., което е с 224,5 млн. лв. повече спрямо първите три месеца на 2021 г. </w:t>
      </w:r>
      <w:r w:rsidRPr="006E1D1B">
        <w:rPr>
          <w:bCs/>
        </w:rPr>
        <w:t xml:space="preserve">Основните причини за това са: ефектите от изплащане на увеличените пенсии от 1 юли 2021 г. и от 25 декември 2021 г.; увеличението на минималната пенсия от 300 на 370 лв. и на максималната пенсия от 1440 на 1500 лв. от 25 декември 2021 г. </w:t>
      </w:r>
    </w:p>
    <w:p w:rsidR="002763DB" w:rsidRPr="002B36F0" w:rsidRDefault="002763DB" w:rsidP="00754696">
      <w:pPr>
        <w:tabs>
          <w:tab w:val="num" w:pos="1499"/>
          <w:tab w:val="num" w:pos="2148"/>
        </w:tabs>
        <w:ind w:firstLine="567"/>
        <w:jc w:val="both"/>
        <w:rPr>
          <w:color w:val="4F81BD" w:themeColor="accent1"/>
        </w:rPr>
      </w:pPr>
      <w:r w:rsidRPr="00B05027">
        <w:t xml:space="preserve">Отчетените разходи за </w:t>
      </w:r>
      <w:r w:rsidRPr="00B05027">
        <w:rPr>
          <w:b/>
        </w:rPr>
        <w:t>краткосрочни обезщетения и помощи по КСО</w:t>
      </w:r>
      <w:r w:rsidRPr="00B05027">
        <w:t xml:space="preserve"> са в размер на 518,1 млн. лева. Спрямо същия период на миналата година изплатените обезщетения по КСО са с 42,9 млн. лв. (9,0 %) повече.</w:t>
      </w:r>
    </w:p>
    <w:p w:rsidR="002763DB" w:rsidRPr="00D20A09" w:rsidRDefault="002763DB" w:rsidP="002763DB">
      <w:pPr>
        <w:numPr>
          <w:ilvl w:val="1"/>
          <w:numId w:val="6"/>
        </w:numPr>
        <w:tabs>
          <w:tab w:val="num" w:pos="709"/>
          <w:tab w:val="left" w:pos="851"/>
          <w:tab w:val="left" w:pos="1134"/>
        </w:tabs>
        <w:spacing w:before="120" w:line="276" w:lineRule="auto"/>
        <w:ind w:left="709" w:hanging="357"/>
        <w:jc w:val="both"/>
        <w:rPr>
          <w:b/>
          <w:bCs/>
        </w:rPr>
      </w:pPr>
      <w:r w:rsidRPr="00D20A09">
        <w:rPr>
          <w:b/>
          <w:bCs/>
        </w:rPr>
        <w:t>Национална здравноосигурителна каса</w:t>
      </w:r>
    </w:p>
    <w:p w:rsidR="002763DB" w:rsidRPr="002B36F0" w:rsidRDefault="002763DB" w:rsidP="002763DB">
      <w:pPr>
        <w:ind w:firstLine="567"/>
        <w:jc w:val="both"/>
        <w:rPr>
          <w:color w:val="4F81BD" w:themeColor="accent1"/>
        </w:rPr>
      </w:pPr>
      <w:r w:rsidRPr="00D20A09">
        <w:t xml:space="preserve">Общият размер на събраните </w:t>
      </w:r>
      <w:r w:rsidRPr="00D20A09">
        <w:rPr>
          <w:b/>
        </w:rPr>
        <w:t>приходи, помощи и дарения</w:t>
      </w:r>
      <w:r w:rsidRPr="00D20A09">
        <w:t xml:space="preserve"> по бюджета на НЗОК за първите три месеца на 2022 г. възлиза на 857,2 млн. лв., което представлява 22,7 % от предвидените със Закона за бюджета на НЗОК (ЗБНЗОК) за 2022 г. – 3 782,4 млн. лева. Постъпленията от здравноосигурителни вноски са в размер на 850,5 млн. лв., което е 22,6 % изпълнение на утвърдените със ЗБНЗОК за 2022 г. средства в размер на 3 759,2 млн. лева. Събраните неданъчни приходи за първото тримесечие на 2022 г. са 6,6 млн. лв. или 28,5 % от заложените в ЗБНЗОК за 2022 г., като основната част от тях са приходи от глоби, санкции и наказателни лихви. </w:t>
      </w:r>
    </w:p>
    <w:p w:rsidR="002763DB" w:rsidRPr="002B36F0" w:rsidRDefault="002763DB" w:rsidP="002763DB">
      <w:pPr>
        <w:ind w:firstLine="567"/>
        <w:jc w:val="both"/>
        <w:rPr>
          <w:color w:val="4F81BD" w:themeColor="accent1"/>
        </w:rPr>
      </w:pPr>
      <w:r w:rsidRPr="00544C52">
        <w:t>Полученият трансфер от МЗ за</w:t>
      </w:r>
      <w:r w:rsidRPr="00544C52">
        <w:rPr>
          <w:szCs w:val="20"/>
        </w:rPr>
        <w:t xml:space="preserve"> финансиране на разходите за лекарствени продукти – ваксини и дейности по прилагането им за здравните дейности по чл. 82, ал. 2, т. 3 от Закона за здравето (ЗЗ); за дейности за </w:t>
      </w:r>
      <w:proofErr w:type="spellStart"/>
      <w:r w:rsidRPr="00544C52">
        <w:rPr>
          <w:szCs w:val="20"/>
        </w:rPr>
        <w:t>здравнонеосигурени</w:t>
      </w:r>
      <w:proofErr w:type="spellEnd"/>
      <w:r w:rsidRPr="00544C52">
        <w:rPr>
          <w:szCs w:val="20"/>
        </w:rPr>
        <w:t xml:space="preserve"> лица, включващи: комплексно диспансерно (амбулаторно) наблюдение при пациенти с кожно-венерически и психиатрични заболявания; интензивно лечение; дейности по чл. 82, ал. 1, т. 2 от ЗЗ, за сумите по чл. 37, ал. 6 от Закона за здравното осигуряване (ЗЗО) и за медицински изделия, помощни средства, приспособления и съоръжения за хората с увреждания извън обхвата на задължителното здравно осигуряване,</w:t>
      </w:r>
      <w:r w:rsidRPr="00544C52">
        <w:t xml:space="preserve"> </w:t>
      </w:r>
      <w:r w:rsidRPr="00544C52">
        <w:rPr>
          <w:szCs w:val="20"/>
        </w:rPr>
        <w:t xml:space="preserve">както и за осигуряване на средства за заплащане на изпълнителите на медицинска помощ за работа при неблагоприятни условия по време на обявена извънредна епидемична обстановка поради разпространение на COVID-19 и за поставяне на ваксини срещу COVID-19 за отчетния период </w:t>
      </w:r>
      <w:r w:rsidRPr="00544C52">
        <w:rPr>
          <w:szCs w:val="20"/>
          <w:lang w:val="en-US"/>
        </w:rPr>
        <w:t>e</w:t>
      </w:r>
      <w:r w:rsidRPr="00544C52">
        <w:rPr>
          <w:szCs w:val="20"/>
        </w:rPr>
        <w:t xml:space="preserve"> в размер на 186,2</w:t>
      </w:r>
      <w:r w:rsidRPr="00544C52">
        <w:t xml:space="preserve"> млн. лева. </w:t>
      </w:r>
    </w:p>
    <w:p w:rsidR="002763DB" w:rsidRPr="00544C52" w:rsidRDefault="002763DB" w:rsidP="002763DB">
      <w:pPr>
        <w:ind w:firstLine="567"/>
        <w:jc w:val="both"/>
      </w:pPr>
      <w:r w:rsidRPr="00544C52">
        <w:t>Трансферите за здравно осигуряване и за изплащане на допълнителни възнаграждения на медицинския персонал за срока на обявена епидемична обстановка от централния бюджет за периода са 546,4 млн. лв.</w:t>
      </w:r>
    </w:p>
    <w:p w:rsidR="002763DB" w:rsidRPr="002B36F0" w:rsidRDefault="002763DB" w:rsidP="002763DB">
      <w:pPr>
        <w:ind w:firstLine="567"/>
        <w:jc w:val="both"/>
        <w:rPr>
          <w:color w:val="4F81BD" w:themeColor="accent1"/>
        </w:rPr>
      </w:pPr>
      <w:r w:rsidRPr="004B75C0">
        <w:t xml:space="preserve">Отчетените </w:t>
      </w:r>
      <w:r w:rsidRPr="004B75C0">
        <w:rPr>
          <w:b/>
        </w:rPr>
        <w:t>разходи</w:t>
      </w:r>
      <w:r w:rsidRPr="004B75C0">
        <w:t xml:space="preserve"> към 31.03.2022 г. са в размер на 1 376,3 млн. лв. и представляват 22,7 % от предвидените в ЗБНЗОК за 2022 г. 6 050,7 млн. лева. </w:t>
      </w:r>
    </w:p>
    <w:p w:rsidR="002763DB" w:rsidRPr="00130D49" w:rsidRDefault="002763DB" w:rsidP="002763DB">
      <w:pPr>
        <w:ind w:firstLine="567"/>
        <w:jc w:val="both"/>
      </w:pPr>
      <w:r w:rsidRPr="00130D49">
        <w:t>Най-голям относителен дял в общите разходи (9</w:t>
      </w:r>
      <w:r w:rsidRPr="00411FD7">
        <w:t>0</w:t>
      </w:r>
      <w:r w:rsidRPr="00130D49">
        <w:t>,</w:t>
      </w:r>
      <w:r w:rsidRPr="00411FD7">
        <w:t>1</w:t>
      </w:r>
      <w:r w:rsidRPr="00130D49">
        <w:t> %) заемат здравноосигурителните плащания, които възлизат на 1 2</w:t>
      </w:r>
      <w:r w:rsidRPr="00411FD7">
        <w:t>40</w:t>
      </w:r>
      <w:r w:rsidRPr="00130D49">
        <w:t>,</w:t>
      </w:r>
      <w:r w:rsidRPr="00411FD7">
        <w:t>5</w:t>
      </w:r>
      <w:r w:rsidRPr="00130D49">
        <w:t xml:space="preserve"> млн. лева. В отделните направления на </w:t>
      </w:r>
      <w:r w:rsidRPr="00130D49">
        <w:lastRenderedPageBreak/>
        <w:t>здравноосигурителни плащания изпълнението на бюджета за първото тримесечие на 202</w:t>
      </w:r>
      <w:r w:rsidRPr="00411FD7">
        <w:t>2</w:t>
      </w:r>
      <w:r w:rsidRPr="00130D49">
        <w:t xml:space="preserve"> г. е следното:</w:t>
      </w:r>
    </w:p>
    <w:p w:rsidR="002763DB" w:rsidRPr="00130D49" w:rsidRDefault="002763DB" w:rsidP="002763DB">
      <w:pPr>
        <w:numPr>
          <w:ilvl w:val="0"/>
          <w:numId w:val="17"/>
        </w:numPr>
        <w:tabs>
          <w:tab w:val="num" w:pos="0"/>
          <w:tab w:val="left" w:pos="720"/>
          <w:tab w:val="left" w:pos="1134"/>
        </w:tabs>
        <w:spacing w:before="120" w:line="276" w:lineRule="auto"/>
        <w:ind w:hanging="6169"/>
        <w:jc w:val="both"/>
        <w:rPr>
          <w:bCs/>
        </w:rPr>
      </w:pPr>
      <w:r w:rsidRPr="00130D49">
        <w:rPr>
          <w:b/>
          <w:i/>
        </w:rPr>
        <w:t xml:space="preserve">първична </w:t>
      </w:r>
      <w:proofErr w:type="spellStart"/>
      <w:r w:rsidRPr="00130D49">
        <w:rPr>
          <w:b/>
          <w:i/>
        </w:rPr>
        <w:t>извънболнична</w:t>
      </w:r>
      <w:proofErr w:type="spellEnd"/>
      <w:r w:rsidRPr="00130D49">
        <w:rPr>
          <w:b/>
          <w:i/>
        </w:rPr>
        <w:t xml:space="preserve"> медицинска помощ</w:t>
      </w:r>
      <w:r w:rsidRPr="00130D49">
        <w:rPr>
          <w:i/>
        </w:rPr>
        <w:t xml:space="preserve"> –</w:t>
      </w:r>
      <w:r w:rsidRPr="00130D49">
        <w:t xml:space="preserve"> 6</w:t>
      </w:r>
      <w:r w:rsidRPr="00411FD7">
        <w:t>7</w:t>
      </w:r>
      <w:r w:rsidRPr="00130D49">
        <w:t>,</w:t>
      </w:r>
      <w:r w:rsidRPr="00411FD7">
        <w:t>2</w:t>
      </w:r>
      <w:r w:rsidRPr="00130D49">
        <w:t xml:space="preserve"> млн. лева;</w:t>
      </w:r>
      <w:r w:rsidRPr="00130D49">
        <w:rPr>
          <w:bCs/>
        </w:rPr>
        <w:t xml:space="preserve"> </w:t>
      </w:r>
    </w:p>
    <w:p w:rsidR="002763DB" w:rsidRPr="00130D49" w:rsidRDefault="002763DB" w:rsidP="002763DB">
      <w:pPr>
        <w:numPr>
          <w:ilvl w:val="0"/>
          <w:numId w:val="17"/>
        </w:numPr>
        <w:tabs>
          <w:tab w:val="num" w:pos="0"/>
          <w:tab w:val="left" w:pos="720"/>
          <w:tab w:val="left" w:pos="1134"/>
        </w:tabs>
        <w:spacing w:line="276" w:lineRule="auto"/>
        <w:ind w:hanging="6169"/>
        <w:jc w:val="both"/>
        <w:rPr>
          <w:i/>
        </w:rPr>
      </w:pPr>
      <w:r w:rsidRPr="00130D49">
        <w:rPr>
          <w:b/>
          <w:i/>
        </w:rPr>
        <w:t xml:space="preserve">специализирана </w:t>
      </w:r>
      <w:proofErr w:type="spellStart"/>
      <w:r w:rsidRPr="00130D49">
        <w:rPr>
          <w:b/>
          <w:i/>
        </w:rPr>
        <w:t>извънболнична</w:t>
      </w:r>
      <w:proofErr w:type="spellEnd"/>
      <w:r w:rsidRPr="00130D49">
        <w:rPr>
          <w:b/>
          <w:i/>
        </w:rPr>
        <w:t xml:space="preserve"> медицинска помощ </w:t>
      </w:r>
      <w:r w:rsidRPr="00130D49">
        <w:t xml:space="preserve"> – </w:t>
      </w:r>
      <w:r w:rsidRPr="00411FD7">
        <w:t>74</w:t>
      </w:r>
      <w:r w:rsidRPr="00130D49">
        <w:t>,</w:t>
      </w:r>
      <w:r w:rsidRPr="00411FD7">
        <w:t>3</w:t>
      </w:r>
      <w:r w:rsidRPr="00130D49">
        <w:t> млн. лева;</w:t>
      </w:r>
    </w:p>
    <w:p w:rsidR="002763DB" w:rsidRPr="00130D49" w:rsidRDefault="002763DB" w:rsidP="002763DB">
      <w:pPr>
        <w:numPr>
          <w:ilvl w:val="0"/>
          <w:numId w:val="17"/>
        </w:numPr>
        <w:tabs>
          <w:tab w:val="num" w:pos="0"/>
          <w:tab w:val="left" w:pos="720"/>
          <w:tab w:val="left" w:pos="1134"/>
        </w:tabs>
        <w:spacing w:line="276" w:lineRule="auto"/>
        <w:ind w:hanging="6169"/>
        <w:jc w:val="both"/>
        <w:rPr>
          <w:b/>
        </w:rPr>
      </w:pPr>
      <w:r w:rsidRPr="00130D49">
        <w:rPr>
          <w:b/>
          <w:i/>
        </w:rPr>
        <w:t xml:space="preserve">дентална помощ </w:t>
      </w:r>
      <w:r w:rsidRPr="00130D49">
        <w:rPr>
          <w:b/>
        </w:rPr>
        <w:t xml:space="preserve">– </w:t>
      </w:r>
      <w:r w:rsidRPr="00130D49">
        <w:rPr>
          <w:lang w:val="en-US"/>
        </w:rPr>
        <w:t>62</w:t>
      </w:r>
      <w:r w:rsidRPr="00130D49">
        <w:t>,</w:t>
      </w:r>
      <w:r w:rsidRPr="00130D49">
        <w:rPr>
          <w:lang w:val="en-US"/>
        </w:rPr>
        <w:t>5</w:t>
      </w:r>
      <w:r w:rsidRPr="00130D49">
        <w:t xml:space="preserve"> млн. лева;</w:t>
      </w:r>
    </w:p>
    <w:p w:rsidR="002763DB" w:rsidRPr="00130D49" w:rsidRDefault="002763DB" w:rsidP="002763DB">
      <w:pPr>
        <w:numPr>
          <w:ilvl w:val="0"/>
          <w:numId w:val="17"/>
        </w:numPr>
        <w:tabs>
          <w:tab w:val="num" w:pos="0"/>
          <w:tab w:val="left" w:pos="720"/>
          <w:tab w:val="left" w:pos="1134"/>
        </w:tabs>
        <w:spacing w:line="276" w:lineRule="auto"/>
        <w:ind w:hanging="6169"/>
        <w:jc w:val="both"/>
        <w:rPr>
          <w:b/>
          <w:i/>
        </w:rPr>
      </w:pPr>
      <w:r w:rsidRPr="00130D49">
        <w:rPr>
          <w:b/>
          <w:i/>
        </w:rPr>
        <w:t xml:space="preserve">медико-диагностична дейност </w:t>
      </w:r>
      <w:r w:rsidRPr="00130D49">
        <w:rPr>
          <w:b/>
        </w:rPr>
        <w:t xml:space="preserve">– </w:t>
      </w:r>
      <w:r w:rsidRPr="00411FD7">
        <w:t>44</w:t>
      </w:r>
      <w:r w:rsidRPr="00130D49">
        <w:t>,</w:t>
      </w:r>
      <w:r w:rsidRPr="00411FD7">
        <w:t>8</w:t>
      </w:r>
      <w:r w:rsidRPr="00130D49">
        <w:t xml:space="preserve"> млн. лева;</w:t>
      </w:r>
      <w:r w:rsidRPr="00130D49">
        <w:rPr>
          <w:b/>
          <w:i/>
        </w:rPr>
        <w:t xml:space="preserve"> </w:t>
      </w:r>
    </w:p>
    <w:p w:rsidR="002763DB" w:rsidRPr="00130D49" w:rsidRDefault="002763DB" w:rsidP="002763DB">
      <w:pPr>
        <w:numPr>
          <w:ilvl w:val="0"/>
          <w:numId w:val="17"/>
        </w:numPr>
        <w:tabs>
          <w:tab w:val="num" w:pos="0"/>
          <w:tab w:val="left" w:pos="1134"/>
        </w:tabs>
        <w:spacing w:line="276" w:lineRule="auto"/>
        <w:ind w:left="1134" w:hanging="425"/>
        <w:jc w:val="both"/>
      </w:pPr>
      <w:r w:rsidRPr="00130D49">
        <w:rPr>
          <w:b/>
          <w:i/>
        </w:rPr>
        <w:t xml:space="preserve">лекарствени продукти, медицински изделия и диетични храни за домашно лечение на територията на страната  - </w:t>
      </w:r>
      <w:r w:rsidRPr="00411FD7">
        <w:t>198</w:t>
      </w:r>
      <w:r w:rsidRPr="00130D49">
        <w:t>,1 млн. лв.</w:t>
      </w:r>
    </w:p>
    <w:p w:rsidR="002763DB" w:rsidRPr="00130D49" w:rsidRDefault="002763DB" w:rsidP="002763DB">
      <w:pPr>
        <w:numPr>
          <w:ilvl w:val="0"/>
          <w:numId w:val="17"/>
        </w:numPr>
        <w:tabs>
          <w:tab w:val="num" w:pos="0"/>
          <w:tab w:val="left" w:pos="1134"/>
          <w:tab w:val="num" w:pos="6096"/>
        </w:tabs>
        <w:spacing w:line="276" w:lineRule="auto"/>
        <w:ind w:left="1134" w:hanging="425"/>
        <w:jc w:val="both"/>
      </w:pPr>
      <w:r w:rsidRPr="00130D49">
        <w:rPr>
          <w:b/>
          <w:i/>
        </w:rPr>
        <w:t xml:space="preserve"> лекарствени продукти за лечение на злокачествени заболявания в условията на болнична медицинска помощ </w:t>
      </w:r>
      <w:r w:rsidRPr="00130D49">
        <w:t xml:space="preserve"> – 1</w:t>
      </w:r>
      <w:r w:rsidRPr="00411FD7">
        <w:t>68</w:t>
      </w:r>
      <w:r w:rsidRPr="00130D49">
        <w:t>,</w:t>
      </w:r>
      <w:r w:rsidRPr="00411FD7">
        <w:t>9</w:t>
      </w:r>
      <w:r w:rsidRPr="00130D49">
        <w:t xml:space="preserve"> млн. лева;</w:t>
      </w:r>
    </w:p>
    <w:p w:rsidR="002763DB" w:rsidRPr="00130D49" w:rsidRDefault="002763DB" w:rsidP="002763DB">
      <w:pPr>
        <w:numPr>
          <w:ilvl w:val="0"/>
          <w:numId w:val="17"/>
        </w:numPr>
        <w:tabs>
          <w:tab w:val="num" w:pos="0"/>
          <w:tab w:val="left" w:pos="720"/>
          <w:tab w:val="num" w:pos="1134"/>
        </w:tabs>
        <w:spacing w:line="276" w:lineRule="auto"/>
        <w:ind w:left="1134" w:hanging="425"/>
        <w:jc w:val="both"/>
      </w:pPr>
      <w:r w:rsidRPr="00130D49">
        <w:rPr>
          <w:b/>
          <w:i/>
        </w:rPr>
        <w:t>медицински изделия, прилагани в болничната  помощ –</w:t>
      </w:r>
      <w:r w:rsidRPr="00130D49">
        <w:t xml:space="preserve"> 1</w:t>
      </w:r>
      <w:r w:rsidRPr="00411FD7">
        <w:t>9</w:t>
      </w:r>
      <w:r w:rsidRPr="00130D49">
        <w:t>,</w:t>
      </w:r>
      <w:r w:rsidRPr="00411FD7">
        <w:t>7</w:t>
      </w:r>
      <w:r w:rsidRPr="00130D49">
        <w:t xml:space="preserve"> млн. лева;</w:t>
      </w:r>
    </w:p>
    <w:p w:rsidR="002763DB" w:rsidRPr="002B36F0" w:rsidRDefault="002763DB" w:rsidP="002763DB">
      <w:pPr>
        <w:numPr>
          <w:ilvl w:val="0"/>
          <w:numId w:val="17"/>
        </w:numPr>
        <w:tabs>
          <w:tab w:val="num" w:pos="0"/>
          <w:tab w:val="left" w:pos="720"/>
          <w:tab w:val="left" w:pos="1134"/>
        </w:tabs>
        <w:spacing w:line="276" w:lineRule="auto"/>
        <w:ind w:hanging="6169"/>
        <w:jc w:val="both"/>
        <w:rPr>
          <w:color w:val="4F81BD" w:themeColor="accent1"/>
        </w:rPr>
      </w:pPr>
      <w:r w:rsidRPr="00130D49">
        <w:rPr>
          <w:b/>
          <w:i/>
        </w:rPr>
        <w:t>болнична медицинска помощ –</w:t>
      </w:r>
      <w:r w:rsidRPr="00130D49">
        <w:t xml:space="preserve"> 5</w:t>
      </w:r>
      <w:r w:rsidRPr="00411FD7">
        <w:t>94</w:t>
      </w:r>
      <w:r w:rsidRPr="00130D49">
        <w:t>,</w:t>
      </w:r>
      <w:r w:rsidRPr="00411FD7">
        <w:t>7</w:t>
      </w:r>
      <w:r w:rsidRPr="00130D49">
        <w:t xml:space="preserve"> млн. лева.</w:t>
      </w:r>
      <w:r w:rsidRPr="002B36F0">
        <w:rPr>
          <w:color w:val="4F81BD" w:themeColor="accent1"/>
        </w:rPr>
        <w:tab/>
        <w:t xml:space="preserve"> </w:t>
      </w:r>
    </w:p>
    <w:p w:rsidR="002763DB" w:rsidRPr="00130D49" w:rsidRDefault="002763DB" w:rsidP="002763DB">
      <w:pPr>
        <w:numPr>
          <w:ilvl w:val="0"/>
          <w:numId w:val="17"/>
        </w:numPr>
        <w:tabs>
          <w:tab w:val="num" w:pos="0"/>
          <w:tab w:val="left" w:pos="720"/>
          <w:tab w:val="left" w:pos="1134"/>
        </w:tabs>
        <w:spacing w:line="276" w:lineRule="auto"/>
        <w:ind w:hanging="6169"/>
        <w:jc w:val="both"/>
      </w:pPr>
      <w:r w:rsidRPr="00130D49">
        <w:rPr>
          <w:b/>
          <w:i/>
        </w:rPr>
        <w:t xml:space="preserve">други здравноосигурителни плащания – </w:t>
      </w:r>
      <w:r w:rsidRPr="00130D49">
        <w:t>1</w:t>
      </w:r>
      <w:r w:rsidRPr="00411FD7">
        <w:t>0</w:t>
      </w:r>
      <w:r w:rsidRPr="00130D49">
        <w:t>,</w:t>
      </w:r>
      <w:r w:rsidRPr="00411FD7">
        <w:t>4</w:t>
      </w:r>
      <w:r w:rsidRPr="00130D49">
        <w:t xml:space="preserve"> млн. лева.</w:t>
      </w:r>
    </w:p>
    <w:p w:rsidR="002763DB" w:rsidRPr="00EF331B" w:rsidRDefault="002763DB" w:rsidP="002763DB">
      <w:pPr>
        <w:spacing w:before="120"/>
        <w:ind w:firstLine="567"/>
        <w:jc w:val="both"/>
      </w:pPr>
      <w:r w:rsidRPr="00A966F9">
        <w:t>Като здравноосигурителни плащания следва да се третират и преведените 31,</w:t>
      </w:r>
      <w:r w:rsidRPr="00411FD7">
        <w:t>0</w:t>
      </w:r>
      <w:r w:rsidRPr="00A966F9">
        <w:t xml:space="preserve"> млн. лв. трансфери по договори за извършване на медицински услуги към бюджетни организации, в структурата на които има лечебни заведения по чл. 5 от Закона за лечебните заведения. Заедно с преведените трансфери усвоените средства за </w:t>
      </w:r>
      <w:r w:rsidRPr="00EF331B">
        <w:t>здравноосигурителни плащания възлизат на 1 2</w:t>
      </w:r>
      <w:r w:rsidRPr="00411FD7">
        <w:t>71</w:t>
      </w:r>
      <w:r w:rsidRPr="00EF331B">
        <w:t>,</w:t>
      </w:r>
      <w:r w:rsidRPr="00411FD7">
        <w:t>5</w:t>
      </w:r>
      <w:r w:rsidRPr="00EF331B">
        <w:t xml:space="preserve"> млн. лв.</w:t>
      </w:r>
    </w:p>
    <w:p w:rsidR="002763DB" w:rsidRPr="009A275D" w:rsidRDefault="002763DB" w:rsidP="002763DB">
      <w:pPr>
        <w:ind w:firstLine="567"/>
        <w:jc w:val="both"/>
      </w:pPr>
      <w:r w:rsidRPr="00EF331B">
        <w:t xml:space="preserve">За периода са отчетени плащания в размер на </w:t>
      </w:r>
      <w:r w:rsidRPr="00411FD7">
        <w:t>31</w:t>
      </w:r>
      <w:r w:rsidRPr="00EF331B">
        <w:t>,</w:t>
      </w:r>
      <w:r w:rsidRPr="00411FD7">
        <w:t>8</w:t>
      </w:r>
      <w:r w:rsidRPr="00EF331B">
        <w:t xml:space="preserve"> млн. лв. от предоставения трансфер  от Министерството на здравеопазването за дейности за </w:t>
      </w:r>
      <w:proofErr w:type="spellStart"/>
      <w:r w:rsidRPr="00EF331B">
        <w:t>здравнонеосигурени</w:t>
      </w:r>
      <w:proofErr w:type="spellEnd"/>
      <w:r w:rsidRPr="00EF331B">
        <w:t xml:space="preserve"> </w:t>
      </w:r>
      <w:r w:rsidRPr="009A275D">
        <w:t>лица, лекарствени продукти и за потребителска такса.</w:t>
      </w:r>
    </w:p>
    <w:p w:rsidR="002763DB" w:rsidRDefault="002763DB" w:rsidP="002763DB">
      <w:pPr>
        <w:ind w:firstLine="567"/>
        <w:jc w:val="both"/>
      </w:pPr>
      <w:r w:rsidRPr="00FB3E0E">
        <w:t>По бюджета на НЗОК за 202</w:t>
      </w:r>
      <w:r w:rsidRPr="002763DB">
        <w:t>2</w:t>
      </w:r>
      <w:r w:rsidRPr="00FB3E0E">
        <w:t xml:space="preserve"> година са утвърдени </w:t>
      </w:r>
      <w:r w:rsidRPr="002763DB">
        <w:t>86</w:t>
      </w:r>
      <w:r w:rsidRPr="00FB3E0E">
        <w:t>,</w:t>
      </w:r>
      <w:r w:rsidRPr="002763DB">
        <w:t>8</w:t>
      </w:r>
      <w:r w:rsidRPr="00FB3E0E">
        <w:t xml:space="preserve"> млн. лв. за административни разходи на институцията, които включват разходите за персонал и за текуща издръжка. За първите три месеца на годината са отчетени </w:t>
      </w:r>
      <w:r w:rsidRPr="002763DB">
        <w:t>16</w:t>
      </w:r>
      <w:r w:rsidRPr="00FB3E0E">
        <w:t>,</w:t>
      </w:r>
      <w:r w:rsidRPr="002763DB">
        <w:t>8</w:t>
      </w:r>
      <w:r w:rsidRPr="00FB3E0E">
        <w:t xml:space="preserve"> млн. лв., което представлява </w:t>
      </w:r>
      <w:r w:rsidRPr="002763DB">
        <w:t>1</w:t>
      </w:r>
      <w:r w:rsidRPr="00FB3E0E">
        <w:t>9,</w:t>
      </w:r>
      <w:r w:rsidRPr="002763DB">
        <w:t>3</w:t>
      </w:r>
      <w:r w:rsidRPr="00FB3E0E">
        <w:t xml:space="preserve"> % от годишния разчет. Усвоените средства за административни разходи заемат 1,</w:t>
      </w:r>
      <w:r w:rsidRPr="002763DB">
        <w:t>2</w:t>
      </w:r>
      <w:r w:rsidRPr="00FB3E0E">
        <w:t xml:space="preserve"> на сто в структурата на общите разходи за отчетния период.</w:t>
      </w:r>
    </w:p>
    <w:p w:rsidR="00656380" w:rsidRPr="002763DB" w:rsidRDefault="00656380" w:rsidP="002763DB">
      <w:pPr>
        <w:ind w:firstLine="567"/>
        <w:jc w:val="both"/>
      </w:pPr>
    </w:p>
    <w:p w:rsidR="00B6120B" w:rsidRPr="00175E50" w:rsidRDefault="00B6120B" w:rsidP="00D6063B">
      <w:pPr>
        <w:pStyle w:val="Heading1"/>
        <w:numPr>
          <w:ilvl w:val="1"/>
          <w:numId w:val="25"/>
        </w:numPr>
        <w:spacing w:before="240"/>
        <w:ind w:right="-108"/>
        <w:jc w:val="both"/>
        <w:rPr>
          <w:sz w:val="24"/>
        </w:rPr>
      </w:pPr>
      <w:r w:rsidRPr="00175E50">
        <w:rPr>
          <w:sz w:val="24"/>
        </w:rPr>
        <w:t>Общински бюджети</w:t>
      </w:r>
    </w:p>
    <w:p w:rsidR="00175E50" w:rsidRPr="00E23232" w:rsidRDefault="00175E50" w:rsidP="00175E50">
      <w:pPr>
        <w:numPr>
          <w:ilvl w:val="0"/>
          <w:numId w:val="8"/>
        </w:numPr>
        <w:tabs>
          <w:tab w:val="num" w:pos="540"/>
        </w:tabs>
        <w:spacing w:before="120" w:line="276" w:lineRule="auto"/>
        <w:ind w:left="714" w:hanging="147"/>
        <w:jc w:val="both"/>
        <w:rPr>
          <w:b/>
        </w:rPr>
      </w:pPr>
      <w:r w:rsidRPr="00E23232">
        <w:rPr>
          <w:b/>
        </w:rPr>
        <w:t>Приходи</w:t>
      </w:r>
    </w:p>
    <w:p w:rsidR="00175E50" w:rsidRPr="00E23232" w:rsidRDefault="00175E50" w:rsidP="00175E50">
      <w:pPr>
        <w:tabs>
          <w:tab w:val="center" w:pos="4153"/>
          <w:tab w:val="right" w:pos="8306"/>
        </w:tabs>
        <w:ind w:firstLine="567"/>
        <w:jc w:val="both"/>
        <w:rPr>
          <w:lang w:val="ru-RU"/>
        </w:rPr>
      </w:pPr>
      <w:r w:rsidRPr="00E23232">
        <w:t>Собствените приходи по бюджетите на общините към 31.03.</w:t>
      </w:r>
      <w:r w:rsidRPr="00A3547B">
        <w:t>2022</w:t>
      </w:r>
      <w:r w:rsidRPr="00E23232">
        <w:t xml:space="preserve"> г. са в размер на </w:t>
      </w:r>
      <w:r w:rsidRPr="00A3547B">
        <w:t>781,2</w:t>
      </w:r>
      <w:r w:rsidRPr="00E23232">
        <w:rPr>
          <w:bCs/>
        </w:rPr>
        <w:t> м</w:t>
      </w:r>
      <w:r w:rsidRPr="00A3547B">
        <w:t>лн. лв., което представлява 28,4</w:t>
      </w:r>
      <w:r w:rsidRPr="00E23232">
        <w:t xml:space="preserve"> % от разчетените към ЗДБРБ за </w:t>
      </w:r>
      <w:r w:rsidRPr="00A3547B">
        <w:t>2022</w:t>
      </w:r>
      <w:r w:rsidRPr="00E23232">
        <w:t xml:space="preserve"> г. постъпления в размер на </w:t>
      </w:r>
      <w:r w:rsidRPr="00A3547B">
        <w:rPr>
          <w:bCs/>
        </w:rPr>
        <w:t>2 754,4</w:t>
      </w:r>
      <w:r w:rsidRPr="00A3547B">
        <w:t xml:space="preserve"> млн. лева и с 96,</w:t>
      </w:r>
      <w:r w:rsidRPr="00A3547B">
        <w:rPr>
          <w:lang w:val="ru-RU"/>
        </w:rPr>
        <w:t>9</w:t>
      </w:r>
      <w:r w:rsidRPr="00E23232">
        <w:t xml:space="preserve"> млн. лв. повече спрямо съб</w:t>
      </w:r>
      <w:r w:rsidRPr="00A3547B">
        <w:t>раните за същия период през 2021</w:t>
      </w:r>
      <w:r w:rsidRPr="00E23232">
        <w:t xml:space="preserve"> г</w:t>
      </w:r>
      <w:r w:rsidRPr="00A3547B">
        <w:rPr>
          <w:lang w:val="ru-RU"/>
        </w:rPr>
        <w:t>.</w:t>
      </w:r>
    </w:p>
    <w:p w:rsidR="00175E50" w:rsidRPr="00E23232" w:rsidRDefault="00175E50" w:rsidP="00175E50">
      <w:pPr>
        <w:ind w:firstLine="567"/>
        <w:jc w:val="both"/>
        <w:rPr>
          <w:color w:val="548DD4"/>
        </w:rPr>
      </w:pPr>
      <w:r w:rsidRPr="00E23232">
        <w:rPr>
          <w:i/>
        </w:rPr>
        <w:t>Данъчните приходи</w:t>
      </w:r>
      <w:r w:rsidRPr="00E23232">
        <w:t xml:space="preserve"> по общин</w:t>
      </w:r>
      <w:r w:rsidRPr="00A3547B">
        <w:t xml:space="preserve">ските бюджети са в размер на 364,3 млн. лв. или 28,7 % от годишните разчети по КФП за 2022 г. и с 13,5 % повече спрямо тези за същия период на </w:t>
      </w:r>
      <w:r w:rsidRPr="00E23232">
        <w:rPr>
          <w:color w:val="548DD4"/>
        </w:rPr>
        <w:t xml:space="preserve"> </w:t>
      </w:r>
      <w:r w:rsidRPr="00E23232">
        <w:t xml:space="preserve">предходната година. </w:t>
      </w:r>
      <w:r w:rsidRPr="00E23232">
        <w:rPr>
          <w:bCs/>
        </w:rPr>
        <w:t xml:space="preserve">От </w:t>
      </w:r>
      <w:r w:rsidRPr="00E23232">
        <w:rPr>
          <w:bCs/>
          <w:i/>
        </w:rPr>
        <w:t>имуществени данъци по Закона за местните данъци и такси</w:t>
      </w:r>
      <w:r w:rsidRPr="00E23232">
        <w:rPr>
          <w:bCs/>
        </w:rPr>
        <w:t xml:space="preserve"> в местните бюджети към 31 март </w:t>
      </w:r>
      <w:r w:rsidRPr="007E1252">
        <w:rPr>
          <w:bCs/>
        </w:rPr>
        <w:t>2022</w:t>
      </w:r>
      <w:r w:rsidRPr="00E23232">
        <w:rPr>
          <w:bCs/>
        </w:rPr>
        <w:t xml:space="preserve"> г. са постъпили общо </w:t>
      </w:r>
      <w:r w:rsidR="00C33A80">
        <w:rPr>
          <w:bCs/>
        </w:rPr>
        <w:t>359,5</w:t>
      </w:r>
      <w:r w:rsidRPr="00E23232">
        <w:rPr>
          <w:bCs/>
        </w:rPr>
        <w:t xml:space="preserve"> млн. лв., което представлява </w:t>
      </w:r>
      <w:r w:rsidR="00C33A80">
        <w:rPr>
          <w:bCs/>
        </w:rPr>
        <w:t>28,7</w:t>
      </w:r>
      <w:r w:rsidRPr="00E23232">
        <w:rPr>
          <w:bCs/>
        </w:rPr>
        <w:t xml:space="preserve"> % от годишния разчет. С най-значителен дял в приходите от имуществени данъци са данъкът върху превозните средства – 3</w:t>
      </w:r>
      <w:r w:rsidR="0082661D">
        <w:rPr>
          <w:bCs/>
        </w:rPr>
        <w:t>6</w:t>
      </w:r>
      <w:r w:rsidRPr="00E23232">
        <w:rPr>
          <w:bCs/>
        </w:rPr>
        <w:t xml:space="preserve">,9 % и данъкът върху недвижимите имоти – </w:t>
      </w:r>
      <w:r w:rsidR="000901EA">
        <w:rPr>
          <w:bCs/>
        </w:rPr>
        <w:t>31,4</w:t>
      </w:r>
      <w:r w:rsidRPr="00E23232">
        <w:rPr>
          <w:bCs/>
        </w:rPr>
        <w:t xml:space="preserve"> %, следват данъкът върху придобиване на имущество по дарения и възмезден начин – </w:t>
      </w:r>
      <w:r w:rsidR="00AB638D">
        <w:rPr>
          <w:bCs/>
        </w:rPr>
        <w:t>30</w:t>
      </w:r>
      <w:r w:rsidRPr="00E23232">
        <w:rPr>
          <w:bCs/>
        </w:rPr>
        <w:t>,9 % и туристически данък – 0,</w:t>
      </w:r>
      <w:r w:rsidR="00AC563F">
        <w:rPr>
          <w:bCs/>
        </w:rPr>
        <w:t>8</w:t>
      </w:r>
      <w:r w:rsidRPr="00E23232">
        <w:rPr>
          <w:bCs/>
        </w:rPr>
        <w:t xml:space="preserve"> %.</w:t>
      </w:r>
      <w:r w:rsidRPr="00E23232">
        <w:t xml:space="preserve"> През отчетния период по бюджетите на общините са постъпили 4,</w:t>
      </w:r>
      <w:r w:rsidR="003878ED">
        <w:t>8</w:t>
      </w:r>
      <w:r w:rsidRPr="00E23232">
        <w:t xml:space="preserve"> млн. лв. от </w:t>
      </w:r>
      <w:r w:rsidRPr="00E23232">
        <w:rPr>
          <w:i/>
        </w:rPr>
        <w:t>патентен данък и данък върху таксиметров превоз на пътници</w:t>
      </w:r>
      <w:r w:rsidRPr="00E23232">
        <w:t xml:space="preserve"> (</w:t>
      </w:r>
      <w:r w:rsidR="003878ED">
        <w:t>28,7</w:t>
      </w:r>
      <w:r w:rsidRPr="00E23232">
        <w:t xml:space="preserve"> % от годишния разчет). </w:t>
      </w:r>
    </w:p>
    <w:p w:rsidR="00175E50" w:rsidRPr="00E23232" w:rsidRDefault="00175E50" w:rsidP="00175E50">
      <w:pPr>
        <w:ind w:firstLine="567"/>
        <w:jc w:val="both"/>
        <w:rPr>
          <w:color w:val="548DD4"/>
        </w:rPr>
      </w:pPr>
      <w:r w:rsidRPr="00E23232">
        <w:t xml:space="preserve">Общият размер на </w:t>
      </w:r>
      <w:r w:rsidRPr="00E23232">
        <w:rPr>
          <w:i/>
        </w:rPr>
        <w:t>неданъчните приходи</w:t>
      </w:r>
      <w:r w:rsidRPr="00E23232">
        <w:t xml:space="preserve"> по местните бюджети към 31 март </w:t>
      </w:r>
      <w:r w:rsidRPr="007E1252">
        <w:t>2022</w:t>
      </w:r>
      <w:r w:rsidRPr="00E23232">
        <w:t xml:space="preserve"> г. е </w:t>
      </w:r>
      <w:r w:rsidRPr="007E1252">
        <w:t>412,9 млн</w:t>
      </w:r>
      <w:r w:rsidRPr="00E26943">
        <w:t xml:space="preserve">. лв. (28,1% от разчетите по КФП за 2022 г.). </w:t>
      </w:r>
      <w:r w:rsidRPr="00E23232">
        <w:t>Най-голям относителен дял заемат приходите от общинск</w:t>
      </w:r>
      <w:r w:rsidRPr="00E26943">
        <w:t>и такси, които възлизат на 266,0 млн. лв. (29,5</w:t>
      </w:r>
      <w:r w:rsidRPr="00E23232">
        <w:t xml:space="preserve"> % от разчетените за годината), следват приходи</w:t>
      </w:r>
      <w:r w:rsidRPr="00E26943">
        <w:t>те и доходите от</w:t>
      </w:r>
      <w:r>
        <w:t xml:space="preserve"> собственост – 71,0 млн. лв. (</w:t>
      </w:r>
      <w:r w:rsidRPr="00E26943">
        <w:rPr>
          <w:lang w:val="ru-RU"/>
        </w:rPr>
        <w:t>22</w:t>
      </w:r>
      <w:r>
        <w:t>,5</w:t>
      </w:r>
      <w:r w:rsidRPr="00E23232">
        <w:t xml:space="preserve"> % от разчетените за </w:t>
      </w:r>
      <w:r w:rsidRPr="00E26943">
        <w:t>2022</w:t>
      </w:r>
      <w:r w:rsidRPr="00E23232">
        <w:t xml:space="preserve"> г.), постъпленията от про</w:t>
      </w:r>
      <w:r w:rsidRPr="00E26943">
        <w:t>дажба на нефинансови активи – 34,7 млн. лв. (27,1</w:t>
      </w:r>
      <w:r w:rsidRPr="00E23232">
        <w:t xml:space="preserve"> % от разчета за </w:t>
      </w:r>
      <w:r w:rsidRPr="00E23232">
        <w:lastRenderedPageBreak/>
        <w:t xml:space="preserve">годината), </w:t>
      </w:r>
      <w:r w:rsidRPr="00E26943">
        <w:t>приходите от концесии – 30,4</w:t>
      </w:r>
      <w:r w:rsidRPr="00E23232">
        <w:t xml:space="preserve"> млн. лв. (</w:t>
      </w:r>
      <w:r w:rsidRPr="00E26943">
        <w:t>65,9</w:t>
      </w:r>
      <w:r w:rsidRPr="00E23232">
        <w:t xml:space="preserve"> % от разчета за </w:t>
      </w:r>
      <w:r w:rsidRPr="00E26943">
        <w:t>2022</w:t>
      </w:r>
      <w:r w:rsidRPr="00E23232">
        <w:t xml:space="preserve"> г.) и постъпленията от глоби, </w:t>
      </w:r>
      <w:r w:rsidRPr="00E26943">
        <w:t>санкции и наказателни лихви – 21,2 млн. лв. (25,6</w:t>
      </w:r>
      <w:r w:rsidRPr="00E23232">
        <w:t xml:space="preserve"> % от планираните).</w:t>
      </w:r>
    </w:p>
    <w:p w:rsidR="00175E50" w:rsidRPr="00E23232" w:rsidRDefault="00175E50" w:rsidP="00175E50">
      <w:pPr>
        <w:ind w:firstLine="567"/>
        <w:jc w:val="both"/>
      </w:pPr>
      <w:r w:rsidRPr="00E23232">
        <w:t>През отчетния период по о</w:t>
      </w:r>
      <w:r w:rsidRPr="00761EB7">
        <w:t>бщинските бюджети са постъпили 4,0</w:t>
      </w:r>
      <w:r w:rsidRPr="00E23232">
        <w:t xml:space="preserve"> млн. лв. приходи от </w:t>
      </w:r>
      <w:r w:rsidRPr="00E23232">
        <w:rPr>
          <w:i/>
        </w:rPr>
        <w:t>помощи и дарения</w:t>
      </w:r>
      <w:r w:rsidRPr="00761EB7">
        <w:t>, което е 25,8</w:t>
      </w:r>
      <w:r w:rsidRPr="00E23232">
        <w:t xml:space="preserve"> % от разчетените за </w:t>
      </w:r>
      <w:r w:rsidRPr="00761EB7">
        <w:t>годината 15,7</w:t>
      </w:r>
      <w:r w:rsidRPr="00E23232">
        <w:t xml:space="preserve"> млн. лева. </w:t>
      </w:r>
    </w:p>
    <w:p w:rsidR="00175E50" w:rsidRPr="00E23232" w:rsidRDefault="00175E50" w:rsidP="00175E50">
      <w:pPr>
        <w:numPr>
          <w:ilvl w:val="0"/>
          <w:numId w:val="8"/>
        </w:numPr>
        <w:tabs>
          <w:tab w:val="num" w:pos="540"/>
        </w:tabs>
        <w:spacing w:before="240" w:line="276" w:lineRule="auto"/>
        <w:ind w:left="714" w:hanging="147"/>
        <w:jc w:val="both"/>
        <w:rPr>
          <w:b/>
        </w:rPr>
      </w:pPr>
      <w:r w:rsidRPr="00E23232">
        <w:rPr>
          <w:b/>
        </w:rPr>
        <w:t>Разходи</w:t>
      </w:r>
    </w:p>
    <w:p w:rsidR="00175E50" w:rsidRPr="00E23232" w:rsidRDefault="00175E50" w:rsidP="00175E50">
      <w:pPr>
        <w:ind w:firstLine="567"/>
        <w:jc w:val="both"/>
        <w:rPr>
          <w:color w:val="548DD4"/>
        </w:rPr>
      </w:pPr>
      <w:r w:rsidRPr="00E23232">
        <w:t>Към 31.03.</w:t>
      </w:r>
      <w:r w:rsidRPr="00761EB7">
        <w:t>2022</w:t>
      </w:r>
      <w:r w:rsidRPr="00E23232">
        <w:t xml:space="preserve"> г. общините са отчели общо разходи в размер на 1 </w:t>
      </w:r>
      <w:r w:rsidRPr="00761EB7">
        <w:t>812,3</w:t>
      </w:r>
      <w:r w:rsidRPr="00E23232">
        <w:t xml:space="preserve"> </w:t>
      </w:r>
      <w:r w:rsidRPr="00761EB7">
        <w:t>млн. лв., които представляват 21,8</w:t>
      </w:r>
      <w:r w:rsidRPr="00E23232">
        <w:t xml:space="preserve"> % спрямо разчетите по ЗДБРБ за </w:t>
      </w:r>
      <w:r w:rsidRPr="00761EB7">
        <w:t>2022</w:t>
      </w:r>
      <w:r w:rsidRPr="00E23232">
        <w:t xml:space="preserve"> година.</w:t>
      </w:r>
    </w:p>
    <w:p w:rsidR="00175E50" w:rsidRPr="00E23232" w:rsidRDefault="00175E50" w:rsidP="00175E50">
      <w:pPr>
        <w:ind w:firstLine="567"/>
        <w:jc w:val="both"/>
        <w:rPr>
          <w:color w:val="548DD4"/>
        </w:rPr>
      </w:pPr>
      <w:r w:rsidRPr="00E23232">
        <w:rPr>
          <w:i/>
        </w:rPr>
        <w:t>Нелихвените разходи</w:t>
      </w:r>
      <w:r w:rsidRPr="005D1E3B">
        <w:t xml:space="preserve"> възлизат на 1 804,6 млн. лв. или 21,8</w:t>
      </w:r>
      <w:r w:rsidRPr="00E23232">
        <w:t> % от годишния разчет. Разходите за персонал (</w:t>
      </w:r>
      <w:r w:rsidRPr="00E23232">
        <w:rPr>
          <w:bCs/>
        </w:rPr>
        <w:t>заплати и възнаграждения, други възнаграждения и плащания за персонала и осигурителни вноски)</w:t>
      </w:r>
      <w:r w:rsidRPr="00E23232">
        <w:t xml:space="preserve"> са в размер на </w:t>
      </w:r>
      <w:r w:rsidRPr="005D1E3B">
        <w:t>1 061,7 млн. лв. или 21,7</w:t>
      </w:r>
      <w:r w:rsidRPr="00E23232">
        <w:t xml:space="preserve"> % от планираните за </w:t>
      </w:r>
      <w:r w:rsidRPr="005D1E3B">
        <w:t>2022</w:t>
      </w:r>
      <w:r w:rsidRPr="00E23232">
        <w:t xml:space="preserve"> г. Разходите за издръжка </w:t>
      </w:r>
      <w:r w:rsidRPr="00E23232">
        <w:rPr>
          <w:bCs/>
        </w:rPr>
        <w:t>(вкл. разходи за членски внос и участие в нетърговски организации и дейности, платени данъци, такси и административни санкции)</w:t>
      </w:r>
      <w:r w:rsidRPr="00E23232">
        <w:t xml:space="preserve"> са в размер на </w:t>
      </w:r>
      <w:r w:rsidRPr="005D1E3B">
        <w:t>521,3 млн. лв., 26,8</w:t>
      </w:r>
      <w:r w:rsidRPr="00E23232">
        <w:t xml:space="preserve"> % от годишния разчет. Разходи</w:t>
      </w:r>
      <w:r w:rsidRPr="005D1E3B">
        <w:t>те за субсидии са в размер на 62</w:t>
      </w:r>
      <w:r w:rsidRPr="00E23232">
        <w:t>,</w:t>
      </w:r>
      <w:r w:rsidRPr="005D1E3B">
        <w:rPr>
          <w:lang w:val="ru-RU"/>
        </w:rPr>
        <w:t>1</w:t>
      </w:r>
      <w:r w:rsidRPr="005D1E3B">
        <w:t xml:space="preserve"> млн. лева (28,1</w:t>
      </w:r>
      <w:r w:rsidRPr="00E23232">
        <w:t xml:space="preserve"> % от годишния разчет). В разходите за субсидии за нефинансови предприятия се отчитат предоставените от общините субсидии за вътрешноградски и междуселищни превози на транспортните фирми и дружества, които се планират в централния бюджет, както и тези, които се предоставят по решение на общинския съвет. Като разходи за субсидии за организации с нестопанска цел се отчитат отпусканите по решение на общинския съвет субсидии по реда на Закона за физкултурата и спорта за подпомагане дейността на спортните клубове в общините (отчитат се в местните дейности).</w:t>
      </w:r>
      <w:r w:rsidRPr="00E23232">
        <w:rPr>
          <w:bCs/>
          <w:color w:val="548DD4"/>
        </w:rPr>
        <w:t xml:space="preserve"> </w:t>
      </w:r>
      <w:r w:rsidRPr="00E23232">
        <w:rPr>
          <w:bCs/>
        </w:rPr>
        <w:t>Социалните разходи (</w:t>
      </w:r>
      <w:r w:rsidRPr="00E23232">
        <w:t xml:space="preserve">текущи трансфери, обезщетения и помощи за домакинствата, </w:t>
      </w:r>
      <w:r w:rsidRPr="00E23232">
        <w:rPr>
          <w:bCs/>
        </w:rPr>
        <w:t>вкл. разходите за стипендии)</w:t>
      </w:r>
      <w:r w:rsidRPr="00E23232">
        <w:t xml:space="preserve"> са в размер на </w:t>
      </w:r>
      <w:r w:rsidRPr="005D1E3B">
        <w:t>40,3 млн. лв., което е 23,2</w:t>
      </w:r>
      <w:r w:rsidRPr="00E23232">
        <w:t xml:space="preserve"> % от разчетите към ЗДБРБ за </w:t>
      </w:r>
      <w:r w:rsidRPr="005D1E3B">
        <w:t>2022</w:t>
      </w:r>
      <w:r w:rsidRPr="00E23232">
        <w:t xml:space="preserve"> година</w:t>
      </w:r>
      <w:r w:rsidRPr="00E23232">
        <w:rPr>
          <w:color w:val="548DD4"/>
        </w:rPr>
        <w:t xml:space="preserve">.  </w:t>
      </w:r>
    </w:p>
    <w:p w:rsidR="00175E50" w:rsidRPr="00E23232" w:rsidRDefault="00175E50" w:rsidP="00175E50">
      <w:pPr>
        <w:ind w:firstLine="567"/>
      </w:pPr>
      <w:r w:rsidRPr="00E23232">
        <w:t xml:space="preserve">Капиталовите разходи са в размер на </w:t>
      </w:r>
      <w:r w:rsidRPr="00184EE5">
        <w:t>119,6 млн. лв. или 11,0</w:t>
      </w:r>
      <w:r w:rsidRPr="00E23232">
        <w:t xml:space="preserve"> % от разчетите към ЗДБРБ за </w:t>
      </w:r>
      <w:r w:rsidRPr="00184EE5">
        <w:t>2022</w:t>
      </w:r>
      <w:r w:rsidRPr="00E23232">
        <w:t xml:space="preserve"> година.</w:t>
      </w:r>
    </w:p>
    <w:p w:rsidR="00175E50" w:rsidRPr="00E23232" w:rsidRDefault="00175E50" w:rsidP="00175E50">
      <w:pPr>
        <w:ind w:firstLine="567"/>
        <w:jc w:val="both"/>
        <w:rPr>
          <w:color w:val="548DD4"/>
        </w:rPr>
      </w:pPr>
      <w:r w:rsidRPr="00E23232">
        <w:rPr>
          <w:i/>
        </w:rPr>
        <w:t>Разходите за лихви</w:t>
      </w:r>
      <w:r w:rsidRPr="00184EE5">
        <w:t xml:space="preserve"> възлизат на 7,7 млн. лв. и са 22,3</w:t>
      </w:r>
      <w:r w:rsidRPr="00E23232">
        <w:t xml:space="preserve"> % от разчета за </w:t>
      </w:r>
      <w:r w:rsidRPr="00184EE5">
        <w:t>2022</w:t>
      </w:r>
      <w:r w:rsidRPr="00E23232">
        <w:t xml:space="preserve"> г. Лихвените плащания по зае</w:t>
      </w:r>
      <w:r w:rsidRPr="00184EE5">
        <w:t>ми от чужбина са в размер на 3,0</w:t>
      </w:r>
      <w:r w:rsidRPr="00E23232">
        <w:t xml:space="preserve"> млн. лв. По облигацио</w:t>
      </w:r>
      <w:r w:rsidRPr="00184EE5">
        <w:t>нни заеми платените лихви са 0,3</w:t>
      </w:r>
      <w:r w:rsidRPr="00E23232">
        <w:t xml:space="preserve"> млн. лв., а по други вътрешни заеми към местни лица (банкови, </w:t>
      </w:r>
      <w:r w:rsidRPr="00184EE5">
        <w:t>заеми към „ФЛАГ“ ЕАД и др.) са 3,0</w:t>
      </w:r>
      <w:r w:rsidRPr="00E23232">
        <w:t xml:space="preserve"> млн. лв. Отчетените други лихвени плащания (по изпълнителни листове, за забавено изпълнение по сключени </w:t>
      </w:r>
      <w:r w:rsidRPr="00184EE5">
        <w:t>договори и др.) са в размер на 1,4</w:t>
      </w:r>
      <w:r w:rsidRPr="00E23232">
        <w:t xml:space="preserve"> млн. лева.</w:t>
      </w:r>
    </w:p>
    <w:p w:rsidR="00175E50" w:rsidRPr="00E23232" w:rsidRDefault="00175E50" w:rsidP="00175E50">
      <w:pPr>
        <w:tabs>
          <w:tab w:val="center" w:pos="4153"/>
          <w:tab w:val="right" w:pos="8306"/>
        </w:tabs>
        <w:ind w:firstLine="567"/>
        <w:jc w:val="both"/>
      </w:pPr>
      <w:r w:rsidRPr="00E23232">
        <w:t xml:space="preserve">Общият размер на отчетените разходи за </w:t>
      </w:r>
      <w:proofErr w:type="spellStart"/>
      <w:r w:rsidRPr="00E23232">
        <w:t>дофинансиране</w:t>
      </w:r>
      <w:proofErr w:type="spellEnd"/>
      <w:r w:rsidRPr="00E23232">
        <w:t xml:space="preserve"> на делегираните от държават</w:t>
      </w:r>
      <w:r w:rsidRPr="00184EE5">
        <w:t>а дейности с местни приходи е 34,6</w:t>
      </w:r>
      <w:r w:rsidRPr="00E23232">
        <w:t xml:space="preserve"> млн. лева.</w:t>
      </w:r>
    </w:p>
    <w:p w:rsidR="00175E50" w:rsidRPr="00E23232" w:rsidRDefault="00175E50" w:rsidP="00175E50">
      <w:pPr>
        <w:tabs>
          <w:tab w:val="center" w:pos="4153"/>
          <w:tab w:val="right" w:pos="8306"/>
        </w:tabs>
        <w:jc w:val="both"/>
        <w:rPr>
          <w:rFonts w:eastAsia="Calibri"/>
          <w:color w:val="548DD4"/>
          <w:sz w:val="8"/>
        </w:rPr>
      </w:pPr>
    </w:p>
    <w:p w:rsidR="00175E50" w:rsidRPr="00E23232" w:rsidRDefault="00175E50" w:rsidP="00175E50">
      <w:pPr>
        <w:numPr>
          <w:ilvl w:val="0"/>
          <w:numId w:val="8"/>
        </w:numPr>
        <w:tabs>
          <w:tab w:val="num" w:pos="540"/>
        </w:tabs>
        <w:spacing w:before="120" w:line="276" w:lineRule="auto"/>
        <w:ind w:left="714" w:hanging="147"/>
        <w:jc w:val="both"/>
        <w:rPr>
          <w:b/>
        </w:rPr>
      </w:pPr>
      <w:r w:rsidRPr="00E23232">
        <w:rPr>
          <w:b/>
        </w:rPr>
        <w:t>Финансиране</w:t>
      </w:r>
    </w:p>
    <w:p w:rsidR="00175E50" w:rsidRDefault="00175E50" w:rsidP="00A0457F">
      <w:pPr>
        <w:pStyle w:val="BodyText"/>
        <w:widowControl w:val="0"/>
        <w:ind w:firstLine="567"/>
      </w:pPr>
      <w:r>
        <w:t xml:space="preserve">От началото на годината до 31.03.2022 г. по общинските бюджети </w:t>
      </w:r>
      <w:r w:rsidRPr="00184EE5">
        <w:rPr>
          <w:i/>
        </w:rPr>
        <w:t>не са получавани</w:t>
      </w:r>
      <w:r>
        <w:t xml:space="preserve"> заемни средства от договори с чуждестранни кредитори. </w:t>
      </w:r>
    </w:p>
    <w:p w:rsidR="00175E50" w:rsidRPr="00184EE5" w:rsidRDefault="00175E50" w:rsidP="00A0457F">
      <w:pPr>
        <w:pStyle w:val="BodyText"/>
        <w:widowControl w:val="0"/>
        <w:ind w:firstLine="567"/>
      </w:pPr>
      <w:r w:rsidRPr="00E23232">
        <w:t xml:space="preserve">Изплатените </w:t>
      </w:r>
      <w:r w:rsidRPr="00E23232">
        <w:rPr>
          <w:i/>
        </w:rPr>
        <w:t>погашения по заеми</w:t>
      </w:r>
      <w:r w:rsidRPr="00184EE5">
        <w:t xml:space="preserve"> от чужбина са в размер на 8,8</w:t>
      </w:r>
      <w:r w:rsidRPr="00E23232">
        <w:t xml:space="preserve"> млн. лева. </w:t>
      </w:r>
      <w:r w:rsidRPr="00184EE5">
        <w:t xml:space="preserve">(от Столична община са 8,7 млн. лв. а от община Ловеч са 0,1 млн. лв.). </w:t>
      </w:r>
    </w:p>
    <w:p w:rsidR="00175E50" w:rsidRPr="00184EE5" w:rsidRDefault="00175E50" w:rsidP="00A0457F">
      <w:pPr>
        <w:widowControl w:val="0"/>
        <w:ind w:firstLine="567"/>
        <w:jc w:val="both"/>
        <w:rPr>
          <w:lang w:eastAsia="bg-BG"/>
        </w:rPr>
      </w:pPr>
      <w:r w:rsidRPr="00184EE5">
        <w:rPr>
          <w:lang w:eastAsia="bg-BG"/>
        </w:rPr>
        <w:t>За отчетния период получените заемни средства от банки в страната са в размер на 11,9</w:t>
      </w:r>
      <w:r w:rsidR="00CD35CC">
        <w:rPr>
          <w:lang w:eastAsia="bg-BG"/>
        </w:rPr>
        <w:t> </w:t>
      </w:r>
      <w:r w:rsidRPr="00184EE5">
        <w:rPr>
          <w:lang w:eastAsia="bg-BG"/>
        </w:rPr>
        <w:t xml:space="preserve">млн. лв., а от други местни лица са 26,0 млн. лв. (в т.ч. 20,8 млн. лв. от „ФЛАГ“ ЕАД) или общо получените заемни средства са 37,9 млн. лв. Изплатените главници по банкови заеми от страната са 21,4 млн. лв., а по заеми от др. лица са 20,4 млн. лв. (в т.ч. 19,4 млн. лв. към „ФЛАГ“ ЕАД ) или общо платените главници са в размер на 41,8 млн. лв. Погашенията за периода по заемите от страната е по-голям от получените средства, поради което нетният размер на операциите по тези заеми е отрицателен (-3,8) млн. лв. За същия период на 2021 г, получените заемни средства от банки в страната и др. местни лица са 30,5 млн. лв., а погашенията към същите са 49,3 млн. лв. </w:t>
      </w:r>
    </w:p>
    <w:p w:rsidR="00175E50" w:rsidRPr="00184EE5" w:rsidRDefault="00175E50" w:rsidP="00A0457F">
      <w:pPr>
        <w:widowControl w:val="0"/>
        <w:ind w:firstLine="567"/>
        <w:jc w:val="both"/>
        <w:rPr>
          <w:lang w:eastAsia="bg-BG"/>
        </w:rPr>
      </w:pPr>
      <w:r w:rsidRPr="00184EE5">
        <w:rPr>
          <w:lang w:eastAsia="bg-BG"/>
        </w:rPr>
        <w:t xml:space="preserve">Погашенията по емитирани през предходни периоди общински ценни книжа са в размер на 3,8 млн. лв. и са отчетени от 6 общини. За отчетния период няма емитиран нов дълг. </w:t>
      </w:r>
    </w:p>
    <w:p w:rsidR="00175E50" w:rsidRPr="00E23232" w:rsidRDefault="00175E50" w:rsidP="00A0457F">
      <w:pPr>
        <w:ind w:firstLine="567"/>
        <w:jc w:val="both"/>
      </w:pPr>
      <w:r w:rsidRPr="00E23232">
        <w:t>Другото финансиране /нето/ по общинските бюджети към 31.03.</w:t>
      </w:r>
      <w:r w:rsidRPr="00184EE5">
        <w:t>2022 г. е 5,8</w:t>
      </w:r>
      <w:r w:rsidRPr="00E23232">
        <w:t xml:space="preserve"> млн. лв., като съществена част от него представлява отчетените операции по Закона за управление на отпадъците. Нетният размер на задълженията и погашенията по финансов лизинг и търговски кредити като ф</w:t>
      </w:r>
      <w:r w:rsidRPr="00184EE5">
        <w:t>орми на дълг е в размер на (-0,2</w:t>
      </w:r>
      <w:r w:rsidRPr="00E23232">
        <w:t xml:space="preserve">) млн. лева. </w:t>
      </w:r>
    </w:p>
    <w:p w:rsidR="00175E50" w:rsidRPr="00E23232" w:rsidRDefault="00175E50" w:rsidP="00A0457F">
      <w:pPr>
        <w:ind w:firstLine="567"/>
        <w:jc w:val="both"/>
      </w:pPr>
      <w:r w:rsidRPr="00E23232">
        <w:lastRenderedPageBreak/>
        <w:t>Нетният размер на събраните средства и извършени плащания от общините за сметка на други бюджети, с</w:t>
      </w:r>
      <w:r w:rsidRPr="00184EE5">
        <w:t xml:space="preserve">метки и фондове е в размер на </w:t>
      </w:r>
      <w:r w:rsidRPr="00E23232">
        <w:t>6</w:t>
      </w:r>
      <w:r w:rsidRPr="00184EE5">
        <w:rPr>
          <w:lang w:val="ru-RU"/>
        </w:rPr>
        <w:t>4</w:t>
      </w:r>
      <w:r w:rsidRPr="00184EE5">
        <w:t>,3</w:t>
      </w:r>
      <w:r w:rsidRPr="00E23232">
        <w:t xml:space="preserve"> млн. лв.</w:t>
      </w:r>
    </w:p>
    <w:p w:rsidR="00175E50" w:rsidRDefault="00175E50" w:rsidP="00A0457F">
      <w:pPr>
        <w:ind w:firstLine="567"/>
        <w:rPr>
          <w:lang w:eastAsia="bg-BG"/>
        </w:rPr>
      </w:pPr>
      <w:r w:rsidRPr="006235C6">
        <w:rPr>
          <w:lang w:eastAsia="bg-BG"/>
        </w:rPr>
        <w:t>Общините отчитат 1 599,3 млн. лв. бюджетен преходен остатък, а наличността към края на първото тримесечие на 202</w:t>
      </w:r>
      <w:r>
        <w:rPr>
          <w:lang w:eastAsia="bg-BG"/>
        </w:rPr>
        <w:t>2</w:t>
      </w:r>
      <w:r w:rsidRPr="006235C6">
        <w:rPr>
          <w:lang w:eastAsia="bg-BG"/>
        </w:rPr>
        <w:t xml:space="preserve"> г. (по банкови сметки и каса) е в размер на 2 162,9 млн. лв. (с </w:t>
      </w:r>
      <w:r w:rsidRPr="006235C6">
        <w:rPr>
          <w:lang w:val="ru-RU" w:eastAsia="bg-BG"/>
        </w:rPr>
        <w:t>250</w:t>
      </w:r>
      <w:r w:rsidRPr="006235C6">
        <w:rPr>
          <w:lang w:eastAsia="bg-BG"/>
        </w:rPr>
        <w:t xml:space="preserve"> млн. лв. повече от същия период на миналата година). Отчетеният остатък в делегираните от държавата дейности е 8</w:t>
      </w:r>
      <w:r w:rsidRPr="006235C6">
        <w:rPr>
          <w:lang w:val="ru-RU" w:eastAsia="bg-BG"/>
        </w:rPr>
        <w:t>32</w:t>
      </w:r>
      <w:r w:rsidRPr="006235C6">
        <w:rPr>
          <w:lang w:eastAsia="bg-BG"/>
        </w:rPr>
        <w:t>,0 млн. лв. (38,5%), а 1 </w:t>
      </w:r>
      <w:r w:rsidRPr="006235C6">
        <w:rPr>
          <w:lang w:val="ru-RU" w:eastAsia="bg-BG"/>
        </w:rPr>
        <w:t>330</w:t>
      </w:r>
      <w:r w:rsidRPr="006235C6">
        <w:rPr>
          <w:lang w:eastAsia="bg-BG"/>
        </w:rPr>
        <w:t>,</w:t>
      </w:r>
      <w:r w:rsidRPr="006235C6">
        <w:rPr>
          <w:lang w:val="ru-RU" w:eastAsia="bg-BG"/>
        </w:rPr>
        <w:t>9</w:t>
      </w:r>
      <w:r w:rsidRPr="006235C6">
        <w:rPr>
          <w:lang w:eastAsia="bg-BG"/>
        </w:rPr>
        <w:t xml:space="preserve"> млн. лв. (61,5%) е в местни дейности.</w:t>
      </w:r>
      <w:r w:rsidRPr="006235C6">
        <w:rPr>
          <w:lang w:val="ru-RU" w:eastAsia="bg-BG"/>
        </w:rPr>
        <w:t xml:space="preserve"> </w:t>
      </w:r>
      <w:r w:rsidRPr="006235C6">
        <w:rPr>
          <w:lang w:eastAsia="bg-BG"/>
        </w:rPr>
        <w:t>Голяма част от наличността е от неизразходвани средства, предоставяни на общините през предходни години под формата на субсидии. Друга, съществена част от наличността, е от получени през 2021 г., но неизразходвани субсидии. 17,5 % от общата наличност е от получени през 2021 г., но неизразходвани приходи.</w:t>
      </w:r>
    </w:p>
    <w:p w:rsidR="002C4D33" w:rsidRPr="00151757" w:rsidRDefault="002C4D33" w:rsidP="00FD362E">
      <w:pPr>
        <w:pStyle w:val="BodyText"/>
        <w:spacing w:after="120"/>
        <w:ind w:firstLine="567"/>
        <w:rPr>
          <w:color w:val="548DD4" w:themeColor="text2" w:themeTint="99"/>
          <w:sz w:val="18"/>
          <w:szCs w:val="12"/>
        </w:rPr>
      </w:pPr>
    </w:p>
    <w:p w:rsidR="007C1025" w:rsidRPr="00B83E74" w:rsidRDefault="007C1025" w:rsidP="00D6063B">
      <w:pPr>
        <w:pStyle w:val="Heading1"/>
        <w:numPr>
          <w:ilvl w:val="1"/>
          <w:numId w:val="25"/>
        </w:numPr>
        <w:spacing w:after="120"/>
        <w:ind w:right="-108"/>
        <w:jc w:val="both"/>
        <w:rPr>
          <w:sz w:val="24"/>
        </w:rPr>
      </w:pPr>
      <w:r w:rsidRPr="00B83E74">
        <w:rPr>
          <w:sz w:val="24"/>
        </w:rPr>
        <w:t>Бюджети на Българската национална телевизия (БНТ), Българското национално радио (БНР) и Българската телеграфна агенция (БТА)</w:t>
      </w:r>
    </w:p>
    <w:p w:rsidR="00BB6DC9" w:rsidRPr="00C80E5C" w:rsidRDefault="00BB6DC9" w:rsidP="00BB6DC9">
      <w:pPr>
        <w:spacing w:before="240"/>
        <w:ind w:firstLine="567"/>
        <w:jc w:val="both"/>
        <w:rPr>
          <w:szCs w:val="20"/>
        </w:rPr>
      </w:pPr>
      <w:r w:rsidRPr="00C80E5C">
        <w:rPr>
          <w:b/>
        </w:rPr>
        <w:t>Приходите на БНТ</w:t>
      </w:r>
      <w:r w:rsidRPr="00C80E5C">
        <w:t xml:space="preserve"> към </w:t>
      </w:r>
      <w:r>
        <w:t>31.03.2022</w:t>
      </w:r>
      <w:r w:rsidRPr="001F5FC6">
        <w:t xml:space="preserve"> г. са в размер на 2,4</w:t>
      </w:r>
      <w:r w:rsidRPr="00C80E5C">
        <w:t xml:space="preserve"> млн.</w:t>
      </w:r>
      <w:r w:rsidRPr="001F5FC6">
        <w:t xml:space="preserve"> лв. при планирани за годината 10,0</w:t>
      </w:r>
      <w:r w:rsidRPr="00C80E5C">
        <w:t xml:space="preserve"> млн. лв. или за</w:t>
      </w:r>
      <w:r w:rsidRPr="001F5FC6">
        <w:t xml:space="preserve"> отчетния период са постъпили 23</w:t>
      </w:r>
      <w:r w:rsidRPr="00C80E5C">
        <w:t xml:space="preserve">,7 % от планираните за годината. </w:t>
      </w:r>
      <w:r w:rsidRPr="00C80E5C">
        <w:rPr>
          <w:szCs w:val="20"/>
        </w:rPr>
        <w:t>Отчетените неданъчни приходи са постъпления от продажба на услуги, стоки и продукция (реклама, спонсорство, технически услуги, почивно дело, продажба на програми) и</w:t>
      </w:r>
      <w:r w:rsidRPr="00C80E5C">
        <w:rPr>
          <w:b/>
          <w:szCs w:val="20"/>
        </w:rPr>
        <w:t xml:space="preserve"> </w:t>
      </w:r>
      <w:r w:rsidRPr="00C80E5C">
        <w:rPr>
          <w:szCs w:val="20"/>
        </w:rPr>
        <w:t>наеми на имущество.</w:t>
      </w:r>
    </w:p>
    <w:p w:rsidR="00BB6DC9" w:rsidRPr="00C80E5C" w:rsidRDefault="00BB6DC9" w:rsidP="00BB6DC9">
      <w:pPr>
        <w:ind w:firstLine="567"/>
        <w:jc w:val="both"/>
      </w:pPr>
      <w:r w:rsidRPr="00C80E5C">
        <w:t xml:space="preserve">Отчетените </w:t>
      </w:r>
      <w:r w:rsidRPr="00C80E5C">
        <w:rPr>
          <w:b/>
        </w:rPr>
        <w:t>разходи</w:t>
      </w:r>
      <w:r w:rsidRPr="00C80E5C">
        <w:t xml:space="preserve"> </w:t>
      </w:r>
      <w:r w:rsidRPr="00C80E5C">
        <w:rPr>
          <w:b/>
        </w:rPr>
        <w:t>на БНТ</w:t>
      </w:r>
      <w:r w:rsidRPr="00C80E5C">
        <w:t xml:space="preserve"> към</w:t>
      </w:r>
      <w:r w:rsidRPr="001F5FC6">
        <w:t xml:space="preserve"> 31.03.2022 г. са в размер на 15,6 млн. лв. или 17,0</w:t>
      </w:r>
      <w:r w:rsidRPr="00C80E5C">
        <w:t xml:space="preserve"> % от предвидените разходи в годишния разчет. </w:t>
      </w:r>
      <w:r w:rsidRPr="001F5FC6">
        <w:rPr>
          <w:szCs w:val="20"/>
        </w:rPr>
        <w:t>За периода са отчетени 11,7 млн. лв. текущи разходи и 3,9</w:t>
      </w:r>
      <w:r w:rsidRPr="00C80E5C">
        <w:rPr>
          <w:szCs w:val="20"/>
        </w:rPr>
        <w:t xml:space="preserve"> млн. лв. капиталови разходи. В разпределението на разходите по бюджета на обществената медия е включен преходният</w:t>
      </w:r>
      <w:r w:rsidRPr="001F5FC6">
        <w:rPr>
          <w:szCs w:val="20"/>
        </w:rPr>
        <w:t xml:space="preserve"> остатък за 2021</w:t>
      </w:r>
      <w:r w:rsidRPr="00C80E5C">
        <w:rPr>
          <w:szCs w:val="20"/>
        </w:rPr>
        <w:t xml:space="preserve"> г. (съгл. чл. 70, ал. 6 от Закона за радиот</w:t>
      </w:r>
      <w:r w:rsidRPr="001F5FC6">
        <w:rPr>
          <w:szCs w:val="20"/>
        </w:rPr>
        <w:t>о и телевизията) в размер на 1,1</w:t>
      </w:r>
      <w:r w:rsidRPr="00C80E5C">
        <w:rPr>
          <w:szCs w:val="20"/>
        </w:rPr>
        <w:t xml:space="preserve"> млн. лв. За отчетния период  средствата са усвоени за реализирането на основните цели и дейности на БНТ по подготовката, създаването и разпространението на телевизионни програми съгласно разпоредбите на Закона за радиото и телевизията. </w:t>
      </w:r>
    </w:p>
    <w:p w:rsidR="00BB6DC9" w:rsidRPr="00C80E5C" w:rsidRDefault="00BB6DC9" w:rsidP="00BB6DC9">
      <w:pPr>
        <w:ind w:firstLine="567"/>
        <w:jc w:val="both"/>
        <w:rPr>
          <w:color w:val="548DD4"/>
          <w:szCs w:val="20"/>
        </w:rPr>
      </w:pPr>
      <w:r>
        <w:t>О</w:t>
      </w:r>
      <w:r w:rsidRPr="00C80E5C">
        <w:t xml:space="preserve">бщо утвърдените </w:t>
      </w:r>
      <w:r>
        <w:rPr>
          <w:szCs w:val="20"/>
        </w:rPr>
        <w:t>с</w:t>
      </w:r>
      <w:r w:rsidRPr="001F5FC6">
        <w:rPr>
          <w:szCs w:val="20"/>
        </w:rPr>
        <w:t xml:space="preserve"> чл. 49, т. 2 от ЗДБРБ за 2022 г. </w:t>
      </w:r>
      <w:r w:rsidRPr="00C80E5C">
        <w:rPr>
          <w:b/>
          <w:i/>
        </w:rPr>
        <w:t>бюджетни взаимоотношения на БНТ с централния бюджет</w:t>
      </w:r>
      <w:r w:rsidRPr="00C80E5C">
        <w:t xml:space="preserve"> са в размер на </w:t>
      </w:r>
      <w:r w:rsidRPr="001F5FC6">
        <w:rPr>
          <w:szCs w:val="20"/>
        </w:rPr>
        <w:t>80,6</w:t>
      </w:r>
      <w:r w:rsidRPr="00C80E5C">
        <w:rPr>
          <w:szCs w:val="20"/>
        </w:rPr>
        <w:t xml:space="preserve"> млн. лв., </w:t>
      </w:r>
      <w:r w:rsidRPr="001F5FC6">
        <w:rPr>
          <w:szCs w:val="20"/>
        </w:rPr>
        <w:t xml:space="preserve">в т.ч. 6,1 млн. лв. по чл. 70, ал. 4, т. 2 от Закона за радиото и телевизията. </w:t>
      </w:r>
      <w:r w:rsidRPr="00C80E5C">
        <w:rPr>
          <w:szCs w:val="20"/>
        </w:rPr>
        <w:t>За отчетния пери</w:t>
      </w:r>
      <w:r w:rsidRPr="001F5FC6">
        <w:rPr>
          <w:szCs w:val="20"/>
        </w:rPr>
        <w:t>од е усвоена сума в размер на 15,4 млн. лв. или 19,1</w:t>
      </w:r>
      <w:r w:rsidRPr="00C80E5C">
        <w:rPr>
          <w:szCs w:val="20"/>
        </w:rPr>
        <w:t xml:space="preserve"> % от размера на </w:t>
      </w:r>
      <w:r>
        <w:rPr>
          <w:szCs w:val="20"/>
        </w:rPr>
        <w:t>определените със ЗДБРБ за 2022</w:t>
      </w:r>
      <w:r w:rsidRPr="00C80E5C">
        <w:rPr>
          <w:szCs w:val="20"/>
        </w:rPr>
        <w:t xml:space="preserve"> г. бюджетни взаимоотношения на БНТ с централния бюджет.</w:t>
      </w:r>
    </w:p>
    <w:p w:rsidR="00BB6DC9" w:rsidRPr="00C80E5C" w:rsidRDefault="00BB6DC9" w:rsidP="00BB6DC9">
      <w:pPr>
        <w:spacing w:before="240"/>
        <w:ind w:firstLine="567"/>
        <w:jc w:val="both"/>
        <w:rPr>
          <w:color w:val="548DD4"/>
        </w:rPr>
      </w:pPr>
      <w:r w:rsidRPr="00C80E5C">
        <w:rPr>
          <w:b/>
        </w:rPr>
        <w:t>Приходите по бюджета на БНР</w:t>
      </w:r>
      <w:r w:rsidRPr="001F5FC6">
        <w:t xml:space="preserve"> към 31.03.2022</w:t>
      </w:r>
      <w:r w:rsidRPr="00C80E5C">
        <w:t xml:space="preserve"> г. са в размер на 0,4</w:t>
      </w:r>
      <w:r w:rsidRPr="001F5FC6">
        <w:t xml:space="preserve"> млн. лв., което представлява 19,7 % от планираните за годината 1,8</w:t>
      </w:r>
      <w:r w:rsidRPr="00C80E5C">
        <w:t xml:space="preserve"> млн. лв.</w:t>
      </w:r>
      <w:r w:rsidRPr="00C80E5C">
        <w:rPr>
          <w:szCs w:val="20"/>
        </w:rPr>
        <w:t xml:space="preserve"> Отчетените приходи са постъпления от продажба на услуги, стоки и продукция (реклама, спонсорство, технически услуги, съвместни продукции, приходи от концертна дейност, издателска и лицензионна дейност и др.), наеми на имущество и др.</w:t>
      </w:r>
    </w:p>
    <w:p w:rsidR="00BB6DC9" w:rsidRPr="00C80E5C" w:rsidRDefault="00BB6DC9" w:rsidP="00BB6DC9">
      <w:pPr>
        <w:ind w:firstLine="567"/>
        <w:jc w:val="both"/>
        <w:rPr>
          <w:szCs w:val="20"/>
        </w:rPr>
      </w:pPr>
      <w:r w:rsidRPr="00C80E5C">
        <w:rPr>
          <w:szCs w:val="20"/>
        </w:rPr>
        <w:t xml:space="preserve">Изпълнението на </w:t>
      </w:r>
      <w:r w:rsidRPr="00C80E5C">
        <w:rPr>
          <w:b/>
          <w:szCs w:val="20"/>
        </w:rPr>
        <w:t>разходите</w:t>
      </w:r>
      <w:r w:rsidRPr="00C80E5C">
        <w:rPr>
          <w:szCs w:val="20"/>
        </w:rPr>
        <w:t xml:space="preserve"> </w:t>
      </w:r>
      <w:r w:rsidRPr="00C80E5C">
        <w:rPr>
          <w:b/>
          <w:szCs w:val="20"/>
        </w:rPr>
        <w:t>по бюджета на</w:t>
      </w:r>
      <w:r w:rsidRPr="00C80E5C">
        <w:rPr>
          <w:szCs w:val="20"/>
        </w:rPr>
        <w:t xml:space="preserve"> </w:t>
      </w:r>
      <w:r w:rsidRPr="00C80E5C">
        <w:rPr>
          <w:b/>
          <w:szCs w:val="20"/>
        </w:rPr>
        <w:t xml:space="preserve">БНР </w:t>
      </w:r>
      <w:r w:rsidRPr="00C80E5C">
        <w:rPr>
          <w:szCs w:val="20"/>
        </w:rPr>
        <w:t xml:space="preserve">възлиза на </w:t>
      </w:r>
      <w:r w:rsidRPr="001F5FC6">
        <w:rPr>
          <w:szCs w:val="20"/>
        </w:rPr>
        <w:t>10,5 млн. лв. или 18,2</w:t>
      </w:r>
      <w:r w:rsidRPr="00C80E5C">
        <w:rPr>
          <w:szCs w:val="20"/>
        </w:rPr>
        <w:t xml:space="preserve"> % </w:t>
      </w:r>
      <w:r w:rsidRPr="00C80E5C">
        <w:t xml:space="preserve">от </w:t>
      </w:r>
      <w:r w:rsidRPr="001F5FC6">
        <w:t>годишния разчет по ЗДБРБ за 20</w:t>
      </w:r>
      <w:r w:rsidRPr="0047489A">
        <w:t>22</w:t>
      </w:r>
      <w:r w:rsidRPr="00C80E5C">
        <w:t xml:space="preserve"> г. </w:t>
      </w:r>
      <w:r w:rsidRPr="0047489A">
        <w:rPr>
          <w:szCs w:val="20"/>
        </w:rPr>
        <w:t>За периода са отчетени 10,4 млн. лв. текущи разходи и 0,1</w:t>
      </w:r>
      <w:r w:rsidRPr="00C80E5C">
        <w:rPr>
          <w:szCs w:val="20"/>
        </w:rPr>
        <w:t xml:space="preserve"> млн. лв. капиталови разходи</w:t>
      </w:r>
      <w:r w:rsidRPr="00C80E5C">
        <w:rPr>
          <w:color w:val="548DD4"/>
          <w:szCs w:val="20"/>
        </w:rPr>
        <w:t xml:space="preserve">. </w:t>
      </w:r>
      <w:r w:rsidRPr="00C80E5C">
        <w:rPr>
          <w:szCs w:val="20"/>
        </w:rPr>
        <w:t>Средствата са усвоени за реализирането на основните цели и дейности на БНР по подготовката, създаването и разпространението на национални и регионални програми съгласно разпоредбите на Закона за радиото и телевизията. В разпределението на разходите по бюджета на БНР е включен преходният</w:t>
      </w:r>
      <w:r w:rsidRPr="0047489A">
        <w:rPr>
          <w:szCs w:val="20"/>
        </w:rPr>
        <w:t xml:space="preserve"> остатък за 2021</w:t>
      </w:r>
      <w:r w:rsidRPr="00C80E5C">
        <w:rPr>
          <w:szCs w:val="20"/>
        </w:rPr>
        <w:t xml:space="preserve"> г. (съгл. чл. 70, ал. 6 от Закона за радиото и телев</w:t>
      </w:r>
      <w:r w:rsidRPr="0047489A">
        <w:rPr>
          <w:szCs w:val="20"/>
        </w:rPr>
        <w:t>изията) в размер на 2,5</w:t>
      </w:r>
      <w:r w:rsidRPr="00C80E5C">
        <w:rPr>
          <w:szCs w:val="20"/>
        </w:rPr>
        <w:t xml:space="preserve"> млн. лева. </w:t>
      </w:r>
    </w:p>
    <w:p w:rsidR="00BB6DC9" w:rsidRPr="00C80E5C" w:rsidRDefault="00BB6DC9" w:rsidP="00BB6DC9">
      <w:pPr>
        <w:ind w:firstLine="567"/>
        <w:jc w:val="both"/>
        <w:rPr>
          <w:szCs w:val="20"/>
        </w:rPr>
      </w:pPr>
      <w:r w:rsidRPr="00C80E5C">
        <w:t>Общо утвърдените</w:t>
      </w:r>
      <w:r w:rsidRPr="0047489A">
        <w:rPr>
          <w:szCs w:val="20"/>
        </w:rPr>
        <w:t xml:space="preserve"> </w:t>
      </w:r>
      <w:r w:rsidRPr="0047489A">
        <w:t xml:space="preserve">с чл. 49, т. 1 от ЗДБРБ за 2022 г. </w:t>
      </w:r>
      <w:r w:rsidRPr="00C80E5C">
        <w:rPr>
          <w:b/>
        </w:rPr>
        <w:t xml:space="preserve"> </w:t>
      </w:r>
      <w:r w:rsidRPr="00C80E5C">
        <w:rPr>
          <w:b/>
          <w:i/>
          <w:szCs w:val="20"/>
        </w:rPr>
        <w:t>бюджетни взаимоотношения на БНР с централния бюджет</w:t>
      </w:r>
      <w:r w:rsidRPr="0047489A">
        <w:rPr>
          <w:szCs w:val="20"/>
        </w:rPr>
        <w:t xml:space="preserve"> за 2022 г. са в размер на 55,7</w:t>
      </w:r>
      <w:r w:rsidRPr="00C80E5C">
        <w:rPr>
          <w:szCs w:val="20"/>
        </w:rPr>
        <w:t xml:space="preserve"> млн. лв.,</w:t>
      </w:r>
      <w:r w:rsidRPr="0047489A">
        <w:rPr>
          <w:szCs w:val="20"/>
        </w:rPr>
        <w:t xml:space="preserve"> в т.ч. 3,9 млн. лв. по чл. 70, ал. 4, т. 2 от Закона за радиото и телевизията. </w:t>
      </w:r>
      <w:r w:rsidRPr="00C80E5C">
        <w:rPr>
          <w:szCs w:val="20"/>
        </w:rPr>
        <w:t xml:space="preserve"> За отчетния пери</w:t>
      </w:r>
      <w:r w:rsidRPr="0047489A">
        <w:rPr>
          <w:szCs w:val="20"/>
        </w:rPr>
        <w:t>од е усвоена сума в размер на 13,1 млн. лв. или 23,5</w:t>
      </w:r>
      <w:r w:rsidRPr="00C80E5C">
        <w:rPr>
          <w:szCs w:val="20"/>
        </w:rPr>
        <w:t xml:space="preserve"> % от размера н</w:t>
      </w:r>
      <w:r w:rsidRPr="0047489A">
        <w:rPr>
          <w:szCs w:val="20"/>
        </w:rPr>
        <w:t>а определените със ЗДБРБ за 2022</w:t>
      </w:r>
      <w:r w:rsidRPr="00C80E5C">
        <w:rPr>
          <w:szCs w:val="20"/>
        </w:rPr>
        <w:t xml:space="preserve"> г. бюджетни взаимоотношения на БНР с централния бюджет.</w:t>
      </w:r>
    </w:p>
    <w:p w:rsidR="00BB6DC9" w:rsidRPr="00C80E5C" w:rsidRDefault="00BB6DC9" w:rsidP="00BB6DC9">
      <w:pPr>
        <w:spacing w:before="240"/>
        <w:ind w:firstLine="567"/>
        <w:jc w:val="both"/>
        <w:rPr>
          <w:b/>
          <w:szCs w:val="20"/>
        </w:rPr>
      </w:pPr>
      <w:r w:rsidRPr="00C80E5C">
        <w:rPr>
          <w:b/>
          <w:szCs w:val="20"/>
        </w:rPr>
        <w:t xml:space="preserve">Приходите на БТА </w:t>
      </w:r>
      <w:r w:rsidRPr="0047489A">
        <w:rPr>
          <w:szCs w:val="20"/>
        </w:rPr>
        <w:t>към 31.03.2022 г. са 0,2 млн. лв. или 67</w:t>
      </w:r>
      <w:r w:rsidRPr="00C80E5C">
        <w:rPr>
          <w:szCs w:val="20"/>
        </w:rPr>
        <w:t xml:space="preserve">,2 % от предвидените за годината, като това са основно постъпления от продажба на информационни продукти и услуги. </w:t>
      </w:r>
    </w:p>
    <w:p w:rsidR="00BB6DC9" w:rsidRPr="00C80E5C" w:rsidRDefault="00BB6DC9" w:rsidP="00BB6DC9">
      <w:pPr>
        <w:ind w:firstLine="567"/>
        <w:jc w:val="both"/>
        <w:rPr>
          <w:szCs w:val="20"/>
        </w:rPr>
      </w:pPr>
      <w:r w:rsidRPr="00C80E5C">
        <w:rPr>
          <w:b/>
          <w:szCs w:val="20"/>
        </w:rPr>
        <w:lastRenderedPageBreak/>
        <w:t xml:space="preserve">Отчетените разходи на </w:t>
      </w:r>
      <w:r w:rsidRPr="0047489A">
        <w:rPr>
          <w:szCs w:val="20"/>
        </w:rPr>
        <w:t>БТА за периода са 1,6 млн. лв., което е 15,1</w:t>
      </w:r>
      <w:r w:rsidRPr="00C80E5C">
        <w:rPr>
          <w:szCs w:val="20"/>
        </w:rPr>
        <w:t xml:space="preserve"> % от годишния р</w:t>
      </w:r>
      <w:r w:rsidRPr="0047489A">
        <w:rPr>
          <w:szCs w:val="20"/>
        </w:rPr>
        <w:t>азчет за 2022</w:t>
      </w:r>
      <w:r w:rsidRPr="00C80E5C">
        <w:rPr>
          <w:szCs w:val="20"/>
        </w:rPr>
        <w:t xml:space="preserve"> г.</w:t>
      </w:r>
      <w:r>
        <w:rPr>
          <w:szCs w:val="20"/>
        </w:rPr>
        <w:t>,</w:t>
      </w:r>
      <w:r w:rsidRPr="0047489A">
        <w:rPr>
          <w:rFonts w:eastAsia="Batang"/>
          <w:lang w:eastAsia="zh-TW"/>
        </w:rPr>
        <w:t xml:space="preserve"> </w:t>
      </w:r>
      <w:r>
        <w:rPr>
          <w:rFonts w:eastAsia="Batang"/>
          <w:lang w:eastAsia="zh-TW"/>
        </w:rPr>
        <w:t>ка</w:t>
      </w:r>
      <w:r w:rsidRPr="0047489A">
        <w:rPr>
          <w:rFonts w:eastAsia="Batang"/>
          <w:lang w:eastAsia="zh-TW"/>
        </w:rPr>
        <w:t xml:space="preserve">то основен дял имат </w:t>
      </w:r>
      <w:r>
        <w:rPr>
          <w:rFonts w:eastAsia="Batang"/>
          <w:lang w:eastAsia="zh-TW"/>
        </w:rPr>
        <w:t>разходите за персонал и</w:t>
      </w:r>
      <w:r w:rsidRPr="0047489A">
        <w:rPr>
          <w:rFonts w:eastAsia="Batang"/>
          <w:lang w:eastAsia="zh-TW"/>
        </w:rPr>
        <w:t xml:space="preserve"> капиталови разходи, за осигуряване на съвременна техника за </w:t>
      </w:r>
      <w:r w:rsidRPr="0047489A">
        <w:rPr>
          <w:lang w:eastAsia="bg-BG"/>
        </w:rPr>
        <w:t>безвъзмездното разпространение на информацията.</w:t>
      </w:r>
    </w:p>
    <w:p w:rsidR="00BB6DC9" w:rsidRPr="00C80E5C" w:rsidRDefault="00BB6DC9" w:rsidP="00BB6DC9">
      <w:pPr>
        <w:ind w:firstLine="567"/>
        <w:jc w:val="both"/>
        <w:rPr>
          <w:szCs w:val="20"/>
        </w:rPr>
      </w:pPr>
      <w:r w:rsidRPr="00C80E5C">
        <w:rPr>
          <w:szCs w:val="20"/>
        </w:rPr>
        <w:t>Общо утвърдените</w:t>
      </w:r>
      <w:r w:rsidRPr="00C80E5C">
        <w:rPr>
          <w:b/>
          <w:i/>
        </w:rPr>
        <w:t xml:space="preserve"> бюджетни взаимоотношения на БТА с централния бюджет</w:t>
      </w:r>
      <w:r w:rsidRPr="0074642C">
        <w:rPr>
          <w:szCs w:val="20"/>
        </w:rPr>
        <w:t xml:space="preserve"> за 2022 г. са в размер на 10,1</w:t>
      </w:r>
      <w:r w:rsidRPr="00C80E5C">
        <w:rPr>
          <w:szCs w:val="20"/>
        </w:rPr>
        <w:t xml:space="preserve"> млн. лв. </w:t>
      </w:r>
      <w:r w:rsidRPr="0074642C">
        <w:rPr>
          <w:szCs w:val="20"/>
        </w:rPr>
        <w:t>За отчетния период е усвоена сума в размер на 2,</w:t>
      </w:r>
      <w:r w:rsidR="009A03A7" w:rsidRPr="00C36700">
        <w:rPr>
          <w:szCs w:val="20"/>
          <w:lang w:val="ru-RU"/>
        </w:rPr>
        <w:t>0</w:t>
      </w:r>
      <w:r w:rsidRPr="0074642C">
        <w:rPr>
          <w:szCs w:val="20"/>
        </w:rPr>
        <w:t xml:space="preserve"> млн. лв. или </w:t>
      </w:r>
      <w:r w:rsidR="009A03A7" w:rsidRPr="00C36700">
        <w:rPr>
          <w:szCs w:val="20"/>
          <w:lang w:val="ru-RU"/>
        </w:rPr>
        <w:t>19</w:t>
      </w:r>
      <w:r w:rsidRPr="0074642C">
        <w:rPr>
          <w:szCs w:val="20"/>
        </w:rPr>
        <w:t>,</w:t>
      </w:r>
      <w:r w:rsidR="009A03A7" w:rsidRPr="00C36700">
        <w:rPr>
          <w:szCs w:val="20"/>
          <w:lang w:val="ru-RU"/>
        </w:rPr>
        <w:t>4</w:t>
      </w:r>
      <w:r w:rsidRPr="00C80E5C">
        <w:rPr>
          <w:szCs w:val="20"/>
        </w:rPr>
        <w:t> % от средствата, опр</w:t>
      </w:r>
      <w:r w:rsidRPr="0074642C">
        <w:rPr>
          <w:szCs w:val="20"/>
        </w:rPr>
        <w:t>еделени за БТА със ЗДБРБ за 2022</w:t>
      </w:r>
      <w:r w:rsidRPr="00C80E5C">
        <w:rPr>
          <w:szCs w:val="20"/>
        </w:rPr>
        <w:t xml:space="preserve"> година.</w:t>
      </w:r>
    </w:p>
    <w:p w:rsidR="007C1025" w:rsidRPr="00151757" w:rsidRDefault="007C1025" w:rsidP="007C1025">
      <w:pPr>
        <w:ind w:firstLine="567"/>
        <w:jc w:val="both"/>
        <w:rPr>
          <w:color w:val="548DD4" w:themeColor="text2" w:themeTint="99"/>
          <w:szCs w:val="20"/>
        </w:rPr>
      </w:pPr>
    </w:p>
    <w:p w:rsidR="002E5EF1" w:rsidRPr="00151757" w:rsidRDefault="002E5EF1" w:rsidP="007C1025">
      <w:pPr>
        <w:pStyle w:val="Title"/>
        <w:jc w:val="both"/>
        <w:rPr>
          <w:color w:val="548DD4" w:themeColor="text2" w:themeTint="99"/>
        </w:rPr>
      </w:pPr>
    </w:p>
    <w:p w:rsidR="00001ABF" w:rsidRPr="00151757" w:rsidRDefault="00001ABF" w:rsidP="007C1025">
      <w:pPr>
        <w:pStyle w:val="Title"/>
        <w:jc w:val="both"/>
        <w:rPr>
          <w:color w:val="548DD4" w:themeColor="text2" w:themeTint="99"/>
        </w:rPr>
      </w:pPr>
    </w:p>
    <w:p w:rsidR="00001ABF" w:rsidRDefault="00001ABF"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Default="00446778" w:rsidP="007C1025">
      <w:pPr>
        <w:pStyle w:val="Title"/>
        <w:jc w:val="both"/>
        <w:rPr>
          <w:color w:val="548DD4" w:themeColor="text2" w:themeTint="99"/>
        </w:rPr>
      </w:pPr>
    </w:p>
    <w:p w:rsidR="00446778" w:rsidRPr="00151757" w:rsidRDefault="00446778" w:rsidP="007C1025">
      <w:pPr>
        <w:pStyle w:val="Title"/>
        <w:jc w:val="both"/>
        <w:rPr>
          <w:color w:val="548DD4" w:themeColor="text2" w:themeTint="99"/>
        </w:rPr>
      </w:pPr>
    </w:p>
    <w:p w:rsidR="00001ABF" w:rsidRPr="00151757" w:rsidRDefault="00001ABF" w:rsidP="007C1025">
      <w:pPr>
        <w:pStyle w:val="Title"/>
        <w:jc w:val="both"/>
      </w:pPr>
    </w:p>
    <w:p w:rsidR="007C1025" w:rsidRPr="0037459F" w:rsidRDefault="007C1025" w:rsidP="007C1025">
      <w:pPr>
        <w:pStyle w:val="Title"/>
        <w:jc w:val="both"/>
      </w:pPr>
      <w:r w:rsidRPr="0037459F">
        <w:t xml:space="preserve">Министерство на финансите, </w:t>
      </w:r>
      <w:r w:rsidR="0037459F" w:rsidRPr="00B0214A">
        <w:t>май</w:t>
      </w:r>
      <w:r w:rsidRPr="0037459F">
        <w:t xml:space="preserve"> 202</w:t>
      </w:r>
      <w:r w:rsidR="00151757" w:rsidRPr="0037459F">
        <w:t>2</w:t>
      </w:r>
      <w:r w:rsidRPr="0037459F">
        <w:t xml:space="preserve"> г.</w:t>
      </w:r>
    </w:p>
    <w:p w:rsidR="00594E6B" w:rsidRPr="00151757" w:rsidRDefault="00594E6B" w:rsidP="00053B0F">
      <w:pPr>
        <w:pStyle w:val="Title"/>
        <w:jc w:val="both"/>
        <w:rPr>
          <w:color w:val="548DD4" w:themeColor="text2" w:themeTint="99"/>
        </w:rPr>
      </w:pPr>
    </w:p>
    <w:p w:rsidR="00001ABF" w:rsidRDefault="00001ABF" w:rsidP="002E5EF1">
      <w:pPr>
        <w:tabs>
          <w:tab w:val="left" w:pos="2520"/>
        </w:tabs>
        <w:spacing w:line="480" w:lineRule="auto"/>
        <w:ind w:left="-1134" w:right="-386" w:firstLine="1134"/>
        <w:rPr>
          <w:sz w:val="20"/>
          <w:szCs w:val="20"/>
          <w:lang w:eastAsia="bg-BG"/>
        </w:rPr>
      </w:pPr>
    </w:p>
    <w:sectPr w:rsidR="00001ABF" w:rsidSect="00441E7C">
      <w:footerReference w:type="even" r:id="rId9"/>
      <w:footerReference w:type="default" r:id="rId10"/>
      <w:endnotePr>
        <w:numFmt w:val="decimal"/>
      </w:endnotePr>
      <w:type w:val="continuous"/>
      <w:pgSz w:w="11906" w:h="16838"/>
      <w:pgMar w:top="709" w:right="1106" w:bottom="42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FC2" w:rsidRDefault="00217FC2">
      <w:r>
        <w:separator/>
      </w:r>
    </w:p>
  </w:endnote>
  <w:endnote w:type="continuationSeparator" w:id="0">
    <w:p w:rsidR="00217FC2" w:rsidRDefault="00217FC2">
      <w:r>
        <w:continuationSeparator/>
      </w:r>
    </w:p>
  </w:endnote>
  <w:endnote w:type="continuationNotice" w:id="1">
    <w:p w:rsidR="00217FC2" w:rsidRDefault="00217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Μοντέρνα">
    <w:altName w:val="Courier New"/>
    <w:charset w:val="00"/>
    <w:family w:val="auto"/>
    <w:pitch w:val="variable"/>
    <w:sig w:usb0="03000000"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00" w:rsidRDefault="00C36700"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36700" w:rsidRDefault="00C36700" w:rsidP="00A74112">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700" w:rsidRDefault="00C36700" w:rsidP="00EA0F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0457">
      <w:rPr>
        <w:rStyle w:val="PageNumber"/>
        <w:noProof/>
      </w:rPr>
      <w:t>21</w:t>
    </w:r>
    <w:r>
      <w:rPr>
        <w:rStyle w:val="PageNumber"/>
      </w:rPr>
      <w:fldChar w:fldCharType="end"/>
    </w:r>
  </w:p>
  <w:p w:rsidR="00C36700" w:rsidRDefault="00C36700" w:rsidP="00A74112">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FC2" w:rsidRDefault="00217FC2">
      <w:r>
        <w:separator/>
      </w:r>
    </w:p>
  </w:footnote>
  <w:footnote w:type="continuationSeparator" w:id="0">
    <w:p w:rsidR="00217FC2" w:rsidRDefault="00217FC2">
      <w:r>
        <w:continuationSeparator/>
      </w:r>
    </w:p>
  </w:footnote>
  <w:footnote w:type="continuationNotice" w:id="1">
    <w:p w:rsidR="00217FC2" w:rsidRDefault="00217FC2"/>
  </w:footnote>
  <w:footnote w:id="2">
    <w:p w:rsidR="00C36700" w:rsidRPr="00191B55" w:rsidRDefault="00C36700" w:rsidP="00521531">
      <w:pPr>
        <w:pStyle w:val="FootnoteText"/>
        <w:rPr>
          <w:sz w:val="18"/>
          <w:lang w:val="bg-BG"/>
        </w:rPr>
      </w:pPr>
      <w:r w:rsidRPr="007061E9">
        <w:rPr>
          <w:rStyle w:val="FootnoteReference"/>
          <w:sz w:val="18"/>
        </w:rPr>
        <w:footnoteRef/>
      </w:r>
      <w:r w:rsidRPr="001953AC">
        <w:rPr>
          <w:sz w:val="18"/>
          <w:lang w:val="ru-RU"/>
        </w:rPr>
        <w:t xml:space="preserve"> </w:t>
      </w:r>
      <w:r w:rsidRPr="00191B55">
        <w:rPr>
          <w:sz w:val="18"/>
          <w:lang w:val="bg-BG"/>
        </w:rPr>
        <w:t xml:space="preserve">По данни на Агенция по Заетостта </w:t>
      </w:r>
    </w:p>
  </w:footnote>
  <w:footnote w:id="3">
    <w:p w:rsidR="00C36700" w:rsidRPr="005D051A" w:rsidRDefault="00C36700" w:rsidP="00521531">
      <w:pPr>
        <w:pStyle w:val="FootnoteText"/>
        <w:rPr>
          <w:sz w:val="18"/>
          <w:lang w:val="bg-BG"/>
        </w:rPr>
      </w:pPr>
      <w:r w:rsidRPr="007061E9">
        <w:rPr>
          <w:rStyle w:val="FootnoteReference"/>
          <w:sz w:val="18"/>
        </w:rPr>
        <w:footnoteRef/>
      </w:r>
      <w:r w:rsidRPr="001953AC">
        <w:rPr>
          <w:sz w:val="18"/>
          <w:lang w:val="ru-RU"/>
        </w:rPr>
        <w:t xml:space="preserve"> </w:t>
      </w:r>
      <w:r w:rsidRPr="005D051A">
        <w:rPr>
          <w:sz w:val="18"/>
          <w:lang w:val="bg-BG"/>
        </w:rPr>
        <w:t>От общия ХИПЦ са изключени енергийните продукти и преработените храни.</w:t>
      </w:r>
    </w:p>
  </w:footnote>
  <w:footnote w:id="4">
    <w:p w:rsidR="00C36700" w:rsidRPr="007D18FE" w:rsidRDefault="00C36700" w:rsidP="00E74802">
      <w:pPr>
        <w:pStyle w:val="FootnoteText"/>
        <w:jc w:val="both"/>
        <w:rPr>
          <w:sz w:val="18"/>
          <w:szCs w:val="18"/>
          <w:lang w:val="bg-BG"/>
        </w:rPr>
      </w:pPr>
      <w:r w:rsidRPr="007D18FE">
        <w:rPr>
          <w:rStyle w:val="FootnoteReference"/>
          <w:sz w:val="18"/>
          <w:szCs w:val="18"/>
        </w:rPr>
        <w:footnoteRef/>
      </w:r>
      <w:r w:rsidRPr="001953AC">
        <w:rPr>
          <w:sz w:val="18"/>
          <w:szCs w:val="18"/>
          <w:lang w:val="ru-RU"/>
        </w:rPr>
        <w:t xml:space="preserve"> </w:t>
      </w:r>
      <w:r w:rsidRPr="007D18FE">
        <w:rPr>
          <w:sz w:val="18"/>
          <w:szCs w:val="18"/>
          <w:lang w:val="bg-BG"/>
        </w:rPr>
        <w:t xml:space="preserve">Обхваща държавния бюджет и бюджетите на общините, </w:t>
      </w:r>
      <w:proofErr w:type="spellStart"/>
      <w:r w:rsidRPr="007D18FE">
        <w:rPr>
          <w:sz w:val="18"/>
          <w:szCs w:val="18"/>
          <w:lang w:val="bg-BG"/>
        </w:rPr>
        <w:t>социалноосигурителните</w:t>
      </w:r>
      <w:proofErr w:type="spellEnd"/>
      <w:r w:rsidRPr="007D18FE">
        <w:rPr>
          <w:sz w:val="18"/>
          <w:szCs w:val="18"/>
          <w:lang w:val="bg-BG"/>
        </w:rPr>
        <w:t xml:space="preserve"> фондове, ДВУ, БАН, БНР, БНТ, БТА, бюджетите по чл.14, ал.4 от ЗПФ, както и сметките за средствата от ЕС и сметките за чужди средства на бюджетните организации. Данните за текущата година са на база месечни отчети, а тези за предходната година - на база тримесечни отчети на ПРБ.</w:t>
      </w:r>
    </w:p>
  </w:footnote>
  <w:footnote w:id="5">
    <w:p w:rsidR="00C36700" w:rsidRPr="007D18FE" w:rsidRDefault="00C36700" w:rsidP="00E863AA">
      <w:pPr>
        <w:pStyle w:val="FootnoteText"/>
        <w:jc w:val="both"/>
        <w:rPr>
          <w:sz w:val="18"/>
          <w:szCs w:val="18"/>
          <w:lang w:val="bg-BG"/>
        </w:rPr>
      </w:pPr>
      <w:r w:rsidRPr="007D18FE">
        <w:rPr>
          <w:rStyle w:val="FootnoteReference"/>
          <w:sz w:val="18"/>
          <w:szCs w:val="18"/>
        </w:rPr>
        <w:footnoteRef/>
      </w:r>
      <w:r w:rsidRPr="007D18FE">
        <w:rPr>
          <w:sz w:val="18"/>
          <w:szCs w:val="18"/>
          <w:lang w:val="bg-BG"/>
        </w:rPr>
        <w:t xml:space="preserve"> Поради извършено закръгление в млн. лв., някои сумарни позиции в Таблица №1, Таблица  №2 и в текста не се изчерпват от съставните им числа.</w:t>
      </w:r>
    </w:p>
  </w:footnote>
  <w:footnote w:id="6">
    <w:p w:rsidR="00C36700" w:rsidRPr="00E74802" w:rsidRDefault="00C36700" w:rsidP="00E863AA">
      <w:pPr>
        <w:pStyle w:val="FootnoteText"/>
        <w:jc w:val="both"/>
        <w:rPr>
          <w:sz w:val="18"/>
          <w:szCs w:val="18"/>
          <w:lang w:val="bg-BG"/>
        </w:rPr>
      </w:pPr>
      <w:r w:rsidRPr="00E74802">
        <w:rPr>
          <w:rStyle w:val="FootnoteReference"/>
          <w:sz w:val="18"/>
          <w:szCs w:val="18"/>
          <w:lang w:val="bg-BG"/>
        </w:rPr>
        <w:footnoteRef/>
      </w:r>
      <w:r w:rsidRPr="00E74802">
        <w:rPr>
          <w:sz w:val="18"/>
          <w:szCs w:val="18"/>
          <w:lang w:val="bg-BG"/>
        </w:rPr>
        <w:t xml:space="preserve"> </w:t>
      </w:r>
      <w:r w:rsidRPr="004D0661">
        <w:rPr>
          <w:sz w:val="18"/>
          <w:szCs w:val="18"/>
          <w:lang w:val="bg-BG"/>
        </w:rPr>
        <w:t>Обхватът на показателя фискален резерв е в съответствие с §1, т. 41 от Допълнителните разпоредби на Закона за публичните финанси.</w:t>
      </w:r>
    </w:p>
  </w:footnote>
  <w:footnote w:id="7">
    <w:p w:rsidR="00C36700" w:rsidRPr="00DF79A3" w:rsidRDefault="00C36700" w:rsidP="00B13128">
      <w:pPr>
        <w:pStyle w:val="FootnoteText"/>
        <w:rPr>
          <w:lang w:val="bg-BG"/>
        </w:rPr>
      </w:pPr>
      <w:r w:rsidRPr="00F97BCC">
        <w:rPr>
          <w:rStyle w:val="FootnoteReference"/>
          <w:lang w:val="bg-BG"/>
        </w:rPr>
        <w:footnoteRef/>
      </w:r>
      <w:r w:rsidRPr="00F97BCC">
        <w:rPr>
          <w:lang w:val="bg-BG"/>
        </w:rPr>
        <w:t xml:space="preserve"> </w:t>
      </w:r>
      <w:r w:rsidRPr="00185D08">
        <w:rPr>
          <w:sz w:val="18"/>
          <w:szCs w:val="16"/>
          <w:lang w:val="bg-BG"/>
        </w:rPr>
        <w:t>Държавният бюджет включва централен бюджет, бюджетите на НС, съдебната власт, министерствата и ведомствата.</w:t>
      </w:r>
    </w:p>
  </w:footnote>
  <w:footnote w:id="8">
    <w:p w:rsidR="00C36700" w:rsidRPr="003B46C7" w:rsidRDefault="00C36700" w:rsidP="00820875">
      <w:pPr>
        <w:pStyle w:val="FootnoteText"/>
        <w:jc w:val="both"/>
        <w:rPr>
          <w:sz w:val="18"/>
          <w:szCs w:val="18"/>
          <w:lang w:val="bg-BG"/>
        </w:rPr>
      </w:pPr>
      <w:r w:rsidRPr="00EB7087">
        <w:rPr>
          <w:rStyle w:val="FootnoteReference"/>
        </w:rPr>
        <w:footnoteRef/>
      </w:r>
      <w:r w:rsidRPr="003B46C7">
        <w:rPr>
          <w:sz w:val="18"/>
          <w:szCs w:val="18"/>
          <w:lang w:val="bg-BG"/>
        </w:rPr>
        <w:t xml:space="preserve"> Поради извършено закръгление в млн. лв., някои сумарни позиции в Таблица №1 и в текста не се изчерпват от съставните им числа.</w:t>
      </w:r>
    </w:p>
  </w:footnote>
  <w:footnote w:id="9">
    <w:p w:rsidR="00C36700" w:rsidRPr="003B46C7" w:rsidRDefault="00C36700" w:rsidP="00820875">
      <w:pPr>
        <w:pStyle w:val="FootnoteText"/>
        <w:rPr>
          <w:color w:val="FF0000"/>
          <w:sz w:val="18"/>
          <w:szCs w:val="18"/>
          <w:lang w:val="bg-BG"/>
        </w:rPr>
      </w:pPr>
      <w:r w:rsidRPr="00694CF0">
        <w:rPr>
          <w:rStyle w:val="FootnoteReference"/>
          <w:sz w:val="18"/>
          <w:szCs w:val="18"/>
        </w:rPr>
        <w:footnoteRef/>
      </w:r>
      <w:r w:rsidRPr="003B46C7">
        <w:rPr>
          <w:sz w:val="18"/>
          <w:szCs w:val="18"/>
          <w:lang w:val="bg-BG"/>
        </w:rPr>
        <w:t xml:space="preserve"> ЗДБРБ за 2022 г. (</w:t>
      </w:r>
      <w:r w:rsidRPr="00694CF0">
        <w:rPr>
          <w:sz w:val="18"/>
        </w:rPr>
        <w:t>o</w:t>
      </w:r>
      <w:proofErr w:type="spellStart"/>
      <w:r w:rsidRPr="003B46C7">
        <w:rPr>
          <w:sz w:val="18"/>
          <w:lang w:val="bg-BG"/>
        </w:rPr>
        <w:t>бн</w:t>
      </w:r>
      <w:proofErr w:type="spellEnd"/>
      <w:r w:rsidRPr="003B46C7">
        <w:rPr>
          <w:sz w:val="18"/>
          <w:lang w:val="bg-BG"/>
        </w:rPr>
        <w:t>., ДВ, бр. 18 от 04.03.2022 г.</w:t>
      </w:r>
      <w:r w:rsidRPr="003B46C7">
        <w:rPr>
          <w:sz w:val="18"/>
          <w:szCs w:val="18"/>
          <w:lang w:val="bg-BG"/>
        </w:rPr>
        <w:t>).</w:t>
      </w:r>
    </w:p>
  </w:footnote>
  <w:footnote w:id="10">
    <w:p w:rsidR="00C36700" w:rsidRPr="003B46C7" w:rsidRDefault="00C36700" w:rsidP="00820875">
      <w:pPr>
        <w:pStyle w:val="FootnoteText"/>
        <w:jc w:val="both"/>
        <w:rPr>
          <w:sz w:val="18"/>
          <w:szCs w:val="18"/>
          <w:lang w:val="bg-BG"/>
        </w:rPr>
      </w:pPr>
      <w:r w:rsidRPr="00EB7087">
        <w:rPr>
          <w:rStyle w:val="FootnoteReference"/>
        </w:rPr>
        <w:footnoteRef/>
      </w:r>
      <w:r w:rsidRPr="003B46C7">
        <w:rPr>
          <w:sz w:val="18"/>
          <w:szCs w:val="18"/>
          <w:lang w:val="bg-BG"/>
        </w:rPr>
        <w:t xml:space="preserve"> В позицията "Резерв за непредвидени и неотложни разходи" се посочват само данните по разчет. Разходите по отчет се отразяват по съответните разходни позиции, към които се отнасят извършените разходи.</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0E0"/>
    <w:multiLevelType w:val="hybridMultilevel"/>
    <w:tmpl w:val="94142DF6"/>
    <w:lvl w:ilvl="0" w:tplc="CA968970">
      <w:start w:val="43"/>
      <w:numFmt w:val="bullet"/>
      <w:lvlText w:val="-"/>
      <w:lvlJc w:val="left"/>
      <w:pPr>
        <w:ind w:left="1069" w:hanging="360"/>
      </w:pPr>
      <w:rPr>
        <w:rFonts w:ascii="Times New Roman" w:eastAsia="Times New Roman"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 w15:restartNumberingAfterBreak="0">
    <w:nsid w:val="06A76E1C"/>
    <w:multiLevelType w:val="hybridMultilevel"/>
    <w:tmpl w:val="0DB8C152"/>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 w15:restartNumberingAfterBreak="0">
    <w:nsid w:val="083763BA"/>
    <w:multiLevelType w:val="hybridMultilevel"/>
    <w:tmpl w:val="2584A542"/>
    <w:lvl w:ilvl="0" w:tplc="04020003">
      <w:start w:val="1"/>
      <w:numFmt w:val="bullet"/>
      <w:lvlText w:val="o"/>
      <w:lvlJc w:val="left"/>
      <w:pPr>
        <w:tabs>
          <w:tab w:val="num" w:pos="1346"/>
        </w:tabs>
        <w:ind w:left="984" w:firstLine="96"/>
      </w:pPr>
      <w:rPr>
        <w:rFonts w:ascii="Courier New" w:hAnsi="Courier New" w:cs="Courier New"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3" w15:restartNumberingAfterBreak="0">
    <w:nsid w:val="09066DE8"/>
    <w:multiLevelType w:val="multilevel"/>
    <w:tmpl w:val="5602DF68"/>
    <w:lvl w:ilvl="0">
      <w:start w:val="5"/>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4" w15:restartNumberingAfterBreak="0">
    <w:nsid w:val="0F3230CB"/>
    <w:multiLevelType w:val="hybridMultilevel"/>
    <w:tmpl w:val="48F0886C"/>
    <w:lvl w:ilvl="0" w:tplc="0012154E">
      <w:start w:val="1"/>
      <w:numFmt w:val="bullet"/>
      <w:lvlText w:val=""/>
      <w:lvlJc w:val="left"/>
      <w:pPr>
        <w:tabs>
          <w:tab w:val="num" w:pos="2157"/>
        </w:tabs>
        <w:ind w:left="2157" w:hanging="357"/>
      </w:pPr>
      <w:rPr>
        <w:rFonts w:ascii="Wingdings" w:hAnsi="Wingdings" w:hint="default"/>
        <w:color w:val="auto"/>
        <w:sz w:val="24"/>
        <w:szCs w:val="24"/>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D0C13"/>
    <w:multiLevelType w:val="hybridMultilevel"/>
    <w:tmpl w:val="EC307A30"/>
    <w:lvl w:ilvl="0" w:tplc="0402000B">
      <w:start w:val="1"/>
      <w:numFmt w:val="bullet"/>
      <w:lvlText w:val=""/>
      <w:lvlJc w:val="left"/>
      <w:pPr>
        <w:ind w:left="780" w:hanging="360"/>
      </w:pPr>
      <w:rPr>
        <w:rFonts w:ascii="Wingdings" w:hAnsi="Wingdings"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6" w15:restartNumberingAfterBreak="0">
    <w:nsid w:val="14105CA9"/>
    <w:multiLevelType w:val="hybridMultilevel"/>
    <w:tmpl w:val="2D5A56EE"/>
    <w:lvl w:ilvl="0" w:tplc="88C42E5E">
      <w:start w:val="1"/>
      <w:numFmt w:val="decimal"/>
      <w:pStyle w:val="ParagraphNumbering"/>
      <w:lvlText w:val="%1.     "/>
      <w:lvlJc w:val="left"/>
      <w:pPr>
        <w:tabs>
          <w:tab w:val="num" w:pos="1260"/>
        </w:tabs>
        <w:ind w:left="540" w:firstLine="0"/>
      </w:pPr>
      <w:rPr>
        <w:rFonts w:hint="default"/>
        <w:b/>
      </w:rPr>
    </w:lvl>
    <w:lvl w:ilvl="1" w:tplc="F6E687FE">
      <w:start w:val="1"/>
      <w:numFmt w:val="upperRoman"/>
      <w:lvlText w:val="%2."/>
      <w:lvlJc w:val="right"/>
      <w:pPr>
        <w:tabs>
          <w:tab w:val="num" w:pos="1260"/>
        </w:tabs>
        <w:ind w:left="1260" w:hanging="180"/>
      </w:pPr>
      <w:rPr>
        <w:b/>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rPr>
        <w:b/>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18553096"/>
    <w:multiLevelType w:val="hybridMultilevel"/>
    <w:tmpl w:val="63DEC1E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8" w15:restartNumberingAfterBreak="0">
    <w:nsid w:val="1B055450"/>
    <w:multiLevelType w:val="hybridMultilevel"/>
    <w:tmpl w:val="7AE07F00"/>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9" w15:restartNumberingAfterBreak="0">
    <w:nsid w:val="20EE040C"/>
    <w:multiLevelType w:val="hybridMultilevel"/>
    <w:tmpl w:val="DF5C7CEA"/>
    <w:lvl w:ilvl="0" w:tplc="04020005">
      <w:start w:val="1"/>
      <w:numFmt w:val="bullet"/>
      <w:lvlText w:val=""/>
      <w:lvlJc w:val="left"/>
      <w:pPr>
        <w:tabs>
          <w:tab w:val="num" w:pos="360"/>
        </w:tabs>
        <w:ind w:left="360" w:hanging="360"/>
      </w:pPr>
      <w:rPr>
        <w:rFonts w:ascii="Wingdings" w:hAnsi="Wingdings" w:hint="default"/>
        <w:color w:val="auto"/>
        <w:sz w:val="28"/>
        <w:u w:color="FFFFFF"/>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2871E2"/>
    <w:multiLevelType w:val="hybridMultilevel"/>
    <w:tmpl w:val="63C87EBC"/>
    <w:lvl w:ilvl="0" w:tplc="04020001">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288D6CFF"/>
    <w:multiLevelType w:val="hybridMultilevel"/>
    <w:tmpl w:val="8E9EC7B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2A210A"/>
    <w:multiLevelType w:val="hybridMultilevel"/>
    <w:tmpl w:val="7658AC0A"/>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3" w15:restartNumberingAfterBreak="0">
    <w:nsid w:val="2F8B1941"/>
    <w:multiLevelType w:val="hybridMultilevel"/>
    <w:tmpl w:val="269A2F3C"/>
    <w:lvl w:ilvl="0" w:tplc="1AC8DDA4">
      <w:start w:val="1"/>
      <w:numFmt w:val="bullet"/>
      <w:lvlText w:val=""/>
      <w:lvlJc w:val="left"/>
      <w:pPr>
        <w:tabs>
          <w:tab w:val="num" w:pos="1440"/>
        </w:tabs>
        <w:ind w:left="740" w:firstLine="340"/>
      </w:pPr>
      <w:rPr>
        <w:rFonts w:ascii="Wingdings" w:hAnsi="Wingdings" w:hint="default"/>
        <w:sz w:val="24"/>
        <w:szCs w:val="24"/>
      </w:rPr>
    </w:lvl>
    <w:lvl w:ilvl="1" w:tplc="B8089F6A">
      <w:start w:val="1"/>
      <w:numFmt w:val="bullet"/>
      <w:lvlText w:val=""/>
      <w:lvlJc w:val="left"/>
      <w:pPr>
        <w:tabs>
          <w:tab w:val="num" w:pos="1437"/>
        </w:tabs>
        <w:ind w:left="1437" w:hanging="357"/>
      </w:pPr>
      <w:rPr>
        <w:rFonts w:ascii="Wingdings" w:hAnsi="Wingdings" w:hint="default"/>
        <w:color w:val="auto"/>
        <w:sz w:val="28"/>
        <w:szCs w:val="24"/>
        <w:u w:color="FFFFFF"/>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180C51"/>
    <w:multiLevelType w:val="hybridMultilevel"/>
    <w:tmpl w:val="7E2E289E"/>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15" w15:restartNumberingAfterBreak="0">
    <w:nsid w:val="40506C4C"/>
    <w:multiLevelType w:val="hybridMultilevel"/>
    <w:tmpl w:val="8E46A080"/>
    <w:lvl w:ilvl="0" w:tplc="0402000B">
      <w:start w:val="1"/>
      <w:numFmt w:val="bullet"/>
      <w:lvlText w:val=""/>
      <w:lvlJc w:val="left"/>
      <w:pPr>
        <w:tabs>
          <w:tab w:val="num" w:pos="928"/>
        </w:tabs>
        <w:ind w:left="928" w:hanging="360"/>
      </w:pPr>
      <w:rPr>
        <w:rFonts w:ascii="Wingdings" w:hAnsi="Wingdings" w:hint="default"/>
      </w:rPr>
    </w:lvl>
    <w:lvl w:ilvl="1" w:tplc="0402000F">
      <w:start w:val="1"/>
      <w:numFmt w:val="decimal"/>
      <w:lvlText w:val="%2."/>
      <w:lvlJc w:val="left"/>
      <w:pPr>
        <w:tabs>
          <w:tab w:val="num" w:pos="1440"/>
        </w:tabs>
        <w:ind w:left="1440" w:hanging="360"/>
      </w:pPr>
      <w:rPr>
        <w:rFonts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A62732"/>
    <w:multiLevelType w:val="hybridMultilevel"/>
    <w:tmpl w:val="C20AA05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7" w15:restartNumberingAfterBreak="0">
    <w:nsid w:val="48843DC3"/>
    <w:multiLevelType w:val="hybridMultilevel"/>
    <w:tmpl w:val="59487C1A"/>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489254F4"/>
    <w:multiLevelType w:val="hybridMultilevel"/>
    <w:tmpl w:val="A78E9870"/>
    <w:lvl w:ilvl="0" w:tplc="0409000B">
      <w:start w:val="1"/>
      <w:numFmt w:val="bullet"/>
      <w:lvlText w:val=""/>
      <w:lvlJc w:val="left"/>
      <w:pPr>
        <w:tabs>
          <w:tab w:val="num" w:pos="360"/>
        </w:tabs>
        <w:ind w:left="360" w:hanging="360"/>
      </w:pPr>
      <w:rPr>
        <w:rFonts w:ascii="Wingdings" w:hAnsi="Wingdings" w:hint="default"/>
      </w:rPr>
    </w:lvl>
    <w:lvl w:ilvl="1" w:tplc="8DDE1D3E">
      <w:start w:val="1"/>
      <w:numFmt w:val="bullet"/>
      <w:lvlText w:val=""/>
      <w:lvlJc w:val="left"/>
      <w:pPr>
        <w:tabs>
          <w:tab w:val="num" w:pos="1383"/>
        </w:tabs>
        <w:ind w:left="683" w:firstLine="340"/>
      </w:pPr>
      <w:rPr>
        <w:rFonts w:ascii="Wingdings" w:hAnsi="Wingdings" w:hint="default"/>
      </w:rPr>
    </w:lvl>
    <w:lvl w:ilvl="2" w:tplc="04090005" w:tentative="1">
      <w:start w:val="1"/>
      <w:numFmt w:val="bullet"/>
      <w:lvlText w:val=""/>
      <w:lvlJc w:val="left"/>
      <w:pPr>
        <w:tabs>
          <w:tab w:val="num" w:pos="2103"/>
        </w:tabs>
        <w:ind w:left="2103" w:hanging="360"/>
      </w:pPr>
      <w:rPr>
        <w:rFonts w:ascii="Wingdings" w:hAnsi="Wingdings" w:hint="default"/>
      </w:rPr>
    </w:lvl>
    <w:lvl w:ilvl="3" w:tplc="04090001" w:tentative="1">
      <w:start w:val="1"/>
      <w:numFmt w:val="bullet"/>
      <w:lvlText w:val=""/>
      <w:lvlJc w:val="left"/>
      <w:pPr>
        <w:tabs>
          <w:tab w:val="num" w:pos="2823"/>
        </w:tabs>
        <w:ind w:left="2823" w:hanging="360"/>
      </w:pPr>
      <w:rPr>
        <w:rFonts w:ascii="Symbol" w:hAnsi="Symbol" w:hint="default"/>
      </w:rPr>
    </w:lvl>
    <w:lvl w:ilvl="4" w:tplc="04090003" w:tentative="1">
      <w:start w:val="1"/>
      <w:numFmt w:val="bullet"/>
      <w:lvlText w:val="o"/>
      <w:lvlJc w:val="left"/>
      <w:pPr>
        <w:tabs>
          <w:tab w:val="num" w:pos="3543"/>
        </w:tabs>
        <w:ind w:left="3543" w:hanging="360"/>
      </w:pPr>
      <w:rPr>
        <w:rFonts w:ascii="Courier New" w:hAnsi="Courier New" w:hint="default"/>
      </w:rPr>
    </w:lvl>
    <w:lvl w:ilvl="5" w:tplc="04090005" w:tentative="1">
      <w:start w:val="1"/>
      <w:numFmt w:val="bullet"/>
      <w:lvlText w:val=""/>
      <w:lvlJc w:val="left"/>
      <w:pPr>
        <w:tabs>
          <w:tab w:val="num" w:pos="4263"/>
        </w:tabs>
        <w:ind w:left="4263" w:hanging="360"/>
      </w:pPr>
      <w:rPr>
        <w:rFonts w:ascii="Wingdings" w:hAnsi="Wingdings" w:hint="default"/>
      </w:rPr>
    </w:lvl>
    <w:lvl w:ilvl="6" w:tplc="04090001" w:tentative="1">
      <w:start w:val="1"/>
      <w:numFmt w:val="bullet"/>
      <w:lvlText w:val=""/>
      <w:lvlJc w:val="left"/>
      <w:pPr>
        <w:tabs>
          <w:tab w:val="num" w:pos="4983"/>
        </w:tabs>
        <w:ind w:left="4983" w:hanging="360"/>
      </w:pPr>
      <w:rPr>
        <w:rFonts w:ascii="Symbol" w:hAnsi="Symbol" w:hint="default"/>
      </w:rPr>
    </w:lvl>
    <w:lvl w:ilvl="7" w:tplc="04090003" w:tentative="1">
      <w:start w:val="1"/>
      <w:numFmt w:val="bullet"/>
      <w:lvlText w:val="o"/>
      <w:lvlJc w:val="left"/>
      <w:pPr>
        <w:tabs>
          <w:tab w:val="num" w:pos="5703"/>
        </w:tabs>
        <w:ind w:left="5703" w:hanging="360"/>
      </w:pPr>
      <w:rPr>
        <w:rFonts w:ascii="Courier New" w:hAnsi="Courier New" w:hint="default"/>
      </w:rPr>
    </w:lvl>
    <w:lvl w:ilvl="8" w:tplc="04090005" w:tentative="1">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4A5F564A"/>
    <w:multiLevelType w:val="hybridMultilevel"/>
    <w:tmpl w:val="19C03E34"/>
    <w:lvl w:ilvl="0" w:tplc="B8089F6A">
      <w:start w:val="1"/>
      <w:numFmt w:val="bullet"/>
      <w:lvlText w:val=""/>
      <w:lvlJc w:val="left"/>
      <w:pPr>
        <w:tabs>
          <w:tab w:val="num" w:pos="6878"/>
        </w:tabs>
        <w:ind w:left="6878" w:hanging="357"/>
      </w:pPr>
      <w:rPr>
        <w:rFonts w:ascii="Wingdings" w:hAnsi="Wingdings" w:hint="default"/>
        <w:color w:val="auto"/>
        <w:sz w:val="28"/>
        <w:u w:color="FFFFFF"/>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B1C3D5E"/>
    <w:multiLevelType w:val="hybridMultilevel"/>
    <w:tmpl w:val="05085AC2"/>
    <w:lvl w:ilvl="0" w:tplc="EDA44120">
      <w:start w:val="1"/>
      <w:numFmt w:val="bullet"/>
      <w:lvlText w:val="-"/>
      <w:lvlJc w:val="left"/>
      <w:pPr>
        <w:tabs>
          <w:tab w:val="num" w:pos="700"/>
        </w:tabs>
        <w:ind w:left="700" w:hanging="360"/>
      </w:pPr>
      <w:rPr>
        <w:rFonts w:ascii="Mangal" w:hAnsi="Manga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B1EBB"/>
    <w:multiLevelType w:val="hybridMultilevel"/>
    <w:tmpl w:val="A7840AB6"/>
    <w:lvl w:ilvl="0" w:tplc="531CAAA0">
      <w:start w:val="1"/>
      <w:numFmt w:val="bullet"/>
      <w:lvlText w:val=""/>
      <w:lvlJc w:val="left"/>
      <w:pPr>
        <w:tabs>
          <w:tab w:val="num" w:pos="540"/>
        </w:tabs>
        <w:ind w:left="540" w:hanging="360"/>
      </w:pPr>
      <w:rPr>
        <w:rFonts w:ascii="Wingdings" w:hAnsi="Wingdings" w:hint="default"/>
        <w:color w:val="auto"/>
      </w:rPr>
    </w:lvl>
    <w:lvl w:ilvl="1" w:tplc="60389F10">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0D78F0"/>
    <w:multiLevelType w:val="hybridMultilevel"/>
    <w:tmpl w:val="33664FCA"/>
    <w:lvl w:ilvl="0" w:tplc="5AC6C2E0">
      <w:start w:val="1"/>
      <w:numFmt w:val="bullet"/>
      <w:lvlText w:val=""/>
      <w:lvlJc w:val="left"/>
      <w:pPr>
        <w:tabs>
          <w:tab w:val="num" w:pos="1346"/>
        </w:tabs>
        <w:ind w:left="984" w:firstLine="96"/>
      </w:pPr>
      <w:rPr>
        <w:rFonts w:ascii="Symbol" w:hAnsi="Symbol" w:hint="default"/>
        <w:color w:val="auto"/>
      </w:rPr>
    </w:lvl>
    <w:lvl w:ilvl="1" w:tplc="04020003" w:tentative="1">
      <w:start w:val="1"/>
      <w:numFmt w:val="bullet"/>
      <w:lvlText w:val="o"/>
      <w:lvlJc w:val="left"/>
      <w:pPr>
        <w:tabs>
          <w:tab w:val="num" w:pos="1383"/>
        </w:tabs>
        <w:ind w:left="1383" w:hanging="360"/>
      </w:pPr>
      <w:rPr>
        <w:rFonts w:ascii="Courier New" w:hAnsi="Courier New" w:cs="Courier New" w:hint="default"/>
      </w:rPr>
    </w:lvl>
    <w:lvl w:ilvl="2" w:tplc="04020005" w:tentative="1">
      <w:start w:val="1"/>
      <w:numFmt w:val="bullet"/>
      <w:lvlText w:val=""/>
      <w:lvlJc w:val="left"/>
      <w:pPr>
        <w:tabs>
          <w:tab w:val="num" w:pos="2103"/>
        </w:tabs>
        <w:ind w:left="2103" w:hanging="360"/>
      </w:pPr>
      <w:rPr>
        <w:rFonts w:ascii="Wingdings" w:hAnsi="Wingdings" w:hint="default"/>
      </w:rPr>
    </w:lvl>
    <w:lvl w:ilvl="3" w:tplc="04020001" w:tentative="1">
      <w:start w:val="1"/>
      <w:numFmt w:val="bullet"/>
      <w:lvlText w:val=""/>
      <w:lvlJc w:val="left"/>
      <w:pPr>
        <w:tabs>
          <w:tab w:val="num" w:pos="2823"/>
        </w:tabs>
        <w:ind w:left="2823" w:hanging="360"/>
      </w:pPr>
      <w:rPr>
        <w:rFonts w:ascii="Symbol" w:hAnsi="Symbol" w:hint="default"/>
      </w:rPr>
    </w:lvl>
    <w:lvl w:ilvl="4" w:tplc="04020003" w:tentative="1">
      <w:start w:val="1"/>
      <w:numFmt w:val="bullet"/>
      <w:lvlText w:val="o"/>
      <w:lvlJc w:val="left"/>
      <w:pPr>
        <w:tabs>
          <w:tab w:val="num" w:pos="3543"/>
        </w:tabs>
        <w:ind w:left="3543" w:hanging="360"/>
      </w:pPr>
      <w:rPr>
        <w:rFonts w:ascii="Courier New" w:hAnsi="Courier New" w:cs="Courier New" w:hint="default"/>
      </w:rPr>
    </w:lvl>
    <w:lvl w:ilvl="5" w:tplc="04020005" w:tentative="1">
      <w:start w:val="1"/>
      <w:numFmt w:val="bullet"/>
      <w:lvlText w:val=""/>
      <w:lvlJc w:val="left"/>
      <w:pPr>
        <w:tabs>
          <w:tab w:val="num" w:pos="4263"/>
        </w:tabs>
        <w:ind w:left="4263" w:hanging="360"/>
      </w:pPr>
      <w:rPr>
        <w:rFonts w:ascii="Wingdings" w:hAnsi="Wingdings" w:hint="default"/>
      </w:rPr>
    </w:lvl>
    <w:lvl w:ilvl="6" w:tplc="04020001" w:tentative="1">
      <w:start w:val="1"/>
      <w:numFmt w:val="bullet"/>
      <w:lvlText w:val=""/>
      <w:lvlJc w:val="left"/>
      <w:pPr>
        <w:tabs>
          <w:tab w:val="num" w:pos="4983"/>
        </w:tabs>
        <w:ind w:left="4983" w:hanging="360"/>
      </w:pPr>
      <w:rPr>
        <w:rFonts w:ascii="Symbol" w:hAnsi="Symbol" w:hint="default"/>
      </w:rPr>
    </w:lvl>
    <w:lvl w:ilvl="7" w:tplc="04020003" w:tentative="1">
      <w:start w:val="1"/>
      <w:numFmt w:val="bullet"/>
      <w:lvlText w:val="o"/>
      <w:lvlJc w:val="left"/>
      <w:pPr>
        <w:tabs>
          <w:tab w:val="num" w:pos="5703"/>
        </w:tabs>
        <w:ind w:left="5703" w:hanging="360"/>
      </w:pPr>
      <w:rPr>
        <w:rFonts w:ascii="Courier New" w:hAnsi="Courier New" w:cs="Courier New" w:hint="default"/>
      </w:rPr>
    </w:lvl>
    <w:lvl w:ilvl="8" w:tplc="0402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53A41434"/>
    <w:multiLevelType w:val="hybridMultilevel"/>
    <w:tmpl w:val="D4069CA2"/>
    <w:lvl w:ilvl="0" w:tplc="AB6E2D68">
      <w:start w:val="1"/>
      <w:numFmt w:val="bullet"/>
      <w:lvlText w:val=""/>
      <w:lvlJc w:val="left"/>
      <w:pPr>
        <w:tabs>
          <w:tab w:val="num" w:pos="7650"/>
        </w:tabs>
        <w:ind w:left="7650" w:hanging="360"/>
      </w:pPr>
      <w:rPr>
        <w:rFonts w:ascii="Wingdings" w:hAnsi="Wingdings" w:hint="default"/>
        <w:color w:val="auto"/>
        <w:sz w:val="24"/>
        <w:szCs w:val="24"/>
      </w:rPr>
    </w:lvl>
    <w:lvl w:ilvl="1" w:tplc="7DDCFFB6">
      <w:start w:val="1"/>
      <w:numFmt w:val="bullet"/>
      <w:lvlText w:val=""/>
      <w:lvlJc w:val="left"/>
      <w:pPr>
        <w:tabs>
          <w:tab w:val="num" w:pos="1440"/>
        </w:tabs>
        <w:ind w:left="1440" w:hanging="360"/>
      </w:pPr>
      <w:rPr>
        <w:rFonts w:ascii="Wingdings" w:hAnsi="Wingdings"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88315C"/>
    <w:multiLevelType w:val="hybridMultilevel"/>
    <w:tmpl w:val="C3DC5748"/>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5" w15:restartNumberingAfterBreak="0">
    <w:nsid w:val="55D92F24"/>
    <w:multiLevelType w:val="hybridMultilevel"/>
    <w:tmpl w:val="C3E23384"/>
    <w:lvl w:ilvl="0" w:tplc="0402000D">
      <w:start w:val="1"/>
      <w:numFmt w:val="bullet"/>
      <w:lvlText w:val=""/>
      <w:lvlJc w:val="left"/>
      <w:pPr>
        <w:ind w:left="1320" w:hanging="360"/>
      </w:pPr>
      <w:rPr>
        <w:rFonts w:ascii="Wingdings" w:hAnsi="Wingdings" w:hint="default"/>
      </w:rPr>
    </w:lvl>
    <w:lvl w:ilvl="1" w:tplc="04020003" w:tentative="1">
      <w:start w:val="1"/>
      <w:numFmt w:val="bullet"/>
      <w:lvlText w:val="o"/>
      <w:lvlJc w:val="left"/>
      <w:pPr>
        <w:ind w:left="2040" w:hanging="360"/>
      </w:pPr>
      <w:rPr>
        <w:rFonts w:ascii="Courier New" w:hAnsi="Courier New" w:cs="Courier New" w:hint="default"/>
      </w:rPr>
    </w:lvl>
    <w:lvl w:ilvl="2" w:tplc="04020005" w:tentative="1">
      <w:start w:val="1"/>
      <w:numFmt w:val="bullet"/>
      <w:lvlText w:val=""/>
      <w:lvlJc w:val="left"/>
      <w:pPr>
        <w:ind w:left="2760" w:hanging="360"/>
      </w:pPr>
      <w:rPr>
        <w:rFonts w:ascii="Wingdings" w:hAnsi="Wingdings" w:hint="default"/>
      </w:rPr>
    </w:lvl>
    <w:lvl w:ilvl="3" w:tplc="04020001" w:tentative="1">
      <w:start w:val="1"/>
      <w:numFmt w:val="bullet"/>
      <w:lvlText w:val=""/>
      <w:lvlJc w:val="left"/>
      <w:pPr>
        <w:ind w:left="3480" w:hanging="360"/>
      </w:pPr>
      <w:rPr>
        <w:rFonts w:ascii="Symbol" w:hAnsi="Symbol" w:hint="default"/>
      </w:rPr>
    </w:lvl>
    <w:lvl w:ilvl="4" w:tplc="04020003" w:tentative="1">
      <w:start w:val="1"/>
      <w:numFmt w:val="bullet"/>
      <w:lvlText w:val="o"/>
      <w:lvlJc w:val="left"/>
      <w:pPr>
        <w:ind w:left="4200" w:hanging="360"/>
      </w:pPr>
      <w:rPr>
        <w:rFonts w:ascii="Courier New" w:hAnsi="Courier New" w:cs="Courier New" w:hint="default"/>
      </w:rPr>
    </w:lvl>
    <w:lvl w:ilvl="5" w:tplc="04020005" w:tentative="1">
      <w:start w:val="1"/>
      <w:numFmt w:val="bullet"/>
      <w:lvlText w:val=""/>
      <w:lvlJc w:val="left"/>
      <w:pPr>
        <w:ind w:left="4920" w:hanging="360"/>
      </w:pPr>
      <w:rPr>
        <w:rFonts w:ascii="Wingdings" w:hAnsi="Wingdings" w:hint="default"/>
      </w:rPr>
    </w:lvl>
    <w:lvl w:ilvl="6" w:tplc="04020001" w:tentative="1">
      <w:start w:val="1"/>
      <w:numFmt w:val="bullet"/>
      <w:lvlText w:val=""/>
      <w:lvlJc w:val="left"/>
      <w:pPr>
        <w:ind w:left="5640" w:hanging="360"/>
      </w:pPr>
      <w:rPr>
        <w:rFonts w:ascii="Symbol" w:hAnsi="Symbol" w:hint="default"/>
      </w:rPr>
    </w:lvl>
    <w:lvl w:ilvl="7" w:tplc="04020003" w:tentative="1">
      <w:start w:val="1"/>
      <w:numFmt w:val="bullet"/>
      <w:lvlText w:val="o"/>
      <w:lvlJc w:val="left"/>
      <w:pPr>
        <w:ind w:left="6360" w:hanging="360"/>
      </w:pPr>
      <w:rPr>
        <w:rFonts w:ascii="Courier New" w:hAnsi="Courier New" w:cs="Courier New" w:hint="default"/>
      </w:rPr>
    </w:lvl>
    <w:lvl w:ilvl="8" w:tplc="04020005" w:tentative="1">
      <w:start w:val="1"/>
      <w:numFmt w:val="bullet"/>
      <w:lvlText w:val=""/>
      <w:lvlJc w:val="left"/>
      <w:pPr>
        <w:ind w:left="7080" w:hanging="360"/>
      </w:pPr>
      <w:rPr>
        <w:rFonts w:ascii="Wingdings" w:hAnsi="Wingdings" w:hint="default"/>
      </w:rPr>
    </w:lvl>
  </w:abstractNum>
  <w:abstractNum w:abstractNumId="26" w15:restartNumberingAfterBreak="0">
    <w:nsid w:val="580A332E"/>
    <w:multiLevelType w:val="hybridMultilevel"/>
    <w:tmpl w:val="73865F82"/>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7" w15:restartNumberingAfterBreak="0">
    <w:nsid w:val="582E15B7"/>
    <w:multiLevelType w:val="hybridMultilevel"/>
    <w:tmpl w:val="B862F89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8" w15:restartNumberingAfterBreak="0">
    <w:nsid w:val="5B550929"/>
    <w:multiLevelType w:val="hybridMultilevel"/>
    <w:tmpl w:val="3578B4B6"/>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29" w15:restartNumberingAfterBreak="0">
    <w:nsid w:val="5CDC2F63"/>
    <w:multiLevelType w:val="multilevel"/>
    <w:tmpl w:val="536A6A4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E7F0587"/>
    <w:multiLevelType w:val="hybridMultilevel"/>
    <w:tmpl w:val="6AF84CE2"/>
    <w:lvl w:ilvl="0" w:tplc="0402000B">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1" w15:restartNumberingAfterBreak="0">
    <w:nsid w:val="643A5E75"/>
    <w:multiLevelType w:val="hybridMultilevel"/>
    <w:tmpl w:val="B314ADC8"/>
    <w:lvl w:ilvl="0" w:tplc="04020001">
      <w:start w:val="1"/>
      <w:numFmt w:val="bullet"/>
      <w:lvlText w:val=""/>
      <w:lvlJc w:val="left"/>
      <w:pPr>
        <w:tabs>
          <w:tab w:val="num" w:pos="1101"/>
        </w:tabs>
        <w:ind w:left="1101" w:hanging="360"/>
      </w:pPr>
      <w:rPr>
        <w:rFonts w:ascii="Symbol" w:hAnsi="Symbol" w:hint="default"/>
      </w:rPr>
    </w:lvl>
    <w:lvl w:ilvl="1" w:tplc="04020003">
      <w:start w:val="1"/>
      <w:numFmt w:val="bullet"/>
      <w:lvlText w:val="o"/>
      <w:lvlJc w:val="left"/>
      <w:pPr>
        <w:tabs>
          <w:tab w:val="num" w:pos="1821"/>
        </w:tabs>
        <w:ind w:left="1821" w:hanging="360"/>
      </w:pPr>
      <w:rPr>
        <w:rFonts w:ascii="Courier New" w:hAnsi="Courier New" w:cs="Courier New" w:hint="default"/>
      </w:rPr>
    </w:lvl>
    <w:lvl w:ilvl="2" w:tplc="04020005" w:tentative="1">
      <w:start w:val="1"/>
      <w:numFmt w:val="bullet"/>
      <w:lvlText w:val=""/>
      <w:lvlJc w:val="left"/>
      <w:pPr>
        <w:tabs>
          <w:tab w:val="num" w:pos="2541"/>
        </w:tabs>
        <w:ind w:left="2541" w:hanging="360"/>
      </w:pPr>
      <w:rPr>
        <w:rFonts w:ascii="Wingdings" w:hAnsi="Wingdings" w:hint="default"/>
      </w:rPr>
    </w:lvl>
    <w:lvl w:ilvl="3" w:tplc="04020001" w:tentative="1">
      <w:start w:val="1"/>
      <w:numFmt w:val="bullet"/>
      <w:lvlText w:val=""/>
      <w:lvlJc w:val="left"/>
      <w:pPr>
        <w:tabs>
          <w:tab w:val="num" w:pos="3261"/>
        </w:tabs>
        <w:ind w:left="3261" w:hanging="360"/>
      </w:pPr>
      <w:rPr>
        <w:rFonts w:ascii="Symbol" w:hAnsi="Symbol" w:hint="default"/>
      </w:rPr>
    </w:lvl>
    <w:lvl w:ilvl="4" w:tplc="04020003" w:tentative="1">
      <w:start w:val="1"/>
      <w:numFmt w:val="bullet"/>
      <w:lvlText w:val="o"/>
      <w:lvlJc w:val="left"/>
      <w:pPr>
        <w:tabs>
          <w:tab w:val="num" w:pos="3981"/>
        </w:tabs>
        <w:ind w:left="3981" w:hanging="360"/>
      </w:pPr>
      <w:rPr>
        <w:rFonts w:ascii="Courier New" w:hAnsi="Courier New" w:cs="Courier New" w:hint="default"/>
      </w:rPr>
    </w:lvl>
    <w:lvl w:ilvl="5" w:tplc="04020005" w:tentative="1">
      <w:start w:val="1"/>
      <w:numFmt w:val="bullet"/>
      <w:lvlText w:val=""/>
      <w:lvlJc w:val="left"/>
      <w:pPr>
        <w:tabs>
          <w:tab w:val="num" w:pos="4701"/>
        </w:tabs>
        <w:ind w:left="4701" w:hanging="360"/>
      </w:pPr>
      <w:rPr>
        <w:rFonts w:ascii="Wingdings" w:hAnsi="Wingdings" w:hint="default"/>
      </w:rPr>
    </w:lvl>
    <w:lvl w:ilvl="6" w:tplc="04020001" w:tentative="1">
      <w:start w:val="1"/>
      <w:numFmt w:val="bullet"/>
      <w:lvlText w:val=""/>
      <w:lvlJc w:val="left"/>
      <w:pPr>
        <w:tabs>
          <w:tab w:val="num" w:pos="5421"/>
        </w:tabs>
        <w:ind w:left="5421" w:hanging="360"/>
      </w:pPr>
      <w:rPr>
        <w:rFonts w:ascii="Symbol" w:hAnsi="Symbol" w:hint="default"/>
      </w:rPr>
    </w:lvl>
    <w:lvl w:ilvl="7" w:tplc="04020003" w:tentative="1">
      <w:start w:val="1"/>
      <w:numFmt w:val="bullet"/>
      <w:lvlText w:val="o"/>
      <w:lvlJc w:val="left"/>
      <w:pPr>
        <w:tabs>
          <w:tab w:val="num" w:pos="6141"/>
        </w:tabs>
        <w:ind w:left="6141" w:hanging="360"/>
      </w:pPr>
      <w:rPr>
        <w:rFonts w:ascii="Courier New" w:hAnsi="Courier New" w:cs="Courier New" w:hint="default"/>
      </w:rPr>
    </w:lvl>
    <w:lvl w:ilvl="8" w:tplc="04020005" w:tentative="1">
      <w:start w:val="1"/>
      <w:numFmt w:val="bullet"/>
      <w:lvlText w:val=""/>
      <w:lvlJc w:val="left"/>
      <w:pPr>
        <w:tabs>
          <w:tab w:val="num" w:pos="6861"/>
        </w:tabs>
        <w:ind w:left="6861" w:hanging="360"/>
      </w:pPr>
      <w:rPr>
        <w:rFonts w:ascii="Wingdings" w:hAnsi="Wingdings" w:hint="default"/>
      </w:rPr>
    </w:lvl>
  </w:abstractNum>
  <w:abstractNum w:abstractNumId="32" w15:restartNumberingAfterBreak="0">
    <w:nsid w:val="65CD370F"/>
    <w:multiLevelType w:val="hybridMultilevel"/>
    <w:tmpl w:val="F0D23F02"/>
    <w:lvl w:ilvl="0" w:tplc="708AF0F2">
      <w:start w:val="1"/>
      <w:numFmt w:val="bullet"/>
      <w:lvlText w:val=""/>
      <w:lvlJc w:val="left"/>
      <w:pPr>
        <w:tabs>
          <w:tab w:val="num" w:pos="700"/>
        </w:tabs>
        <w:ind w:left="700" w:hanging="360"/>
      </w:pPr>
      <w:rPr>
        <w:rFonts w:ascii="Symbol" w:hAnsi="Symbol" w:hint="default"/>
      </w:rPr>
    </w:lvl>
    <w:lvl w:ilvl="1" w:tplc="C7466056">
      <w:start w:val="1"/>
      <w:numFmt w:val="bullet"/>
      <w:lvlText w:val=""/>
      <w:lvlJc w:val="left"/>
      <w:pPr>
        <w:tabs>
          <w:tab w:val="num" w:pos="1440"/>
        </w:tabs>
        <w:ind w:left="740" w:firstLine="34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E6BBC"/>
    <w:multiLevelType w:val="hybridMultilevel"/>
    <w:tmpl w:val="A3186A2C"/>
    <w:lvl w:ilvl="0" w:tplc="3B28C328">
      <w:start w:val="1"/>
      <w:numFmt w:val="bullet"/>
      <w:lvlText w:val="♦"/>
      <w:lvlJc w:val="left"/>
      <w:pPr>
        <w:tabs>
          <w:tab w:val="num" w:pos="2880"/>
        </w:tabs>
        <w:ind w:left="2880" w:hanging="360"/>
      </w:pPr>
      <w:rPr>
        <w:rFonts w:ascii="Courier New" w:hAnsi="Courier New" w:hint="default"/>
        <w:sz w:val="24"/>
        <w:szCs w:val="24"/>
      </w:rPr>
    </w:lvl>
    <w:lvl w:ilvl="1" w:tplc="8D0EC7F8">
      <w:start w:val="1"/>
      <w:numFmt w:val="bullet"/>
      <w:lvlText w:val=""/>
      <w:lvlJc w:val="left"/>
      <w:pPr>
        <w:tabs>
          <w:tab w:val="num" w:pos="2160"/>
        </w:tabs>
        <w:ind w:left="2160" w:hanging="360"/>
      </w:pPr>
      <w:rPr>
        <w:rFonts w:ascii="Wingdings" w:hAnsi="Wingdings" w:hint="default"/>
        <w:color w:val="auto"/>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8B65AC9"/>
    <w:multiLevelType w:val="hybridMultilevel"/>
    <w:tmpl w:val="313EA526"/>
    <w:lvl w:ilvl="0" w:tplc="257A31AA">
      <w:start w:val="1"/>
      <w:numFmt w:val="bullet"/>
      <w:lvlText w:val=""/>
      <w:lvlJc w:val="left"/>
      <w:pPr>
        <w:tabs>
          <w:tab w:val="num" w:pos="540"/>
        </w:tabs>
        <w:ind w:left="30" w:firstLine="1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204032"/>
    <w:multiLevelType w:val="hybridMultilevel"/>
    <w:tmpl w:val="5A7CE09A"/>
    <w:lvl w:ilvl="0" w:tplc="3B28C328">
      <w:start w:val="1"/>
      <w:numFmt w:val="bullet"/>
      <w:lvlText w:val="♦"/>
      <w:lvlJc w:val="left"/>
      <w:pPr>
        <w:tabs>
          <w:tab w:val="num" w:pos="2880"/>
        </w:tabs>
        <w:ind w:left="2880" w:hanging="360"/>
      </w:pPr>
      <w:rPr>
        <w:rFonts w:ascii="Courier New" w:hAnsi="Courier New" w:hint="default"/>
        <w:sz w:val="24"/>
        <w:szCs w:val="24"/>
      </w:rPr>
    </w:lvl>
    <w:lvl w:ilvl="1" w:tplc="7DDCFFB6">
      <w:start w:val="1"/>
      <w:numFmt w:val="bullet"/>
      <w:lvlText w:val=""/>
      <w:lvlJc w:val="left"/>
      <w:pPr>
        <w:tabs>
          <w:tab w:val="num" w:pos="2160"/>
        </w:tabs>
        <w:ind w:left="2160" w:hanging="360"/>
      </w:pPr>
      <w:rPr>
        <w:rFonts w:ascii="Wingdings" w:hAnsi="Wingdings" w:hint="default"/>
        <w:sz w:val="24"/>
        <w:szCs w:val="24"/>
      </w:rPr>
    </w:lvl>
    <w:lvl w:ilvl="2" w:tplc="F3BE7F08">
      <w:start w:val="1"/>
      <w:numFmt w:val="bullet"/>
      <w:lvlText w:val=""/>
      <w:lvlJc w:val="left"/>
      <w:pPr>
        <w:tabs>
          <w:tab w:val="num" w:pos="2880"/>
        </w:tabs>
        <w:ind w:left="2880" w:hanging="360"/>
      </w:pPr>
      <w:rPr>
        <w:rFonts w:ascii="Wingdings" w:hAnsi="Wingdings" w:hint="default"/>
        <w:color w:val="000000"/>
        <w:sz w:val="24"/>
        <w:szCs w:val="24"/>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69CA2BDC"/>
    <w:multiLevelType w:val="hybridMultilevel"/>
    <w:tmpl w:val="B53C31C0"/>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7" w15:restartNumberingAfterBreak="0">
    <w:nsid w:val="6E544B1C"/>
    <w:multiLevelType w:val="hybridMultilevel"/>
    <w:tmpl w:val="F19A58DE"/>
    <w:lvl w:ilvl="0" w:tplc="0402000B">
      <w:start w:val="1"/>
      <w:numFmt w:val="bullet"/>
      <w:lvlText w:val=""/>
      <w:lvlJc w:val="left"/>
      <w:pPr>
        <w:ind w:left="928" w:hanging="360"/>
      </w:pPr>
      <w:rPr>
        <w:rFonts w:ascii="Wingdings" w:hAnsi="Wingdings"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38" w15:restartNumberingAfterBreak="0">
    <w:nsid w:val="6F1E15D4"/>
    <w:multiLevelType w:val="hybridMultilevel"/>
    <w:tmpl w:val="9DAEC4A6"/>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004F12"/>
    <w:multiLevelType w:val="hybridMultilevel"/>
    <w:tmpl w:val="3620C29E"/>
    <w:lvl w:ilvl="0" w:tplc="04020001">
      <w:start w:val="1"/>
      <w:numFmt w:val="bullet"/>
      <w:lvlText w:val=""/>
      <w:lvlJc w:val="left"/>
      <w:pPr>
        <w:ind w:left="780" w:hanging="360"/>
      </w:pPr>
      <w:rPr>
        <w:rFonts w:ascii="Symbol" w:hAnsi="Symbol"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40" w15:restartNumberingAfterBreak="0">
    <w:nsid w:val="71812127"/>
    <w:multiLevelType w:val="multilevel"/>
    <w:tmpl w:val="FDE86A66"/>
    <w:lvl w:ilvl="0">
      <w:start w:val="1"/>
      <w:numFmt w:val="decimal"/>
      <w:lvlText w:val="%1."/>
      <w:lvlJc w:val="left"/>
      <w:pPr>
        <w:tabs>
          <w:tab w:val="num" w:pos="532"/>
        </w:tabs>
        <w:ind w:left="532" w:hanging="39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71E812CD"/>
    <w:multiLevelType w:val="hybridMultilevel"/>
    <w:tmpl w:val="DD0CAB12"/>
    <w:lvl w:ilvl="0" w:tplc="0402000B">
      <w:start w:val="1"/>
      <w:numFmt w:val="bullet"/>
      <w:lvlText w:val=""/>
      <w:lvlJc w:val="left"/>
      <w:pPr>
        <w:ind w:left="720" w:hanging="360"/>
      </w:pPr>
      <w:rPr>
        <w:rFonts w:ascii="Wingdings" w:hAnsi="Wingdings"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2" w15:restartNumberingAfterBreak="0">
    <w:nsid w:val="74400184"/>
    <w:multiLevelType w:val="hybridMultilevel"/>
    <w:tmpl w:val="93A0FF94"/>
    <w:lvl w:ilvl="0" w:tplc="A0881FC2">
      <w:start w:val="1"/>
      <w:numFmt w:val="bullet"/>
      <w:lvlText w:val=""/>
      <w:lvlJc w:val="left"/>
      <w:pPr>
        <w:tabs>
          <w:tab w:val="num" w:pos="1440"/>
        </w:tabs>
        <w:ind w:left="740" w:firstLine="340"/>
      </w:pPr>
      <w:rPr>
        <w:rFonts w:ascii="Wingdings" w:hAnsi="Wingdings" w:hint="default"/>
        <w:color w:val="000000"/>
        <w:sz w:val="24"/>
        <w:szCs w:val="24"/>
      </w:rPr>
    </w:lvl>
    <w:lvl w:ilvl="1" w:tplc="CAE42808">
      <w:start w:val="1"/>
      <w:numFmt w:val="bullet"/>
      <w:lvlText w:val=""/>
      <w:lvlJc w:val="left"/>
      <w:pPr>
        <w:tabs>
          <w:tab w:val="num" w:pos="1440"/>
        </w:tabs>
        <w:ind w:left="1440" w:hanging="360"/>
      </w:pPr>
      <w:rPr>
        <w:rFonts w:ascii="Wingdings" w:hAnsi="Wingdings" w:hint="default"/>
        <w:color w:val="000000"/>
        <w:sz w:val="24"/>
        <w:szCs w:val="24"/>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D837F9"/>
    <w:multiLevelType w:val="hybridMultilevel"/>
    <w:tmpl w:val="21AA00B6"/>
    <w:lvl w:ilvl="0" w:tplc="3B28C328">
      <w:start w:val="1"/>
      <w:numFmt w:val="bullet"/>
      <w:lvlText w:val="♦"/>
      <w:lvlJc w:val="left"/>
      <w:pPr>
        <w:tabs>
          <w:tab w:val="num" w:pos="2880"/>
        </w:tabs>
        <w:ind w:left="2880" w:hanging="360"/>
      </w:pPr>
      <w:rPr>
        <w:rFonts w:ascii="Courier New" w:hAnsi="Courier New" w:hint="default"/>
        <w:sz w:val="24"/>
        <w:szCs w:val="24"/>
      </w:rPr>
    </w:lvl>
    <w:lvl w:ilvl="1" w:tplc="72E4233E">
      <w:start w:val="1"/>
      <w:numFmt w:val="bullet"/>
      <w:lvlText w:val=""/>
      <w:lvlJc w:val="left"/>
      <w:pPr>
        <w:tabs>
          <w:tab w:val="num" w:pos="2160"/>
        </w:tabs>
        <w:ind w:left="2160" w:hanging="360"/>
      </w:pPr>
      <w:rPr>
        <w:rFonts w:ascii="Symbol" w:hAnsi="Symbol" w:hint="default"/>
        <w:sz w:val="24"/>
        <w:szCs w:val="24"/>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18"/>
  </w:num>
  <w:num w:numId="3">
    <w:abstractNumId w:val="34"/>
  </w:num>
  <w:num w:numId="4">
    <w:abstractNumId w:val="13"/>
  </w:num>
  <w:num w:numId="5">
    <w:abstractNumId w:val="38"/>
  </w:num>
  <w:num w:numId="6">
    <w:abstractNumId w:val="23"/>
  </w:num>
  <w:num w:numId="7">
    <w:abstractNumId w:val="32"/>
  </w:num>
  <w:num w:numId="8">
    <w:abstractNumId w:val="15"/>
  </w:num>
  <w:num w:numId="9">
    <w:abstractNumId w:val="21"/>
  </w:num>
  <w:num w:numId="10">
    <w:abstractNumId w:val="40"/>
  </w:num>
  <w:num w:numId="11">
    <w:abstractNumId w:val="33"/>
  </w:num>
  <w:num w:numId="12">
    <w:abstractNumId w:val="31"/>
  </w:num>
  <w:num w:numId="13">
    <w:abstractNumId w:val="43"/>
  </w:num>
  <w:num w:numId="14">
    <w:abstractNumId w:val="42"/>
  </w:num>
  <w:num w:numId="15">
    <w:abstractNumId w:val="4"/>
  </w:num>
  <w:num w:numId="16">
    <w:abstractNumId w:val="35"/>
  </w:num>
  <w:num w:numId="17">
    <w:abstractNumId w:val="19"/>
  </w:num>
  <w:num w:numId="18">
    <w:abstractNumId w:val="9"/>
  </w:num>
  <w:num w:numId="19">
    <w:abstractNumId w:val="22"/>
  </w:num>
  <w:num w:numId="20">
    <w:abstractNumId w:val="11"/>
  </w:num>
  <w:num w:numId="21">
    <w:abstractNumId w:val="20"/>
  </w:num>
  <w:num w:numId="22">
    <w:abstractNumId w:val="25"/>
  </w:num>
  <w:num w:numId="23">
    <w:abstractNumId w:val="37"/>
  </w:num>
  <w:num w:numId="24">
    <w:abstractNumId w:val="27"/>
  </w:num>
  <w:num w:numId="25">
    <w:abstractNumId w:val="3"/>
  </w:num>
  <w:num w:numId="26">
    <w:abstractNumId w:val="30"/>
  </w:num>
  <w:num w:numId="27">
    <w:abstractNumId w:val="5"/>
  </w:num>
  <w:num w:numId="28">
    <w:abstractNumId w:val="41"/>
  </w:num>
  <w:num w:numId="29">
    <w:abstractNumId w:val="5"/>
  </w:num>
  <w:num w:numId="30">
    <w:abstractNumId w:val="16"/>
  </w:num>
  <w:num w:numId="31">
    <w:abstractNumId w:val="24"/>
  </w:num>
  <w:num w:numId="32">
    <w:abstractNumId w:val="28"/>
  </w:num>
  <w:num w:numId="33">
    <w:abstractNumId w:val="8"/>
  </w:num>
  <w:num w:numId="34">
    <w:abstractNumId w:val="36"/>
  </w:num>
  <w:num w:numId="35">
    <w:abstractNumId w:val="1"/>
  </w:num>
  <w:num w:numId="36">
    <w:abstractNumId w:val="12"/>
  </w:num>
  <w:num w:numId="37">
    <w:abstractNumId w:val="26"/>
  </w:num>
  <w:num w:numId="38">
    <w:abstractNumId w:val="39"/>
  </w:num>
  <w:num w:numId="39">
    <w:abstractNumId w:val="14"/>
  </w:num>
  <w:num w:numId="40">
    <w:abstractNumId w:val="10"/>
  </w:num>
  <w:num w:numId="41">
    <w:abstractNumId w:val="7"/>
  </w:num>
  <w:num w:numId="42">
    <w:abstractNumId w:val="2"/>
  </w:num>
  <w:num w:numId="43">
    <w:abstractNumId w:val="17"/>
  </w:num>
  <w:num w:numId="44">
    <w:abstractNumId w:val="0"/>
  </w:num>
  <w:num w:numId="45">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E15"/>
    <w:rsid w:val="00000EF0"/>
    <w:rsid w:val="000016BE"/>
    <w:rsid w:val="00001ABF"/>
    <w:rsid w:val="00002BD7"/>
    <w:rsid w:val="00002D9C"/>
    <w:rsid w:val="00003489"/>
    <w:rsid w:val="00003B52"/>
    <w:rsid w:val="00004264"/>
    <w:rsid w:val="000063FC"/>
    <w:rsid w:val="000065C6"/>
    <w:rsid w:val="0000691E"/>
    <w:rsid w:val="00006A56"/>
    <w:rsid w:val="00006EBC"/>
    <w:rsid w:val="00007F94"/>
    <w:rsid w:val="000111D3"/>
    <w:rsid w:val="00011383"/>
    <w:rsid w:val="000119C6"/>
    <w:rsid w:val="00012533"/>
    <w:rsid w:val="000126AC"/>
    <w:rsid w:val="0001276F"/>
    <w:rsid w:val="00012AE6"/>
    <w:rsid w:val="0001356B"/>
    <w:rsid w:val="00013B93"/>
    <w:rsid w:val="00013C59"/>
    <w:rsid w:val="000146EA"/>
    <w:rsid w:val="000158A2"/>
    <w:rsid w:val="00015C0F"/>
    <w:rsid w:val="00015D5B"/>
    <w:rsid w:val="00017412"/>
    <w:rsid w:val="000175C7"/>
    <w:rsid w:val="000178CA"/>
    <w:rsid w:val="00017EA1"/>
    <w:rsid w:val="0002050E"/>
    <w:rsid w:val="000215BD"/>
    <w:rsid w:val="00021A5F"/>
    <w:rsid w:val="000221B7"/>
    <w:rsid w:val="000229E1"/>
    <w:rsid w:val="00022CAC"/>
    <w:rsid w:val="00022D9E"/>
    <w:rsid w:val="0002351F"/>
    <w:rsid w:val="00023BF6"/>
    <w:rsid w:val="00023D31"/>
    <w:rsid w:val="00024065"/>
    <w:rsid w:val="0002444B"/>
    <w:rsid w:val="0002477E"/>
    <w:rsid w:val="000249B9"/>
    <w:rsid w:val="000256B4"/>
    <w:rsid w:val="00025953"/>
    <w:rsid w:val="00025F45"/>
    <w:rsid w:val="00026903"/>
    <w:rsid w:val="0002693A"/>
    <w:rsid w:val="00026AD5"/>
    <w:rsid w:val="00027951"/>
    <w:rsid w:val="00027B74"/>
    <w:rsid w:val="00030353"/>
    <w:rsid w:val="00030658"/>
    <w:rsid w:val="000307D3"/>
    <w:rsid w:val="000311EA"/>
    <w:rsid w:val="00031377"/>
    <w:rsid w:val="00031593"/>
    <w:rsid w:val="00031710"/>
    <w:rsid w:val="000319CB"/>
    <w:rsid w:val="000320C8"/>
    <w:rsid w:val="00032966"/>
    <w:rsid w:val="00033ACB"/>
    <w:rsid w:val="00034135"/>
    <w:rsid w:val="00034396"/>
    <w:rsid w:val="00034FE3"/>
    <w:rsid w:val="000359FA"/>
    <w:rsid w:val="0003621F"/>
    <w:rsid w:val="00036A1B"/>
    <w:rsid w:val="00037141"/>
    <w:rsid w:val="000377BC"/>
    <w:rsid w:val="000378DC"/>
    <w:rsid w:val="0004080C"/>
    <w:rsid w:val="0004098D"/>
    <w:rsid w:val="00040C20"/>
    <w:rsid w:val="000411D9"/>
    <w:rsid w:val="00041338"/>
    <w:rsid w:val="00042634"/>
    <w:rsid w:val="0004338F"/>
    <w:rsid w:val="000436DD"/>
    <w:rsid w:val="000439F5"/>
    <w:rsid w:val="00043AA0"/>
    <w:rsid w:val="00043AB2"/>
    <w:rsid w:val="00043E35"/>
    <w:rsid w:val="00043E3A"/>
    <w:rsid w:val="0004426E"/>
    <w:rsid w:val="00044273"/>
    <w:rsid w:val="00045116"/>
    <w:rsid w:val="0004753C"/>
    <w:rsid w:val="00050A1B"/>
    <w:rsid w:val="00051E5E"/>
    <w:rsid w:val="00052449"/>
    <w:rsid w:val="00052C5C"/>
    <w:rsid w:val="00053B0F"/>
    <w:rsid w:val="00053D51"/>
    <w:rsid w:val="000546BF"/>
    <w:rsid w:val="00054E02"/>
    <w:rsid w:val="00055007"/>
    <w:rsid w:val="000551E4"/>
    <w:rsid w:val="00055A61"/>
    <w:rsid w:val="00055DD1"/>
    <w:rsid w:val="00056221"/>
    <w:rsid w:val="00056B58"/>
    <w:rsid w:val="00056D9D"/>
    <w:rsid w:val="0005737D"/>
    <w:rsid w:val="00057886"/>
    <w:rsid w:val="00060A02"/>
    <w:rsid w:val="00060B42"/>
    <w:rsid w:val="000613BA"/>
    <w:rsid w:val="0006166E"/>
    <w:rsid w:val="00061758"/>
    <w:rsid w:val="000621DE"/>
    <w:rsid w:val="00062315"/>
    <w:rsid w:val="00062A78"/>
    <w:rsid w:val="00063235"/>
    <w:rsid w:val="00063CF1"/>
    <w:rsid w:val="00063E15"/>
    <w:rsid w:val="000642B9"/>
    <w:rsid w:val="00064472"/>
    <w:rsid w:val="0006477A"/>
    <w:rsid w:val="00064AF3"/>
    <w:rsid w:val="00064C44"/>
    <w:rsid w:val="00064E39"/>
    <w:rsid w:val="00065A46"/>
    <w:rsid w:val="00065DF8"/>
    <w:rsid w:val="000663D1"/>
    <w:rsid w:val="000666C0"/>
    <w:rsid w:val="00066EED"/>
    <w:rsid w:val="00067283"/>
    <w:rsid w:val="0007047E"/>
    <w:rsid w:val="000709C1"/>
    <w:rsid w:val="00070A97"/>
    <w:rsid w:val="00071F12"/>
    <w:rsid w:val="00072D22"/>
    <w:rsid w:val="00073108"/>
    <w:rsid w:val="00073DF5"/>
    <w:rsid w:val="000751C1"/>
    <w:rsid w:val="00075256"/>
    <w:rsid w:val="0007526B"/>
    <w:rsid w:val="000768B3"/>
    <w:rsid w:val="000801C8"/>
    <w:rsid w:val="00080AB2"/>
    <w:rsid w:val="00080EF5"/>
    <w:rsid w:val="0008155D"/>
    <w:rsid w:val="0008165A"/>
    <w:rsid w:val="000819F9"/>
    <w:rsid w:val="00081AFD"/>
    <w:rsid w:val="00082679"/>
    <w:rsid w:val="000827A4"/>
    <w:rsid w:val="000829EB"/>
    <w:rsid w:val="00082BD9"/>
    <w:rsid w:val="0008327E"/>
    <w:rsid w:val="000832E5"/>
    <w:rsid w:val="000833A2"/>
    <w:rsid w:val="0008357F"/>
    <w:rsid w:val="000853B1"/>
    <w:rsid w:val="00085704"/>
    <w:rsid w:val="00085734"/>
    <w:rsid w:val="00085B96"/>
    <w:rsid w:val="00085E01"/>
    <w:rsid w:val="00085E1A"/>
    <w:rsid w:val="00086FA7"/>
    <w:rsid w:val="00087295"/>
    <w:rsid w:val="0008745A"/>
    <w:rsid w:val="000878C4"/>
    <w:rsid w:val="0009002F"/>
    <w:rsid w:val="000900E3"/>
    <w:rsid w:val="000901EA"/>
    <w:rsid w:val="000902B5"/>
    <w:rsid w:val="00090D1D"/>
    <w:rsid w:val="00091196"/>
    <w:rsid w:val="00091BCE"/>
    <w:rsid w:val="000931C8"/>
    <w:rsid w:val="000937AB"/>
    <w:rsid w:val="000937E0"/>
    <w:rsid w:val="00093CFC"/>
    <w:rsid w:val="00093F6F"/>
    <w:rsid w:val="000943E4"/>
    <w:rsid w:val="000949D3"/>
    <w:rsid w:val="00094A6C"/>
    <w:rsid w:val="00094A78"/>
    <w:rsid w:val="000959DC"/>
    <w:rsid w:val="00095EF0"/>
    <w:rsid w:val="0009743A"/>
    <w:rsid w:val="000A052A"/>
    <w:rsid w:val="000A09BA"/>
    <w:rsid w:val="000A301B"/>
    <w:rsid w:val="000A3426"/>
    <w:rsid w:val="000A3F57"/>
    <w:rsid w:val="000A5B32"/>
    <w:rsid w:val="000A6E4D"/>
    <w:rsid w:val="000A7841"/>
    <w:rsid w:val="000B0616"/>
    <w:rsid w:val="000B0815"/>
    <w:rsid w:val="000B09E5"/>
    <w:rsid w:val="000B0CE6"/>
    <w:rsid w:val="000B11FB"/>
    <w:rsid w:val="000B175F"/>
    <w:rsid w:val="000B1A24"/>
    <w:rsid w:val="000B1E59"/>
    <w:rsid w:val="000B25CC"/>
    <w:rsid w:val="000B2CBE"/>
    <w:rsid w:val="000B460F"/>
    <w:rsid w:val="000B474D"/>
    <w:rsid w:val="000B49EE"/>
    <w:rsid w:val="000B52FA"/>
    <w:rsid w:val="000B5F1E"/>
    <w:rsid w:val="000B62C7"/>
    <w:rsid w:val="000B6D3A"/>
    <w:rsid w:val="000B7234"/>
    <w:rsid w:val="000B7447"/>
    <w:rsid w:val="000B75C1"/>
    <w:rsid w:val="000B7C4F"/>
    <w:rsid w:val="000B7E66"/>
    <w:rsid w:val="000C06FE"/>
    <w:rsid w:val="000C0A44"/>
    <w:rsid w:val="000C0FA1"/>
    <w:rsid w:val="000C13A5"/>
    <w:rsid w:val="000C244E"/>
    <w:rsid w:val="000C2FAC"/>
    <w:rsid w:val="000C4CBB"/>
    <w:rsid w:val="000C56B9"/>
    <w:rsid w:val="000C5ACF"/>
    <w:rsid w:val="000C5C6D"/>
    <w:rsid w:val="000C6742"/>
    <w:rsid w:val="000C69AE"/>
    <w:rsid w:val="000C6CB5"/>
    <w:rsid w:val="000C6CF3"/>
    <w:rsid w:val="000C72DC"/>
    <w:rsid w:val="000C7303"/>
    <w:rsid w:val="000C736E"/>
    <w:rsid w:val="000C75A5"/>
    <w:rsid w:val="000C7BB6"/>
    <w:rsid w:val="000D0538"/>
    <w:rsid w:val="000D06A6"/>
    <w:rsid w:val="000D0AB1"/>
    <w:rsid w:val="000D23F8"/>
    <w:rsid w:val="000D2516"/>
    <w:rsid w:val="000D26D5"/>
    <w:rsid w:val="000D2B33"/>
    <w:rsid w:val="000D2BE7"/>
    <w:rsid w:val="000D3407"/>
    <w:rsid w:val="000D3942"/>
    <w:rsid w:val="000D3FA7"/>
    <w:rsid w:val="000D4203"/>
    <w:rsid w:val="000D46FD"/>
    <w:rsid w:val="000D49F5"/>
    <w:rsid w:val="000D4BEB"/>
    <w:rsid w:val="000D5449"/>
    <w:rsid w:val="000D5EE2"/>
    <w:rsid w:val="000D6D92"/>
    <w:rsid w:val="000D725A"/>
    <w:rsid w:val="000D740D"/>
    <w:rsid w:val="000D78E4"/>
    <w:rsid w:val="000E0B42"/>
    <w:rsid w:val="000E0EBA"/>
    <w:rsid w:val="000E1529"/>
    <w:rsid w:val="000E1EAF"/>
    <w:rsid w:val="000E1FB5"/>
    <w:rsid w:val="000E2207"/>
    <w:rsid w:val="000E234B"/>
    <w:rsid w:val="000E2869"/>
    <w:rsid w:val="000E2894"/>
    <w:rsid w:val="000E2B21"/>
    <w:rsid w:val="000E39DF"/>
    <w:rsid w:val="000E3BA7"/>
    <w:rsid w:val="000E3CDC"/>
    <w:rsid w:val="000E4599"/>
    <w:rsid w:val="000E4CFE"/>
    <w:rsid w:val="000E4EB4"/>
    <w:rsid w:val="000E5205"/>
    <w:rsid w:val="000E5295"/>
    <w:rsid w:val="000E5483"/>
    <w:rsid w:val="000E5EE9"/>
    <w:rsid w:val="000E632B"/>
    <w:rsid w:val="000E6968"/>
    <w:rsid w:val="000E76B3"/>
    <w:rsid w:val="000F04F4"/>
    <w:rsid w:val="000F26DE"/>
    <w:rsid w:val="000F3534"/>
    <w:rsid w:val="000F3EA1"/>
    <w:rsid w:val="000F47A8"/>
    <w:rsid w:val="000F5080"/>
    <w:rsid w:val="000F5EF4"/>
    <w:rsid w:val="000F5F76"/>
    <w:rsid w:val="000F68AF"/>
    <w:rsid w:val="000F6975"/>
    <w:rsid w:val="000F6B35"/>
    <w:rsid w:val="0010026D"/>
    <w:rsid w:val="0010055E"/>
    <w:rsid w:val="001006E1"/>
    <w:rsid w:val="00100CE5"/>
    <w:rsid w:val="00100D97"/>
    <w:rsid w:val="001011A4"/>
    <w:rsid w:val="001017B7"/>
    <w:rsid w:val="00101B1C"/>
    <w:rsid w:val="0010212B"/>
    <w:rsid w:val="00102523"/>
    <w:rsid w:val="0010261A"/>
    <w:rsid w:val="00102869"/>
    <w:rsid w:val="001028F7"/>
    <w:rsid w:val="00102BA6"/>
    <w:rsid w:val="0010358B"/>
    <w:rsid w:val="00103BC3"/>
    <w:rsid w:val="001046B0"/>
    <w:rsid w:val="00104BB5"/>
    <w:rsid w:val="0010539A"/>
    <w:rsid w:val="001053A6"/>
    <w:rsid w:val="00106081"/>
    <w:rsid w:val="0010649F"/>
    <w:rsid w:val="0010683E"/>
    <w:rsid w:val="00107258"/>
    <w:rsid w:val="0010743D"/>
    <w:rsid w:val="00107498"/>
    <w:rsid w:val="001077FA"/>
    <w:rsid w:val="00107C9F"/>
    <w:rsid w:val="00107F93"/>
    <w:rsid w:val="00110E74"/>
    <w:rsid w:val="0011244D"/>
    <w:rsid w:val="00112882"/>
    <w:rsid w:val="00112CAC"/>
    <w:rsid w:val="00112E96"/>
    <w:rsid w:val="00113FD8"/>
    <w:rsid w:val="00114DE5"/>
    <w:rsid w:val="00116D77"/>
    <w:rsid w:val="001173BA"/>
    <w:rsid w:val="001179C1"/>
    <w:rsid w:val="00117C68"/>
    <w:rsid w:val="00117CA6"/>
    <w:rsid w:val="001202E6"/>
    <w:rsid w:val="00120CC7"/>
    <w:rsid w:val="00121946"/>
    <w:rsid w:val="00122F3A"/>
    <w:rsid w:val="00122FCA"/>
    <w:rsid w:val="00123862"/>
    <w:rsid w:val="00123B59"/>
    <w:rsid w:val="00123E2A"/>
    <w:rsid w:val="00124777"/>
    <w:rsid w:val="00124FB9"/>
    <w:rsid w:val="00125B7A"/>
    <w:rsid w:val="001260AA"/>
    <w:rsid w:val="001264C3"/>
    <w:rsid w:val="00126805"/>
    <w:rsid w:val="001269AE"/>
    <w:rsid w:val="00127D25"/>
    <w:rsid w:val="001301B6"/>
    <w:rsid w:val="001305A6"/>
    <w:rsid w:val="00131B05"/>
    <w:rsid w:val="00132AD1"/>
    <w:rsid w:val="00133033"/>
    <w:rsid w:val="0013308F"/>
    <w:rsid w:val="00133478"/>
    <w:rsid w:val="00133644"/>
    <w:rsid w:val="001342F2"/>
    <w:rsid w:val="0013522E"/>
    <w:rsid w:val="0013588C"/>
    <w:rsid w:val="00135A23"/>
    <w:rsid w:val="00135E92"/>
    <w:rsid w:val="00136C08"/>
    <w:rsid w:val="00136DA4"/>
    <w:rsid w:val="001371FA"/>
    <w:rsid w:val="00140F18"/>
    <w:rsid w:val="00140F61"/>
    <w:rsid w:val="0014108F"/>
    <w:rsid w:val="00141B03"/>
    <w:rsid w:val="00142979"/>
    <w:rsid w:val="00142ABD"/>
    <w:rsid w:val="00142EDB"/>
    <w:rsid w:val="001434EA"/>
    <w:rsid w:val="00143814"/>
    <w:rsid w:val="001445AC"/>
    <w:rsid w:val="00144B67"/>
    <w:rsid w:val="00144BF2"/>
    <w:rsid w:val="0014585D"/>
    <w:rsid w:val="00145944"/>
    <w:rsid w:val="00145AD1"/>
    <w:rsid w:val="001462A0"/>
    <w:rsid w:val="00146314"/>
    <w:rsid w:val="001466F3"/>
    <w:rsid w:val="00146C11"/>
    <w:rsid w:val="00147195"/>
    <w:rsid w:val="00150706"/>
    <w:rsid w:val="00150793"/>
    <w:rsid w:val="00150D38"/>
    <w:rsid w:val="00151260"/>
    <w:rsid w:val="001514CB"/>
    <w:rsid w:val="00151757"/>
    <w:rsid w:val="001528EE"/>
    <w:rsid w:val="00152B9C"/>
    <w:rsid w:val="00153077"/>
    <w:rsid w:val="001535F3"/>
    <w:rsid w:val="00153DF3"/>
    <w:rsid w:val="00154247"/>
    <w:rsid w:val="00154DE5"/>
    <w:rsid w:val="00154FA1"/>
    <w:rsid w:val="00155948"/>
    <w:rsid w:val="00156356"/>
    <w:rsid w:val="00156A3B"/>
    <w:rsid w:val="00156B18"/>
    <w:rsid w:val="00156F40"/>
    <w:rsid w:val="00157673"/>
    <w:rsid w:val="00157B70"/>
    <w:rsid w:val="00157EC4"/>
    <w:rsid w:val="00157EF5"/>
    <w:rsid w:val="001606A4"/>
    <w:rsid w:val="00160A10"/>
    <w:rsid w:val="00160C5B"/>
    <w:rsid w:val="0016116C"/>
    <w:rsid w:val="0016122A"/>
    <w:rsid w:val="00161F90"/>
    <w:rsid w:val="001623A2"/>
    <w:rsid w:val="00162F68"/>
    <w:rsid w:val="00163645"/>
    <w:rsid w:val="001643F8"/>
    <w:rsid w:val="00164961"/>
    <w:rsid w:val="00164FAD"/>
    <w:rsid w:val="00165DB5"/>
    <w:rsid w:val="00165FF0"/>
    <w:rsid w:val="00166023"/>
    <w:rsid w:val="001668BD"/>
    <w:rsid w:val="00170EFE"/>
    <w:rsid w:val="00171F8E"/>
    <w:rsid w:val="0017216E"/>
    <w:rsid w:val="0017293F"/>
    <w:rsid w:val="00172AEE"/>
    <w:rsid w:val="00173987"/>
    <w:rsid w:val="0017483F"/>
    <w:rsid w:val="00174C24"/>
    <w:rsid w:val="00175539"/>
    <w:rsid w:val="00175890"/>
    <w:rsid w:val="00175E50"/>
    <w:rsid w:val="00176340"/>
    <w:rsid w:val="00176AE7"/>
    <w:rsid w:val="00176CB6"/>
    <w:rsid w:val="00176E98"/>
    <w:rsid w:val="00177307"/>
    <w:rsid w:val="00180811"/>
    <w:rsid w:val="001808E6"/>
    <w:rsid w:val="00180AEF"/>
    <w:rsid w:val="0018154E"/>
    <w:rsid w:val="00181FCA"/>
    <w:rsid w:val="001820C4"/>
    <w:rsid w:val="001824F0"/>
    <w:rsid w:val="001827BB"/>
    <w:rsid w:val="00182A2B"/>
    <w:rsid w:val="00182A94"/>
    <w:rsid w:val="00182C1A"/>
    <w:rsid w:val="00182D63"/>
    <w:rsid w:val="00182F27"/>
    <w:rsid w:val="00183392"/>
    <w:rsid w:val="0018398A"/>
    <w:rsid w:val="00183D5F"/>
    <w:rsid w:val="00183EA5"/>
    <w:rsid w:val="00183FAF"/>
    <w:rsid w:val="00184502"/>
    <w:rsid w:val="0018452B"/>
    <w:rsid w:val="001845D5"/>
    <w:rsid w:val="001850C5"/>
    <w:rsid w:val="0018526D"/>
    <w:rsid w:val="00185A12"/>
    <w:rsid w:val="00185BF6"/>
    <w:rsid w:val="00185D08"/>
    <w:rsid w:val="00186C81"/>
    <w:rsid w:val="00186DF9"/>
    <w:rsid w:val="00187C31"/>
    <w:rsid w:val="00190983"/>
    <w:rsid w:val="0019151C"/>
    <w:rsid w:val="00191AA6"/>
    <w:rsid w:val="00191AB6"/>
    <w:rsid w:val="00191B55"/>
    <w:rsid w:val="00191F79"/>
    <w:rsid w:val="0019213B"/>
    <w:rsid w:val="0019232E"/>
    <w:rsid w:val="0019239F"/>
    <w:rsid w:val="001924F6"/>
    <w:rsid w:val="00192CDB"/>
    <w:rsid w:val="00193D9B"/>
    <w:rsid w:val="00193F20"/>
    <w:rsid w:val="0019413C"/>
    <w:rsid w:val="001941E4"/>
    <w:rsid w:val="001953AC"/>
    <w:rsid w:val="00195CF2"/>
    <w:rsid w:val="00195FB3"/>
    <w:rsid w:val="001965AA"/>
    <w:rsid w:val="0019667B"/>
    <w:rsid w:val="001968E4"/>
    <w:rsid w:val="001971AE"/>
    <w:rsid w:val="00197278"/>
    <w:rsid w:val="00197392"/>
    <w:rsid w:val="00197764"/>
    <w:rsid w:val="00197EC3"/>
    <w:rsid w:val="00197FB1"/>
    <w:rsid w:val="001A0601"/>
    <w:rsid w:val="001A0BB0"/>
    <w:rsid w:val="001A1837"/>
    <w:rsid w:val="001A1C51"/>
    <w:rsid w:val="001A236F"/>
    <w:rsid w:val="001A28BA"/>
    <w:rsid w:val="001A3051"/>
    <w:rsid w:val="001A3387"/>
    <w:rsid w:val="001A4493"/>
    <w:rsid w:val="001A4589"/>
    <w:rsid w:val="001A5350"/>
    <w:rsid w:val="001A5398"/>
    <w:rsid w:val="001A59AF"/>
    <w:rsid w:val="001A6777"/>
    <w:rsid w:val="001A718F"/>
    <w:rsid w:val="001A75B9"/>
    <w:rsid w:val="001B18C3"/>
    <w:rsid w:val="001B1C70"/>
    <w:rsid w:val="001B20E4"/>
    <w:rsid w:val="001B2D1F"/>
    <w:rsid w:val="001B2FCD"/>
    <w:rsid w:val="001B3285"/>
    <w:rsid w:val="001B370A"/>
    <w:rsid w:val="001B3BA9"/>
    <w:rsid w:val="001B3E1C"/>
    <w:rsid w:val="001B4165"/>
    <w:rsid w:val="001B44DB"/>
    <w:rsid w:val="001B5EA6"/>
    <w:rsid w:val="001C0F05"/>
    <w:rsid w:val="001C110F"/>
    <w:rsid w:val="001C129D"/>
    <w:rsid w:val="001C15B0"/>
    <w:rsid w:val="001C239A"/>
    <w:rsid w:val="001C2EE5"/>
    <w:rsid w:val="001C486C"/>
    <w:rsid w:val="001C4B35"/>
    <w:rsid w:val="001C4CCF"/>
    <w:rsid w:val="001C501A"/>
    <w:rsid w:val="001C5CC2"/>
    <w:rsid w:val="001C61DB"/>
    <w:rsid w:val="001C6573"/>
    <w:rsid w:val="001C6BA6"/>
    <w:rsid w:val="001C726D"/>
    <w:rsid w:val="001C78CA"/>
    <w:rsid w:val="001D01FB"/>
    <w:rsid w:val="001D0221"/>
    <w:rsid w:val="001D13AD"/>
    <w:rsid w:val="001D15E5"/>
    <w:rsid w:val="001D2381"/>
    <w:rsid w:val="001D29EA"/>
    <w:rsid w:val="001D2CE9"/>
    <w:rsid w:val="001D34AF"/>
    <w:rsid w:val="001D3E63"/>
    <w:rsid w:val="001D40DA"/>
    <w:rsid w:val="001D419F"/>
    <w:rsid w:val="001D5D9A"/>
    <w:rsid w:val="001D6081"/>
    <w:rsid w:val="001D6B29"/>
    <w:rsid w:val="001D6F2E"/>
    <w:rsid w:val="001D71BC"/>
    <w:rsid w:val="001D755A"/>
    <w:rsid w:val="001E0367"/>
    <w:rsid w:val="001E11E2"/>
    <w:rsid w:val="001E1857"/>
    <w:rsid w:val="001E27FB"/>
    <w:rsid w:val="001E2B1A"/>
    <w:rsid w:val="001E373E"/>
    <w:rsid w:val="001E3753"/>
    <w:rsid w:val="001E383E"/>
    <w:rsid w:val="001E4011"/>
    <w:rsid w:val="001E4456"/>
    <w:rsid w:val="001E44C8"/>
    <w:rsid w:val="001E4518"/>
    <w:rsid w:val="001E4E88"/>
    <w:rsid w:val="001E4FFF"/>
    <w:rsid w:val="001E5BEE"/>
    <w:rsid w:val="001E619D"/>
    <w:rsid w:val="001E68EE"/>
    <w:rsid w:val="001E751C"/>
    <w:rsid w:val="001E77C4"/>
    <w:rsid w:val="001E7EA4"/>
    <w:rsid w:val="001F00B7"/>
    <w:rsid w:val="001F1092"/>
    <w:rsid w:val="001F1E88"/>
    <w:rsid w:val="001F2337"/>
    <w:rsid w:val="001F2FB5"/>
    <w:rsid w:val="001F367C"/>
    <w:rsid w:val="001F4EB9"/>
    <w:rsid w:val="001F4FDB"/>
    <w:rsid w:val="001F540A"/>
    <w:rsid w:val="001F5D2F"/>
    <w:rsid w:val="001F5E20"/>
    <w:rsid w:val="001F5FA3"/>
    <w:rsid w:val="001F60AC"/>
    <w:rsid w:val="001F6E1E"/>
    <w:rsid w:val="001F6F0C"/>
    <w:rsid w:val="001F74B9"/>
    <w:rsid w:val="001F7F82"/>
    <w:rsid w:val="002002AA"/>
    <w:rsid w:val="002003C3"/>
    <w:rsid w:val="002019D1"/>
    <w:rsid w:val="00201E8F"/>
    <w:rsid w:val="002023B3"/>
    <w:rsid w:val="00202CDB"/>
    <w:rsid w:val="00203052"/>
    <w:rsid w:val="00204381"/>
    <w:rsid w:val="00204779"/>
    <w:rsid w:val="00204799"/>
    <w:rsid w:val="00204EBE"/>
    <w:rsid w:val="002051EA"/>
    <w:rsid w:val="00205B05"/>
    <w:rsid w:val="002060C2"/>
    <w:rsid w:val="00207674"/>
    <w:rsid w:val="002076D5"/>
    <w:rsid w:val="00207C9E"/>
    <w:rsid w:val="002111F3"/>
    <w:rsid w:val="002117F4"/>
    <w:rsid w:val="002118E8"/>
    <w:rsid w:val="00212024"/>
    <w:rsid w:val="00212116"/>
    <w:rsid w:val="00212798"/>
    <w:rsid w:val="00213180"/>
    <w:rsid w:val="002136EF"/>
    <w:rsid w:val="00213A5A"/>
    <w:rsid w:val="00213D58"/>
    <w:rsid w:val="00213EB4"/>
    <w:rsid w:val="002142CA"/>
    <w:rsid w:val="0021481A"/>
    <w:rsid w:val="00214D1A"/>
    <w:rsid w:val="00214EEA"/>
    <w:rsid w:val="00215254"/>
    <w:rsid w:val="00215ADA"/>
    <w:rsid w:val="00216326"/>
    <w:rsid w:val="00216648"/>
    <w:rsid w:val="00216651"/>
    <w:rsid w:val="0021671E"/>
    <w:rsid w:val="00216AAD"/>
    <w:rsid w:val="00216C9A"/>
    <w:rsid w:val="00216D51"/>
    <w:rsid w:val="00217096"/>
    <w:rsid w:val="00217C7A"/>
    <w:rsid w:val="00217E93"/>
    <w:rsid w:val="00217FC2"/>
    <w:rsid w:val="00220265"/>
    <w:rsid w:val="0022027B"/>
    <w:rsid w:val="00220699"/>
    <w:rsid w:val="00220CF8"/>
    <w:rsid w:val="00220D8D"/>
    <w:rsid w:val="0022151A"/>
    <w:rsid w:val="002215FD"/>
    <w:rsid w:val="002216C7"/>
    <w:rsid w:val="00221E48"/>
    <w:rsid w:val="00222228"/>
    <w:rsid w:val="00222370"/>
    <w:rsid w:val="00223892"/>
    <w:rsid w:val="00223940"/>
    <w:rsid w:val="00223F09"/>
    <w:rsid w:val="002245C8"/>
    <w:rsid w:val="0022465E"/>
    <w:rsid w:val="00225164"/>
    <w:rsid w:val="00225168"/>
    <w:rsid w:val="0023041D"/>
    <w:rsid w:val="00231385"/>
    <w:rsid w:val="002316E9"/>
    <w:rsid w:val="002326C1"/>
    <w:rsid w:val="00232A8A"/>
    <w:rsid w:val="00233032"/>
    <w:rsid w:val="002332F7"/>
    <w:rsid w:val="00233986"/>
    <w:rsid w:val="00233D50"/>
    <w:rsid w:val="00234372"/>
    <w:rsid w:val="00234798"/>
    <w:rsid w:val="00240C3D"/>
    <w:rsid w:val="00240D9B"/>
    <w:rsid w:val="002413A5"/>
    <w:rsid w:val="002421FC"/>
    <w:rsid w:val="00242676"/>
    <w:rsid w:val="002433B0"/>
    <w:rsid w:val="00243641"/>
    <w:rsid w:val="0024415B"/>
    <w:rsid w:val="00244642"/>
    <w:rsid w:val="00244D15"/>
    <w:rsid w:val="00244E1B"/>
    <w:rsid w:val="00245474"/>
    <w:rsid w:val="002462FC"/>
    <w:rsid w:val="00246417"/>
    <w:rsid w:val="00247270"/>
    <w:rsid w:val="0024752F"/>
    <w:rsid w:val="00247C3E"/>
    <w:rsid w:val="002500E6"/>
    <w:rsid w:val="00250178"/>
    <w:rsid w:val="00250302"/>
    <w:rsid w:val="002503BA"/>
    <w:rsid w:val="002509DA"/>
    <w:rsid w:val="00251005"/>
    <w:rsid w:val="0025173F"/>
    <w:rsid w:val="00251963"/>
    <w:rsid w:val="00251F57"/>
    <w:rsid w:val="0025220D"/>
    <w:rsid w:val="002529E3"/>
    <w:rsid w:val="00252E78"/>
    <w:rsid w:val="00253194"/>
    <w:rsid w:val="0025359A"/>
    <w:rsid w:val="002539F9"/>
    <w:rsid w:val="00253D47"/>
    <w:rsid w:val="002545AB"/>
    <w:rsid w:val="00254667"/>
    <w:rsid w:val="0025469B"/>
    <w:rsid w:val="00254DAC"/>
    <w:rsid w:val="00254F00"/>
    <w:rsid w:val="00255101"/>
    <w:rsid w:val="002553EF"/>
    <w:rsid w:val="0025556C"/>
    <w:rsid w:val="002555A1"/>
    <w:rsid w:val="002557F9"/>
    <w:rsid w:val="002559EF"/>
    <w:rsid w:val="0025637F"/>
    <w:rsid w:val="002567D3"/>
    <w:rsid w:val="00256C8E"/>
    <w:rsid w:val="002572C6"/>
    <w:rsid w:val="00257669"/>
    <w:rsid w:val="00257837"/>
    <w:rsid w:val="00257A26"/>
    <w:rsid w:val="002605A7"/>
    <w:rsid w:val="00260847"/>
    <w:rsid w:val="00261653"/>
    <w:rsid w:val="0026189C"/>
    <w:rsid w:val="00262391"/>
    <w:rsid w:val="0026368D"/>
    <w:rsid w:val="00263A27"/>
    <w:rsid w:val="0026424C"/>
    <w:rsid w:val="002642FC"/>
    <w:rsid w:val="0026495C"/>
    <w:rsid w:val="0026544D"/>
    <w:rsid w:val="00266AF5"/>
    <w:rsid w:val="00266D04"/>
    <w:rsid w:val="002674FC"/>
    <w:rsid w:val="00267867"/>
    <w:rsid w:val="002701ED"/>
    <w:rsid w:val="0027076E"/>
    <w:rsid w:val="002715E5"/>
    <w:rsid w:val="00271642"/>
    <w:rsid w:val="00271AF4"/>
    <w:rsid w:val="00272747"/>
    <w:rsid w:val="00272812"/>
    <w:rsid w:val="00273557"/>
    <w:rsid w:val="00273AF1"/>
    <w:rsid w:val="00273EB1"/>
    <w:rsid w:val="002742C4"/>
    <w:rsid w:val="002744A6"/>
    <w:rsid w:val="0027478C"/>
    <w:rsid w:val="002747FE"/>
    <w:rsid w:val="002749F4"/>
    <w:rsid w:val="00274CEA"/>
    <w:rsid w:val="00275BE1"/>
    <w:rsid w:val="002763DB"/>
    <w:rsid w:val="00276E87"/>
    <w:rsid w:val="00280101"/>
    <w:rsid w:val="00280569"/>
    <w:rsid w:val="0028159B"/>
    <w:rsid w:val="00283343"/>
    <w:rsid w:val="00283475"/>
    <w:rsid w:val="002841B8"/>
    <w:rsid w:val="002843A3"/>
    <w:rsid w:val="00284488"/>
    <w:rsid w:val="00284996"/>
    <w:rsid w:val="00284D15"/>
    <w:rsid w:val="00285044"/>
    <w:rsid w:val="002852B7"/>
    <w:rsid w:val="0028534D"/>
    <w:rsid w:val="00285594"/>
    <w:rsid w:val="00285654"/>
    <w:rsid w:val="00285B0D"/>
    <w:rsid w:val="00285BC7"/>
    <w:rsid w:val="0028636E"/>
    <w:rsid w:val="00286740"/>
    <w:rsid w:val="00286AC4"/>
    <w:rsid w:val="00287F6C"/>
    <w:rsid w:val="00290163"/>
    <w:rsid w:val="002907AE"/>
    <w:rsid w:val="00290876"/>
    <w:rsid w:val="00290C55"/>
    <w:rsid w:val="00290EE6"/>
    <w:rsid w:val="00292884"/>
    <w:rsid w:val="00292971"/>
    <w:rsid w:val="00292EC1"/>
    <w:rsid w:val="00293051"/>
    <w:rsid w:val="0029338A"/>
    <w:rsid w:val="00293D1E"/>
    <w:rsid w:val="00294726"/>
    <w:rsid w:val="0029481A"/>
    <w:rsid w:val="00294B02"/>
    <w:rsid w:val="00294D83"/>
    <w:rsid w:val="00295917"/>
    <w:rsid w:val="0029593D"/>
    <w:rsid w:val="00295C97"/>
    <w:rsid w:val="002961BB"/>
    <w:rsid w:val="002968B1"/>
    <w:rsid w:val="002968FE"/>
    <w:rsid w:val="00296F46"/>
    <w:rsid w:val="0029717D"/>
    <w:rsid w:val="00297C07"/>
    <w:rsid w:val="002A1277"/>
    <w:rsid w:val="002A1772"/>
    <w:rsid w:val="002A29F2"/>
    <w:rsid w:val="002A3C2E"/>
    <w:rsid w:val="002A4706"/>
    <w:rsid w:val="002A4845"/>
    <w:rsid w:val="002A50A9"/>
    <w:rsid w:val="002A5F57"/>
    <w:rsid w:val="002A6CBF"/>
    <w:rsid w:val="002A6D63"/>
    <w:rsid w:val="002A748F"/>
    <w:rsid w:val="002B02E8"/>
    <w:rsid w:val="002B0384"/>
    <w:rsid w:val="002B1377"/>
    <w:rsid w:val="002B14CD"/>
    <w:rsid w:val="002B2304"/>
    <w:rsid w:val="002B25B2"/>
    <w:rsid w:val="002B25DE"/>
    <w:rsid w:val="002B2668"/>
    <w:rsid w:val="002B2B8E"/>
    <w:rsid w:val="002B2EF8"/>
    <w:rsid w:val="002B323C"/>
    <w:rsid w:val="002B3244"/>
    <w:rsid w:val="002B3E0D"/>
    <w:rsid w:val="002B3E89"/>
    <w:rsid w:val="002B484C"/>
    <w:rsid w:val="002B4D3E"/>
    <w:rsid w:val="002B5C17"/>
    <w:rsid w:val="002B5D34"/>
    <w:rsid w:val="002B6133"/>
    <w:rsid w:val="002B695A"/>
    <w:rsid w:val="002B6BB4"/>
    <w:rsid w:val="002B73E2"/>
    <w:rsid w:val="002B7904"/>
    <w:rsid w:val="002B79DA"/>
    <w:rsid w:val="002B7F97"/>
    <w:rsid w:val="002C0110"/>
    <w:rsid w:val="002C0304"/>
    <w:rsid w:val="002C079D"/>
    <w:rsid w:val="002C096A"/>
    <w:rsid w:val="002C12D6"/>
    <w:rsid w:val="002C18B7"/>
    <w:rsid w:val="002C1B26"/>
    <w:rsid w:val="002C23BF"/>
    <w:rsid w:val="002C24D7"/>
    <w:rsid w:val="002C286D"/>
    <w:rsid w:val="002C2CAC"/>
    <w:rsid w:val="002C2F4E"/>
    <w:rsid w:val="002C30BA"/>
    <w:rsid w:val="002C33B7"/>
    <w:rsid w:val="002C3578"/>
    <w:rsid w:val="002C3ED6"/>
    <w:rsid w:val="002C418B"/>
    <w:rsid w:val="002C4201"/>
    <w:rsid w:val="002C468E"/>
    <w:rsid w:val="002C4D33"/>
    <w:rsid w:val="002C522A"/>
    <w:rsid w:val="002C64F3"/>
    <w:rsid w:val="002C6996"/>
    <w:rsid w:val="002C69F6"/>
    <w:rsid w:val="002C6C5B"/>
    <w:rsid w:val="002C7537"/>
    <w:rsid w:val="002D00C7"/>
    <w:rsid w:val="002D030C"/>
    <w:rsid w:val="002D0399"/>
    <w:rsid w:val="002D0882"/>
    <w:rsid w:val="002D1067"/>
    <w:rsid w:val="002D11C6"/>
    <w:rsid w:val="002D1252"/>
    <w:rsid w:val="002D17E3"/>
    <w:rsid w:val="002D2739"/>
    <w:rsid w:val="002D2B07"/>
    <w:rsid w:val="002D2DC4"/>
    <w:rsid w:val="002D2FA5"/>
    <w:rsid w:val="002D3AE3"/>
    <w:rsid w:val="002D3F6E"/>
    <w:rsid w:val="002D4760"/>
    <w:rsid w:val="002D516B"/>
    <w:rsid w:val="002D51C1"/>
    <w:rsid w:val="002D527A"/>
    <w:rsid w:val="002D5811"/>
    <w:rsid w:val="002D6978"/>
    <w:rsid w:val="002D6A0C"/>
    <w:rsid w:val="002D6A9D"/>
    <w:rsid w:val="002D72DE"/>
    <w:rsid w:val="002D7651"/>
    <w:rsid w:val="002D7BAD"/>
    <w:rsid w:val="002D7BFC"/>
    <w:rsid w:val="002E029F"/>
    <w:rsid w:val="002E130D"/>
    <w:rsid w:val="002E1ADD"/>
    <w:rsid w:val="002E1AFB"/>
    <w:rsid w:val="002E1EDB"/>
    <w:rsid w:val="002E20E4"/>
    <w:rsid w:val="002E2255"/>
    <w:rsid w:val="002E2470"/>
    <w:rsid w:val="002E2C27"/>
    <w:rsid w:val="002E2D64"/>
    <w:rsid w:val="002E2F63"/>
    <w:rsid w:val="002E339C"/>
    <w:rsid w:val="002E4150"/>
    <w:rsid w:val="002E43D0"/>
    <w:rsid w:val="002E49A6"/>
    <w:rsid w:val="002E5EF1"/>
    <w:rsid w:val="002E6EAB"/>
    <w:rsid w:val="002E7799"/>
    <w:rsid w:val="002E7F57"/>
    <w:rsid w:val="002F013B"/>
    <w:rsid w:val="002F0511"/>
    <w:rsid w:val="002F0637"/>
    <w:rsid w:val="002F094A"/>
    <w:rsid w:val="002F0E98"/>
    <w:rsid w:val="002F209C"/>
    <w:rsid w:val="002F2AA4"/>
    <w:rsid w:val="002F37A8"/>
    <w:rsid w:val="002F3E25"/>
    <w:rsid w:val="002F4E32"/>
    <w:rsid w:val="002F5021"/>
    <w:rsid w:val="002F50A5"/>
    <w:rsid w:val="002F50FC"/>
    <w:rsid w:val="002F5497"/>
    <w:rsid w:val="002F56B6"/>
    <w:rsid w:val="002F6391"/>
    <w:rsid w:val="002F68BA"/>
    <w:rsid w:val="002F6AC3"/>
    <w:rsid w:val="002F6D4A"/>
    <w:rsid w:val="002F748D"/>
    <w:rsid w:val="002F781A"/>
    <w:rsid w:val="002F7EAC"/>
    <w:rsid w:val="00300566"/>
    <w:rsid w:val="003006DA"/>
    <w:rsid w:val="0030071E"/>
    <w:rsid w:val="00300C77"/>
    <w:rsid w:val="00300DE1"/>
    <w:rsid w:val="00300E8B"/>
    <w:rsid w:val="0030108C"/>
    <w:rsid w:val="003015BA"/>
    <w:rsid w:val="00301E6A"/>
    <w:rsid w:val="00302CD2"/>
    <w:rsid w:val="0030300D"/>
    <w:rsid w:val="00303208"/>
    <w:rsid w:val="00303427"/>
    <w:rsid w:val="0030350B"/>
    <w:rsid w:val="00303543"/>
    <w:rsid w:val="00303716"/>
    <w:rsid w:val="00303B0B"/>
    <w:rsid w:val="00303BB4"/>
    <w:rsid w:val="00304129"/>
    <w:rsid w:val="00304177"/>
    <w:rsid w:val="00304DDA"/>
    <w:rsid w:val="00304EE1"/>
    <w:rsid w:val="00305CF4"/>
    <w:rsid w:val="00305F56"/>
    <w:rsid w:val="00307BFD"/>
    <w:rsid w:val="00307E09"/>
    <w:rsid w:val="00307E4B"/>
    <w:rsid w:val="00307F21"/>
    <w:rsid w:val="00310430"/>
    <w:rsid w:val="003114FA"/>
    <w:rsid w:val="00311BEA"/>
    <w:rsid w:val="00311D79"/>
    <w:rsid w:val="00312B38"/>
    <w:rsid w:val="00313799"/>
    <w:rsid w:val="00313907"/>
    <w:rsid w:val="00313A44"/>
    <w:rsid w:val="00313E37"/>
    <w:rsid w:val="00314D1E"/>
    <w:rsid w:val="00315073"/>
    <w:rsid w:val="00315241"/>
    <w:rsid w:val="003153BB"/>
    <w:rsid w:val="003159D9"/>
    <w:rsid w:val="0031729F"/>
    <w:rsid w:val="003174F8"/>
    <w:rsid w:val="00317FD8"/>
    <w:rsid w:val="00320B2A"/>
    <w:rsid w:val="00320F20"/>
    <w:rsid w:val="00321558"/>
    <w:rsid w:val="00321743"/>
    <w:rsid w:val="00322176"/>
    <w:rsid w:val="00322BE4"/>
    <w:rsid w:val="00322F9A"/>
    <w:rsid w:val="00322FA8"/>
    <w:rsid w:val="00324DD1"/>
    <w:rsid w:val="00325472"/>
    <w:rsid w:val="00325769"/>
    <w:rsid w:val="00325AC3"/>
    <w:rsid w:val="00326155"/>
    <w:rsid w:val="00326B55"/>
    <w:rsid w:val="00327425"/>
    <w:rsid w:val="00330509"/>
    <w:rsid w:val="003308A9"/>
    <w:rsid w:val="00330C3B"/>
    <w:rsid w:val="0033105F"/>
    <w:rsid w:val="003310A7"/>
    <w:rsid w:val="003311C5"/>
    <w:rsid w:val="00331492"/>
    <w:rsid w:val="00331D03"/>
    <w:rsid w:val="00332972"/>
    <w:rsid w:val="0033309B"/>
    <w:rsid w:val="00333789"/>
    <w:rsid w:val="00333B5E"/>
    <w:rsid w:val="0033470F"/>
    <w:rsid w:val="00334766"/>
    <w:rsid w:val="00334E1E"/>
    <w:rsid w:val="00335348"/>
    <w:rsid w:val="00335F25"/>
    <w:rsid w:val="00336631"/>
    <w:rsid w:val="003368A9"/>
    <w:rsid w:val="00337244"/>
    <w:rsid w:val="00337793"/>
    <w:rsid w:val="00337863"/>
    <w:rsid w:val="00337CA7"/>
    <w:rsid w:val="00340786"/>
    <w:rsid w:val="00340CE0"/>
    <w:rsid w:val="003418A7"/>
    <w:rsid w:val="00342205"/>
    <w:rsid w:val="003423EB"/>
    <w:rsid w:val="003429F1"/>
    <w:rsid w:val="00342B71"/>
    <w:rsid w:val="00342EDD"/>
    <w:rsid w:val="0034309B"/>
    <w:rsid w:val="00343737"/>
    <w:rsid w:val="00344353"/>
    <w:rsid w:val="00344B38"/>
    <w:rsid w:val="003459AC"/>
    <w:rsid w:val="003464BD"/>
    <w:rsid w:val="00346E32"/>
    <w:rsid w:val="0034755B"/>
    <w:rsid w:val="00347A59"/>
    <w:rsid w:val="00350336"/>
    <w:rsid w:val="00351513"/>
    <w:rsid w:val="00351BD9"/>
    <w:rsid w:val="00352C2B"/>
    <w:rsid w:val="00352F76"/>
    <w:rsid w:val="0035338B"/>
    <w:rsid w:val="003533A4"/>
    <w:rsid w:val="0035368F"/>
    <w:rsid w:val="00354E8D"/>
    <w:rsid w:val="0035525B"/>
    <w:rsid w:val="003554A7"/>
    <w:rsid w:val="00355C2D"/>
    <w:rsid w:val="00356698"/>
    <w:rsid w:val="00356CE8"/>
    <w:rsid w:val="00357974"/>
    <w:rsid w:val="003579F2"/>
    <w:rsid w:val="00360058"/>
    <w:rsid w:val="00360470"/>
    <w:rsid w:val="00360BE6"/>
    <w:rsid w:val="00361524"/>
    <w:rsid w:val="003615A7"/>
    <w:rsid w:val="00361EAF"/>
    <w:rsid w:val="00361FC7"/>
    <w:rsid w:val="00362463"/>
    <w:rsid w:val="0036257D"/>
    <w:rsid w:val="003628B0"/>
    <w:rsid w:val="00363014"/>
    <w:rsid w:val="0036316C"/>
    <w:rsid w:val="00363315"/>
    <w:rsid w:val="0036333F"/>
    <w:rsid w:val="003636BA"/>
    <w:rsid w:val="00363C1A"/>
    <w:rsid w:val="00363E99"/>
    <w:rsid w:val="00364563"/>
    <w:rsid w:val="00365690"/>
    <w:rsid w:val="0036577B"/>
    <w:rsid w:val="00365959"/>
    <w:rsid w:val="003674D9"/>
    <w:rsid w:val="00367850"/>
    <w:rsid w:val="0037017F"/>
    <w:rsid w:val="00370377"/>
    <w:rsid w:val="00371384"/>
    <w:rsid w:val="00371EEF"/>
    <w:rsid w:val="00372965"/>
    <w:rsid w:val="00372C6F"/>
    <w:rsid w:val="00373E32"/>
    <w:rsid w:val="0037459F"/>
    <w:rsid w:val="003748CB"/>
    <w:rsid w:val="00374CB3"/>
    <w:rsid w:val="00375136"/>
    <w:rsid w:val="00375C31"/>
    <w:rsid w:val="00376467"/>
    <w:rsid w:val="00376A38"/>
    <w:rsid w:val="00377E04"/>
    <w:rsid w:val="00377FA0"/>
    <w:rsid w:val="00380F3E"/>
    <w:rsid w:val="00380F49"/>
    <w:rsid w:val="003810AB"/>
    <w:rsid w:val="00381745"/>
    <w:rsid w:val="00381764"/>
    <w:rsid w:val="00382167"/>
    <w:rsid w:val="0038363F"/>
    <w:rsid w:val="00383E33"/>
    <w:rsid w:val="003849E0"/>
    <w:rsid w:val="00384DDA"/>
    <w:rsid w:val="003854E9"/>
    <w:rsid w:val="0038577D"/>
    <w:rsid w:val="00385C8A"/>
    <w:rsid w:val="00386827"/>
    <w:rsid w:val="0038746F"/>
    <w:rsid w:val="003878ED"/>
    <w:rsid w:val="00387FF5"/>
    <w:rsid w:val="00390575"/>
    <w:rsid w:val="003906CD"/>
    <w:rsid w:val="00391125"/>
    <w:rsid w:val="00391F0E"/>
    <w:rsid w:val="003922B1"/>
    <w:rsid w:val="0039296F"/>
    <w:rsid w:val="003930B5"/>
    <w:rsid w:val="0039334A"/>
    <w:rsid w:val="00393468"/>
    <w:rsid w:val="00393585"/>
    <w:rsid w:val="003935B9"/>
    <w:rsid w:val="00395CCF"/>
    <w:rsid w:val="00396338"/>
    <w:rsid w:val="00396749"/>
    <w:rsid w:val="003967B0"/>
    <w:rsid w:val="00396958"/>
    <w:rsid w:val="00396B1E"/>
    <w:rsid w:val="00396BCA"/>
    <w:rsid w:val="00396E17"/>
    <w:rsid w:val="003A06C5"/>
    <w:rsid w:val="003A0890"/>
    <w:rsid w:val="003A0A29"/>
    <w:rsid w:val="003A0C97"/>
    <w:rsid w:val="003A1AF7"/>
    <w:rsid w:val="003A221F"/>
    <w:rsid w:val="003A25F4"/>
    <w:rsid w:val="003A295A"/>
    <w:rsid w:val="003A3159"/>
    <w:rsid w:val="003A39C7"/>
    <w:rsid w:val="003A3AC4"/>
    <w:rsid w:val="003A3D0E"/>
    <w:rsid w:val="003A3D9A"/>
    <w:rsid w:val="003A409D"/>
    <w:rsid w:val="003A4129"/>
    <w:rsid w:val="003A420E"/>
    <w:rsid w:val="003A4801"/>
    <w:rsid w:val="003A48A3"/>
    <w:rsid w:val="003A4AAF"/>
    <w:rsid w:val="003A4B2E"/>
    <w:rsid w:val="003A54BC"/>
    <w:rsid w:val="003A5737"/>
    <w:rsid w:val="003A58AF"/>
    <w:rsid w:val="003B019B"/>
    <w:rsid w:val="003B01E4"/>
    <w:rsid w:val="003B088E"/>
    <w:rsid w:val="003B1F25"/>
    <w:rsid w:val="003B27DF"/>
    <w:rsid w:val="003B2E07"/>
    <w:rsid w:val="003B3951"/>
    <w:rsid w:val="003B3BDF"/>
    <w:rsid w:val="003B44AF"/>
    <w:rsid w:val="003B46C7"/>
    <w:rsid w:val="003B4787"/>
    <w:rsid w:val="003B4F0C"/>
    <w:rsid w:val="003B50BA"/>
    <w:rsid w:val="003B5452"/>
    <w:rsid w:val="003B5717"/>
    <w:rsid w:val="003B5B2E"/>
    <w:rsid w:val="003B5CAF"/>
    <w:rsid w:val="003B6166"/>
    <w:rsid w:val="003B6534"/>
    <w:rsid w:val="003B6D41"/>
    <w:rsid w:val="003B7749"/>
    <w:rsid w:val="003B7C7B"/>
    <w:rsid w:val="003C0E58"/>
    <w:rsid w:val="003C14B1"/>
    <w:rsid w:val="003C1591"/>
    <w:rsid w:val="003C199E"/>
    <w:rsid w:val="003C2280"/>
    <w:rsid w:val="003C2AA7"/>
    <w:rsid w:val="003C2F47"/>
    <w:rsid w:val="003C3846"/>
    <w:rsid w:val="003C44D1"/>
    <w:rsid w:val="003C4733"/>
    <w:rsid w:val="003C4F06"/>
    <w:rsid w:val="003C5A14"/>
    <w:rsid w:val="003C5DE7"/>
    <w:rsid w:val="003C6080"/>
    <w:rsid w:val="003C6592"/>
    <w:rsid w:val="003C667C"/>
    <w:rsid w:val="003C7335"/>
    <w:rsid w:val="003C7651"/>
    <w:rsid w:val="003C7879"/>
    <w:rsid w:val="003C79DB"/>
    <w:rsid w:val="003D067C"/>
    <w:rsid w:val="003D0906"/>
    <w:rsid w:val="003D13D8"/>
    <w:rsid w:val="003D15B7"/>
    <w:rsid w:val="003D15ED"/>
    <w:rsid w:val="003D1608"/>
    <w:rsid w:val="003D2486"/>
    <w:rsid w:val="003D2A35"/>
    <w:rsid w:val="003D321B"/>
    <w:rsid w:val="003D35FA"/>
    <w:rsid w:val="003D39EF"/>
    <w:rsid w:val="003D41BA"/>
    <w:rsid w:val="003D41C7"/>
    <w:rsid w:val="003D420B"/>
    <w:rsid w:val="003D45E1"/>
    <w:rsid w:val="003D4CC1"/>
    <w:rsid w:val="003D529E"/>
    <w:rsid w:val="003D6474"/>
    <w:rsid w:val="003D664F"/>
    <w:rsid w:val="003D6670"/>
    <w:rsid w:val="003D6A09"/>
    <w:rsid w:val="003D6F67"/>
    <w:rsid w:val="003D707F"/>
    <w:rsid w:val="003D71D5"/>
    <w:rsid w:val="003D74EF"/>
    <w:rsid w:val="003D7671"/>
    <w:rsid w:val="003E0CAF"/>
    <w:rsid w:val="003E1122"/>
    <w:rsid w:val="003E12C9"/>
    <w:rsid w:val="003E1604"/>
    <w:rsid w:val="003E1766"/>
    <w:rsid w:val="003E18F5"/>
    <w:rsid w:val="003E1A61"/>
    <w:rsid w:val="003E279B"/>
    <w:rsid w:val="003E2AB7"/>
    <w:rsid w:val="003E2F36"/>
    <w:rsid w:val="003E2FB3"/>
    <w:rsid w:val="003E37A0"/>
    <w:rsid w:val="003E393E"/>
    <w:rsid w:val="003E3CFE"/>
    <w:rsid w:val="003E4AE0"/>
    <w:rsid w:val="003E507E"/>
    <w:rsid w:val="003E5394"/>
    <w:rsid w:val="003E678B"/>
    <w:rsid w:val="003E6D93"/>
    <w:rsid w:val="003E76C6"/>
    <w:rsid w:val="003F0186"/>
    <w:rsid w:val="003F038A"/>
    <w:rsid w:val="003F0555"/>
    <w:rsid w:val="003F09E9"/>
    <w:rsid w:val="003F0D0F"/>
    <w:rsid w:val="003F11D8"/>
    <w:rsid w:val="003F1222"/>
    <w:rsid w:val="003F1303"/>
    <w:rsid w:val="003F1AAC"/>
    <w:rsid w:val="003F1C6D"/>
    <w:rsid w:val="003F1D12"/>
    <w:rsid w:val="003F1E3F"/>
    <w:rsid w:val="003F1ECD"/>
    <w:rsid w:val="003F2C12"/>
    <w:rsid w:val="003F3195"/>
    <w:rsid w:val="003F32A8"/>
    <w:rsid w:val="003F3673"/>
    <w:rsid w:val="003F3760"/>
    <w:rsid w:val="003F465F"/>
    <w:rsid w:val="003F47AB"/>
    <w:rsid w:val="003F4B6C"/>
    <w:rsid w:val="003F4DAF"/>
    <w:rsid w:val="003F5A39"/>
    <w:rsid w:val="003F6039"/>
    <w:rsid w:val="003F67D7"/>
    <w:rsid w:val="003F7144"/>
    <w:rsid w:val="003F74EF"/>
    <w:rsid w:val="00400758"/>
    <w:rsid w:val="00400A77"/>
    <w:rsid w:val="00401262"/>
    <w:rsid w:val="00401B6E"/>
    <w:rsid w:val="0040291B"/>
    <w:rsid w:val="00404123"/>
    <w:rsid w:val="00404B91"/>
    <w:rsid w:val="00404BB2"/>
    <w:rsid w:val="0040541F"/>
    <w:rsid w:val="00405424"/>
    <w:rsid w:val="00405C8A"/>
    <w:rsid w:val="00406889"/>
    <w:rsid w:val="00406DEE"/>
    <w:rsid w:val="004072DC"/>
    <w:rsid w:val="00407C6C"/>
    <w:rsid w:val="00410081"/>
    <w:rsid w:val="00410E96"/>
    <w:rsid w:val="00410F5C"/>
    <w:rsid w:val="00411C1D"/>
    <w:rsid w:val="00411FD7"/>
    <w:rsid w:val="0041242B"/>
    <w:rsid w:val="00412A04"/>
    <w:rsid w:val="00412C22"/>
    <w:rsid w:val="00412C54"/>
    <w:rsid w:val="00412DB7"/>
    <w:rsid w:val="0041307A"/>
    <w:rsid w:val="00413397"/>
    <w:rsid w:val="00413D02"/>
    <w:rsid w:val="00413DF7"/>
    <w:rsid w:val="004141EF"/>
    <w:rsid w:val="00414FC0"/>
    <w:rsid w:val="004150A8"/>
    <w:rsid w:val="004158E1"/>
    <w:rsid w:val="00415B20"/>
    <w:rsid w:val="00417E9B"/>
    <w:rsid w:val="00417ECD"/>
    <w:rsid w:val="00420473"/>
    <w:rsid w:val="00420694"/>
    <w:rsid w:val="00420703"/>
    <w:rsid w:val="0042081E"/>
    <w:rsid w:val="00420E0C"/>
    <w:rsid w:val="00421989"/>
    <w:rsid w:val="00421C02"/>
    <w:rsid w:val="00422163"/>
    <w:rsid w:val="00422B00"/>
    <w:rsid w:val="0042331A"/>
    <w:rsid w:val="00423479"/>
    <w:rsid w:val="00424B49"/>
    <w:rsid w:val="00424BC0"/>
    <w:rsid w:val="00424CD9"/>
    <w:rsid w:val="00424EE9"/>
    <w:rsid w:val="00425A9F"/>
    <w:rsid w:val="00425C82"/>
    <w:rsid w:val="004267BD"/>
    <w:rsid w:val="00426D00"/>
    <w:rsid w:val="00427071"/>
    <w:rsid w:val="00427AC9"/>
    <w:rsid w:val="0043000A"/>
    <w:rsid w:val="0043033C"/>
    <w:rsid w:val="00430A35"/>
    <w:rsid w:val="004318F3"/>
    <w:rsid w:val="0043232C"/>
    <w:rsid w:val="00432C14"/>
    <w:rsid w:val="00432D80"/>
    <w:rsid w:val="00432EC8"/>
    <w:rsid w:val="00433ACC"/>
    <w:rsid w:val="004341E9"/>
    <w:rsid w:val="00434323"/>
    <w:rsid w:val="00434720"/>
    <w:rsid w:val="00434C76"/>
    <w:rsid w:val="00434CA4"/>
    <w:rsid w:val="00436AF2"/>
    <w:rsid w:val="00436D44"/>
    <w:rsid w:val="004379FE"/>
    <w:rsid w:val="00440C07"/>
    <w:rsid w:val="00440C48"/>
    <w:rsid w:val="00440E3B"/>
    <w:rsid w:val="0044111B"/>
    <w:rsid w:val="00441985"/>
    <w:rsid w:val="00441E7C"/>
    <w:rsid w:val="00441F13"/>
    <w:rsid w:val="00441FF4"/>
    <w:rsid w:val="004437DC"/>
    <w:rsid w:val="004443AB"/>
    <w:rsid w:val="00444624"/>
    <w:rsid w:val="0044486A"/>
    <w:rsid w:val="004448DB"/>
    <w:rsid w:val="004450D0"/>
    <w:rsid w:val="00445D17"/>
    <w:rsid w:val="00445E64"/>
    <w:rsid w:val="00445F93"/>
    <w:rsid w:val="0044645D"/>
    <w:rsid w:val="00446746"/>
    <w:rsid w:val="00446778"/>
    <w:rsid w:val="004473E1"/>
    <w:rsid w:val="00447435"/>
    <w:rsid w:val="00447467"/>
    <w:rsid w:val="00447BE4"/>
    <w:rsid w:val="00447CC7"/>
    <w:rsid w:val="0045342A"/>
    <w:rsid w:val="00453531"/>
    <w:rsid w:val="004539F3"/>
    <w:rsid w:val="00453E52"/>
    <w:rsid w:val="00454F37"/>
    <w:rsid w:val="004551C5"/>
    <w:rsid w:val="0045536D"/>
    <w:rsid w:val="0045563A"/>
    <w:rsid w:val="00455C0B"/>
    <w:rsid w:val="0045615C"/>
    <w:rsid w:val="00457539"/>
    <w:rsid w:val="00460676"/>
    <w:rsid w:val="00460A2F"/>
    <w:rsid w:val="00460DFC"/>
    <w:rsid w:val="00462344"/>
    <w:rsid w:val="00462792"/>
    <w:rsid w:val="00462EC3"/>
    <w:rsid w:val="00463713"/>
    <w:rsid w:val="00464A54"/>
    <w:rsid w:val="00464F15"/>
    <w:rsid w:val="00465E1C"/>
    <w:rsid w:val="00466917"/>
    <w:rsid w:val="00466A68"/>
    <w:rsid w:val="00466E1F"/>
    <w:rsid w:val="00467A07"/>
    <w:rsid w:val="00467DDF"/>
    <w:rsid w:val="00467E6F"/>
    <w:rsid w:val="0047087C"/>
    <w:rsid w:val="004709CF"/>
    <w:rsid w:val="00470D72"/>
    <w:rsid w:val="004712BA"/>
    <w:rsid w:val="004715DB"/>
    <w:rsid w:val="004717FC"/>
    <w:rsid w:val="00472D57"/>
    <w:rsid w:val="0047319E"/>
    <w:rsid w:val="0047343D"/>
    <w:rsid w:val="004737AB"/>
    <w:rsid w:val="00474861"/>
    <w:rsid w:val="004756A4"/>
    <w:rsid w:val="004757DD"/>
    <w:rsid w:val="00475A00"/>
    <w:rsid w:val="00475DE8"/>
    <w:rsid w:val="0047620B"/>
    <w:rsid w:val="004765C1"/>
    <w:rsid w:val="00476839"/>
    <w:rsid w:val="00477156"/>
    <w:rsid w:val="00477886"/>
    <w:rsid w:val="00480314"/>
    <w:rsid w:val="00480836"/>
    <w:rsid w:val="0048093C"/>
    <w:rsid w:val="00480C6C"/>
    <w:rsid w:val="00481755"/>
    <w:rsid w:val="00481909"/>
    <w:rsid w:val="00483EBC"/>
    <w:rsid w:val="004842F9"/>
    <w:rsid w:val="004847E2"/>
    <w:rsid w:val="0048633C"/>
    <w:rsid w:val="00487507"/>
    <w:rsid w:val="00487663"/>
    <w:rsid w:val="004877CE"/>
    <w:rsid w:val="00487AA1"/>
    <w:rsid w:val="00487D87"/>
    <w:rsid w:val="0049089F"/>
    <w:rsid w:val="0049099D"/>
    <w:rsid w:val="00490E4A"/>
    <w:rsid w:val="004913DD"/>
    <w:rsid w:val="00491AF2"/>
    <w:rsid w:val="00491FB0"/>
    <w:rsid w:val="00492077"/>
    <w:rsid w:val="004920BE"/>
    <w:rsid w:val="004923E3"/>
    <w:rsid w:val="004930C9"/>
    <w:rsid w:val="00493F13"/>
    <w:rsid w:val="00495607"/>
    <w:rsid w:val="00495774"/>
    <w:rsid w:val="00495F75"/>
    <w:rsid w:val="00496151"/>
    <w:rsid w:val="00496379"/>
    <w:rsid w:val="004969CB"/>
    <w:rsid w:val="00496CB2"/>
    <w:rsid w:val="00497689"/>
    <w:rsid w:val="00497B8B"/>
    <w:rsid w:val="004A0111"/>
    <w:rsid w:val="004A0A58"/>
    <w:rsid w:val="004A0E9E"/>
    <w:rsid w:val="004A0FBA"/>
    <w:rsid w:val="004A16AC"/>
    <w:rsid w:val="004A1B28"/>
    <w:rsid w:val="004A1C37"/>
    <w:rsid w:val="004A20D4"/>
    <w:rsid w:val="004A2BF9"/>
    <w:rsid w:val="004A2C3A"/>
    <w:rsid w:val="004A39B3"/>
    <w:rsid w:val="004A3A16"/>
    <w:rsid w:val="004A443B"/>
    <w:rsid w:val="004A5BC6"/>
    <w:rsid w:val="004A6087"/>
    <w:rsid w:val="004A67DF"/>
    <w:rsid w:val="004A73AA"/>
    <w:rsid w:val="004B014F"/>
    <w:rsid w:val="004B0A99"/>
    <w:rsid w:val="004B14D9"/>
    <w:rsid w:val="004B2450"/>
    <w:rsid w:val="004B32FC"/>
    <w:rsid w:val="004B39AC"/>
    <w:rsid w:val="004B3CEC"/>
    <w:rsid w:val="004B4071"/>
    <w:rsid w:val="004B41CA"/>
    <w:rsid w:val="004B41D3"/>
    <w:rsid w:val="004B4228"/>
    <w:rsid w:val="004B4A3D"/>
    <w:rsid w:val="004B5ADF"/>
    <w:rsid w:val="004B5DC2"/>
    <w:rsid w:val="004B66C4"/>
    <w:rsid w:val="004B67FA"/>
    <w:rsid w:val="004B702C"/>
    <w:rsid w:val="004B7411"/>
    <w:rsid w:val="004B74DA"/>
    <w:rsid w:val="004B7C2B"/>
    <w:rsid w:val="004C009E"/>
    <w:rsid w:val="004C0413"/>
    <w:rsid w:val="004C1CED"/>
    <w:rsid w:val="004C2707"/>
    <w:rsid w:val="004C431E"/>
    <w:rsid w:val="004C43B3"/>
    <w:rsid w:val="004C458A"/>
    <w:rsid w:val="004C4C7A"/>
    <w:rsid w:val="004C4E08"/>
    <w:rsid w:val="004C4F65"/>
    <w:rsid w:val="004C5DDA"/>
    <w:rsid w:val="004C5F4E"/>
    <w:rsid w:val="004C60F8"/>
    <w:rsid w:val="004C665A"/>
    <w:rsid w:val="004C6876"/>
    <w:rsid w:val="004C6BE5"/>
    <w:rsid w:val="004C6EDF"/>
    <w:rsid w:val="004C6F08"/>
    <w:rsid w:val="004C75F6"/>
    <w:rsid w:val="004C7DEF"/>
    <w:rsid w:val="004D0314"/>
    <w:rsid w:val="004D0661"/>
    <w:rsid w:val="004D0892"/>
    <w:rsid w:val="004D1AD3"/>
    <w:rsid w:val="004D311F"/>
    <w:rsid w:val="004D4B5F"/>
    <w:rsid w:val="004D4EF0"/>
    <w:rsid w:val="004D54BD"/>
    <w:rsid w:val="004D6524"/>
    <w:rsid w:val="004D68BE"/>
    <w:rsid w:val="004D6BD9"/>
    <w:rsid w:val="004D6CE6"/>
    <w:rsid w:val="004D789A"/>
    <w:rsid w:val="004E0134"/>
    <w:rsid w:val="004E0695"/>
    <w:rsid w:val="004E081A"/>
    <w:rsid w:val="004E09DC"/>
    <w:rsid w:val="004E1162"/>
    <w:rsid w:val="004E13CC"/>
    <w:rsid w:val="004E1731"/>
    <w:rsid w:val="004E1D47"/>
    <w:rsid w:val="004E20A2"/>
    <w:rsid w:val="004E2A05"/>
    <w:rsid w:val="004E31BA"/>
    <w:rsid w:val="004E3966"/>
    <w:rsid w:val="004E3AFB"/>
    <w:rsid w:val="004E3D62"/>
    <w:rsid w:val="004E43D2"/>
    <w:rsid w:val="004E45A3"/>
    <w:rsid w:val="004E46DA"/>
    <w:rsid w:val="004E4E79"/>
    <w:rsid w:val="004E59B2"/>
    <w:rsid w:val="004E5E56"/>
    <w:rsid w:val="004E604F"/>
    <w:rsid w:val="004E73E8"/>
    <w:rsid w:val="004E74EC"/>
    <w:rsid w:val="004E7BF8"/>
    <w:rsid w:val="004E7DEA"/>
    <w:rsid w:val="004F0914"/>
    <w:rsid w:val="004F141F"/>
    <w:rsid w:val="004F2000"/>
    <w:rsid w:val="004F2318"/>
    <w:rsid w:val="004F24FB"/>
    <w:rsid w:val="004F26ED"/>
    <w:rsid w:val="004F2F68"/>
    <w:rsid w:val="004F3176"/>
    <w:rsid w:val="004F4735"/>
    <w:rsid w:val="004F5B6B"/>
    <w:rsid w:val="004F5B94"/>
    <w:rsid w:val="004F63B9"/>
    <w:rsid w:val="004F709F"/>
    <w:rsid w:val="004F767C"/>
    <w:rsid w:val="00500010"/>
    <w:rsid w:val="005001BC"/>
    <w:rsid w:val="00500DD6"/>
    <w:rsid w:val="00501648"/>
    <w:rsid w:val="00501C83"/>
    <w:rsid w:val="0050271A"/>
    <w:rsid w:val="00502E71"/>
    <w:rsid w:val="00503A88"/>
    <w:rsid w:val="005042A1"/>
    <w:rsid w:val="005042BC"/>
    <w:rsid w:val="00504C80"/>
    <w:rsid w:val="005061E5"/>
    <w:rsid w:val="005062B4"/>
    <w:rsid w:val="00506384"/>
    <w:rsid w:val="00506F08"/>
    <w:rsid w:val="005074FD"/>
    <w:rsid w:val="005104CF"/>
    <w:rsid w:val="00510E7E"/>
    <w:rsid w:val="00510F27"/>
    <w:rsid w:val="00511EE9"/>
    <w:rsid w:val="00513759"/>
    <w:rsid w:val="00514262"/>
    <w:rsid w:val="00514327"/>
    <w:rsid w:val="00514D54"/>
    <w:rsid w:val="005159CD"/>
    <w:rsid w:val="00515C6E"/>
    <w:rsid w:val="005160E2"/>
    <w:rsid w:val="005161AD"/>
    <w:rsid w:val="00516BBA"/>
    <w:rsid w:val="00516CBD"/>
    <w:rsid w:val="00516EB9"/>
    <w:rsid w:val="005170B4"/>
    <w:rsid w:val="0051752A"/>
    <w:rsid w:val="00517F39"/>
    <w:rsid w:val="00517FBF"/>
    <w:rsid w:val="005211AC"/>
    <w:rsid w:val="0052127C"/>
    <w:rsid w:val="00521371"/>
    <w:rsid w:val="005214E2"/>
    <w:rsid w:val="00521531"/>
    <w:rsid w:val="00521617"/>
    <w:rsid w:val="00522945"/>
    <w:rsid w:val="00523380"/>
    <w:rsid w:val="005239B7"/>
    <w:rsid w:val="00523BD2"/>
    <w:rsid w:val="00523CBE"/>
    <w:rsid w:val="00523FAF"/>
    <w:rsid w:val="00524146"/>
    <w:rsid w:val="00524EA5"/>
    <w:rsid w:val="00525257"/>
    <w:rsid w:val="00525B14"/>
    <w:rsid w:val="00525B7E"/>
    <w:rsid w:val="00525D95"/>
    <w:rsid w:val="005260E6"/>
    <w:rsid w:val="0052633F"/>
    <w:rsid w:val="00526B74"/>
    <w:rsid w:val="00526DB4"/>
    <w:rsid w:val="00527901"/>
    <w:rsid w:val="00527AC5"/>
    <w:rsid w:val="00527EDB"/>
    <w:rsid w:val="00530B61"/>
    <w:rsid w:val="00530FDE"/>
    <w:rsid w:val="0053152B"/>
    <w:rsid w:val="00531CF0"/>
    <w:rsid w:val="00531E6A"/>
    <w:rsid w:val="0053288C"/>
    <w:rsid w:val="00532B67"/>
    <w:rsid w:val="00532B8D"/>
    <w:rsid w:val="00532E70"/>
    <w:rsid w:val="00533A1F"/>
    <w:rsid w:val="005342A1"/>
    <w:rsid w:val="0053580A"/>
    <w:rsid w:val="0053590B"/>
    <w:rsid w:val="00535D0B"/>
    <w:rsid w:val="00536119"/>
    <w:rsid w:val="00536390"/>
    <w:rsid w:val="0053646A"/>
    <w:rsid w:val="0053674A"/>
    <w:rsid w:val="00536EB8"/>
    <w:rsid w:val="0053709A"/>
    <w:rsid w:val="00537407"/>
    <w:rsid w:val="00540B24"/>
    <w:rsid w:val="005415DB"/>
    <w:rsid w:val="005416BB"/>
    <w:rsid w:val="005418E2"/>
    <w:rsid w:val="00541A87"/>
    <w:rsid w:val="00541CC7"/>
    <w:rsid w:val="00541D3C"/>
    <w:rsid w:val="005420B3"/>
    <w:rsid w:val="00542445"/>
    <w:rsid w:val="00542F7E"/>
    <w:rsid w:val="00543B10"/>
    <w:rsid w:val="00544D59"/>
    <w:rsid w:val="00545235"/>
    <w:rsid w:val="005452F5"/>
    <w:rsid w:val="00546054"/>
    <w:rsid w:val="005466DD"/>
    <w:rsid w:val="00546765"/>
    <w:rsid w:val="00546871"/>
    <w:rsid w:val="00547879"/>
    <w:rsid w:val="005479F1"/>
    <w:rsid w:val="00547B59"/>
    <w:rsid w:val="00547D22"/>
    <w:rsid w:val="00547E58"/>
    <w:rsid w:val="00547FD8"/>
    <w:rsid w:val="00550288"/>
    <w:rsid w:val="005509A3"/>
    <w:rsid w:val="005517D2"/>
    <w:rsid w:val="00551840"/>
    <w:rsid w:val="00551D2E"/>
    <w:rsid w:val="005523C9"/>
    <w:rsid w:val="00552767"/>
    <w:rsid w:val="005529F1"/>
    <w:rsid w:val="00552DD1"/>
    <w:rsid w:val="00553279"/>
    <w:rsid w:val="0055332C"/>
    <w:rsid w:val="005536CF"/>
    <w:rsid w:val="0055394B"/>
    <w:rsid w:val="00553C93"/>
    <w:rsid w:val="00553FA6"/>
    <w:rsid w:val="0055409C"/>
    <w:rsid w:val="00554124"/>
    <w:rsid w:val="0055413D"/>
    <w:rsid w:val="005544B3"/>
    <w:rsid w:val="00554E40"/>
    <w:rsid w:val="00554F97"/>
    <w:rsid w:val="005554C2"/>
    <w:rsid w:val="00555ED2"/>
    <w:rsid w:val="00556C0A"/>
    <w:rsid w:val="00557071"/>
    <w:rsid w:val="0055775F"/>
    <w:rsid w:val="00557E0E"/>
    <w:rsid w:val="00557E48"/>
    <w:rsid w:val="00560BE0"/>
    <w:rsid w:val="00562A60"/>
    <w:rsid w:val="00562AE4"/>
    <w:rsid w:val="00564889"/>
    <w:rsid w:val="00564B27"/>
    <w:rsid w:val="00564C9B"/>
    <w:rsid w:val="00564DE4"/>
    <w:rsid w:val="00564FA7"/>
    <w:rsid w:val="00565386"/>
    <w:rsid w:val="00565A20"/>
    <w:rsid w:val="005661AF"/>
    <w:rsid w:val="0056691D"/>
    <w:rsid w:val="005679D6"/>
    <w:rsid w:val="00567D22"/>
    <w:rsid w:val="00567F9E"/>
    <w:rsid w:val="00567FC1"/>
    <w:rsid w:val="0057038E"/>
    <w:rsid w:val="00570A13"/>
    <w:rsid w:val="00570B11"/>
    <w:rsid w:val="005710C0"/>
    <w:rsid w:val="005718EC"/>
    <w:rsid w:val="00572252"/>
    <w:rsid w:val="00572297"/>
    <w:rsid w:val="00572482"/>
    <w:rsid w:val="005728D8"/>
    <w:rsid w:val="00572C96"/>
    <w:rsid w:val="005730AB"/>
    <w:rsid w:val="005730C8"/>
    <w:rsid w:val="00573521"/>
    <w:rsid w:val="00573774"/>
    <w:rsid w:val="00573EAB"/>
    <w:rsid w:val="005748E5"/>
    <w:rsid w:val="005750C2"/>
    <w:rsid w:val="0057515A"/>
    <w:rsid w:val="00575BC1"/>
    <w:rsid w:val="00576B32"/>
    <w:rsid w:val="00576DE4"/>
    <w:rsid w:val="00577129"/>
    <w:rsid w:val="0058007A"/>
    <w:rsid w:val="00580CD8"/>
    <w:rsid w:val="00580F93"/>
    <w:rsid w:val="005828F1"/>
    <w:rsid w:val="00582E34"/>
    <w:rsid w:val="005830F2"/>
    <w:rsid w:val="005843CD"/>
    <w:rsid w:val="00585ABE"/>
    <w:rsid w:val="00585DEE"/>
    <w:rsid w:val="00585E2D"/>
    <w:rsid w:val="00585F7D"/>
    <w:rsid w:val="00585FAF"/>
    <w:rsid w:val="00586239"/>
    <w:rsid w:val="0058649D"/>
    <w:rsid w:val="005868D0"/>
    <w:rsid w:val="005875DB"/>
    <w:rsid w:val="00587993"/>
    <w:rsid w:val="00587B01"/>
    <w:rsid w:val="0059095A"/>
    <w:rsid w:val="00590BA5"/>
    <w:rsid w:val="00590F0B"/>
    <w:rsid w:val="005914A0"/>
    <w:rsid w:val="00591C47"/>
    <w:rsid w:val="005923EC"/>
    <w:rsid w:val="005928C5"/>
    <w:rsid w:val="00593297"/>
    <w:rsid w:val="005932E4"/>
    <w:rsid w:val="0059381A"/>
    <w:rsid w:val="00593C34"/>
    <w:rsid w:val="00594879"/>
    <w:rsid w:val="00594E6B"/>
    <w:rsid w:val="00595AB2"/>
    <w:rsid w:val="00596854"/>
    <w:rsid w:val="005978A0"/>
    <w:rsid w:val="00597A30"/>
    <w:rsid w:val="00597A74"/>
    <w:rsid w:val="00597E5D"/>
    <w:rsid w:val="00597FA3"/>
    <w:rsid w:val="005A0129"/>
    <w:rsid w:val="005A0EFB"/>
    <w:rsid w:val="005A1885"/>
    <w:rsid w:val="005A21BC"/>
    <w:rsid w:val="005A2571"/>
    <w:rsid w:val="005A3963"/>
    <w:rsid w:val="005A3CA5"/>
    <w:rsid w:val="005A4CCA"/>
    <w:rsid w:val="005A5A32"/>
    <w:rsid w:val="005A5C2A"/>
    <w:rsid w:val="005A5C9B"/>
    <w:rsid w:val="005A6AE8"/>
    <w:rsid w:val="005A7007"/>
    <w:rsid w:val="005A72D7"/>
    <w:rsid w:val="005A73B5"/>
    <w:rsid w:val="005A7911"/>
    <w:rsid w:val="005A7BE4"/>
    <w:rsid w:val="005B035A"/>
    <w:rsid w:val="005B0468"/>
    <w:rsid w:val="005B0BCF"/>
    <w:rsid w:val="005B197F"/>
    <w:rsid w:val="005B1C5D"/>
    <w:rsid w:val="005B2B3E"/>
    <w:rsid w:val="005B32E1"/>
    <w:rsid w:val="005B3401"/>
    <w:rsid w:val="005B3653"/>
    <w:rsid w:val="005B3700"/>
    <w:rsid w:val="005B372F"/>
    <w:rsid w:val="005B3AF5"/>
    <w:rsid w:val="005B4024"/>
    <w:rsid w:val="005B4374"/>
    <w:rsid w:val="005B4559"/>
    <w:rsid w:val="005B4689"/>
    <w:rsid w:val="005B5237"/>
    <w:rsid w:val="005B54E9"/>
    <w:rsid w:val="005B5773"/>
    <w:rsid w:val="005B6604"/>
    <w:rsid w:val="005B6C1F"/>
    <w:rsid w:val="005B7212"/>
    <w:rsid w:val="005B77C7"/>
    <w:rsid w:val="005B79D1"/>
    <w:rsid w:val="005B7B29"/>
    <w:rsid w:val="005B7BF4"/>
    <w:rsid w:val="005C0F0A"/>
    <w:rsid w:val="005C109C"/>
    <w:rsid w:val="005C1D39"/>
    <w:rsid w:val="005C1D42"/>
    <w:rsid w:val="005C2439"/>
    <w:rsid w:val="005C2746"/>
    <w:rsid w:val="005C2B9F"/>
    <w:rsid w:val="005C2F7B"/>
    <w:rsid w:val="005C3FEE"/>
    <w:rsid w:val="005C4796"/>
    <w:rsid w:val="005C4E3B"/>
    <w:rsid w:val="005C5AE4"/>
    <w:rsid w:val="005C5C59"/>
    <w:rsid w:val="005C5F0E"/>
    <w:rsid w:val="005C71AA"/>
    <w:rsid w:val="005C73FB"/>
    <w:rsid w:val="005C7C55"/>
    <w:rsid w:val="005C7FB2"/>
    <w:rsid w:val="005D051A"/>
    <w:rsid w:val="005D0A1C"/>
    <w:rsid w:val="005D114B"/>
    <w:rsid w:val="005D2250"/>
    <w:rsid w:val="005D25CB"/>
    <w:rsid w:val="005D30DB"/>
    <w:rsid w:val="005D3640"/>
    <w:rsid w:val="005D3712"/>
    <w:rsid w:val="005D3747"/>
    <w:rsid w:val="005D4088"/>
    <w:rsid w:val="005D43CB"/>
    <w:rsid w:val="005D4951"/>
    <w:rsid w:val="005D6209"/>
    <w:rsid w:val="005D6312"/>
    <w:rsid w:val="005D707E"/>
    <w:rsid w:val="005D7574"/>
    <w:rsid w:val="005D7867"/>
    <w:rsid w:val="005D7EEA"/>
    <w:rsid w:val="005D7F1C"/>
    <w:rsid w:val="005E0989"/>
    <w:rsid w:val="005E0A3F"/>
    <w:rsid w:val="005E0F68"/>
    <w:rsid w:val="005E0FB0"/>
    <w:rsid w:val="005E12E0"/>
    <w:rsid w:val="005E1717"/>
    <w:rsid w:val="005E1A9F"/>
    <w:rsid w:val="005E1E33"/>
    <w:rsid w:val="005E2907"/>
    <w:rsid w:val="005E3057"/>
    <w:rsid w:val="005E3375"/>
    <w:rsid w:val="005E3957"/>
    <w:rsid w:val="005E3EA2"/>
    <w:rsid w:val="005E50DF"/>
    <w:rsid w:val="005E53B2"/>
    <w:rsid w:val="005E59EE"/>
    <w:rsid w:val="005E5D7B"/>
    <w:rsid w:val="005E6143"/>
    <w:rsid w:val="005E618A"/>
    <w:rsid w:val="005E6419"/>
    <w:rsid w:val="005E6475"/>
    <w:rsid w:val="005E670D"/>
    <w:rsid w:val="005E6B8D"/>
    <w:rsid w:val="005E6F26"/>
    <w:rsid w:val="005E7BE5"/>
    <w:rsid w:val="005E7E1E"/>
    <w:rsid w:val="005F0E48"/>
    <w:rsid w:val="005F120A"/>
    <w:rsid w:val="005F1247"/>
    <w:rsid w:val="005F12B4"/>
    <w:rsid w:val="005F32FC"/>
    <w:rsid w:val="005F33C2"/>
    <w:rsid w:val="005F374A"/>
    <w:rsid w:val="005F3781"/>
    <w:rsid w:val="005F3C83"/>
    <w:rsid w:val="005F4066"/>
    <w:rsid w:val="005F4EE3"/>
    <w:rsid w:val="005F5068"/>
    <w:rsid w:val="005F585D"/>
    <w:rsid w:val="005F5AD1"/>
    <w:rsid w:val="005F5F63"/>
    <w:rsid w:val="005F6133"/>
    <w:rsid w:val="005F65F9"/>
    <w:rsid w:val="005F661F"/>
    <w:rsid w:val="005F6D10"/>
    <w:rsid w:val="005F6E29"/>
    <w:rsid w:val="005F7245"/>
    <w:rsid w:val="005F76BD"/>
    <w:rsid w:val="005F770F"/>
    <w:rsid w:val="006004E2"/>
    <w:rsid w:val="006006E5"/>
    <w:rsid w:val="00600C91"/>
    <w:rsid w:val="00601B4A"/>
    <w:rsid w:val="00601C10"/>
    <w:rsid w:val="00601C6D"/>
    <w:rsid w:val="00601E59"/>
    <w:rsid w:val="00601F31"/>
    <w:rsid w:val="006029EF"/>
    <w:rsid w:val="006031AD"/>
    <w:rsid w:val="00603524"/>
    <w:rsid w:val="00603C32"/>
    <w:rsid w:val="006040AB"/>
    <w:rsid w:val="006043AE"/>
    <w:rsid w:val="00604699"/>
    <w:rsid w:val="006046D4"/>
    <w:rsid w:val="0060482E"/>
    <w:rsid w:val="00605D5C"/>
    <w:rsid w:val="00606840"/>
    <w:rsid w:val="006073CE"/>
    <w:rsid w:val="0060764B"/>
    <w:rsid w:val="00607658"/>
    <w:rsid w:val="00607B0C"/>
    <w:rsid w:val="00610BF6"/>
    <w:rsid w:val="00610E61"/>
    <w:rsid w:val="00611140"/>
    <w:rsid w:val="006114AE"/>
    <w:rsid w:val="006124DD"/>
    <w:rsid w:val="006127AB"/>
    <w:rsid w:val="0061290D"/>
    <w:rsid w:val="00612DE7"/>
    <w:rsid w:val="006130EE"/>
    <w:rsid w:val="006131CE"/>
    <w:rsid w:val="006138C0"/>
    <w:rsid w:val="00613A29"/>
    <w:rsid w:val="00613EF5"/>
    <w:rsid w:val="0061441E"/>
    <w:rsid w:val="006147E5"/>
    <w:rsid w:val="006149DB"/>
    <w:rsid w:val="00615836"/>
    <w:rsid w:val="00615D2C"/>
    <w:rsid w:val="00615DFD"/>
    <w:rsid w:val="00616104"/>
    <w:rsid w:val="00616AAF"/>
    <w:rsid w:val="006173C1"/>
    <w:rsid w:val="00617584"/>
    <w:rsid w:val="006176D9"/>
    <w:rsid w:val="00617B03"/>
    <w:rsid w:val="00617E61"/>
    <w:rsid w:val="0062059F"/>
    <w:rsid w:val="00620605"/>
    <w:rsid w:val="006211CD"/>
    <w:rsid w:val="00621247"/>
    <w:rsid w:val="006226A2"/>
    <w:rsid w:val="00622E44"/>
    <w:rsid w:val="00623453"/>
    <w:rsid w:val="00623C52"/>
    <w:rsid w:val="00624692"/>
    <w:rsid w:val="00624A65"/>
    <w:rsid w:val="00625445"/>
    <w:rsid w:val="0062612B"/>
    <w:rsid w:val="006267F7"/>
    <w:rsid w:val="0062731C"/>
    <w:rsid w:val="006311F1"/>
    <w:rsid w:val="006314C2"/>
    <w:rsid w:val="00631843"/>
    <w:rsid w:val="0063209E"/>
    <w:rsid w:val="006320EC"/>
    <w:rsid w:val="0063233E"/>
    <w:rsid w:val="006326C5"/>
    <w:rsid w:val="00632A6F"/>
    <w:rsid w:val="00632AF3"/>
    <w:rsid w:val="00633754"/>
    <w:rsid w:val="0063405A"/>
    <w:rsid w:val="00635AD4"/>
    <w:rsid w:val="00636B48"/>
    <w:rsid w:val="00636CD7"/>
    <w:rsid w:val="00636CE4"/>
    <w:rsid w:val="0063794E"/>
    <w:rsid w:val="00637AF9"/>
    <w:rsid w:val="00640454"/>
    <w:rsid w:val="00641023"/>
    <w:rsid w:val="00641482"/>
    <w:rsid w:val="00641A26"/>
    <w:rsid w:val="0064274E"/>
    <w:rsid w:val="00642AF6"/>
    <w:rsid w:val="00642E5B"/>
    <w:rsid w:val="00642EEF"/>
    <w:rsid w:val="0064302D"/>
    <w:rsid w:val="006438FE"/>
    <w:rsid w:val="00644D2E"/>
    <w:rsid w:val="006459AD"/>
    <w:rsid w:val="006464AC"/>
    <w:rsid w:val="006469C2"/>
    <w:rsid w:val="00646A3A"/>
    <w:rsid w:val="00646F69"/>
    <w:rsid w:val="00647013"/>
    <w:rsid w:val="00647C7E"/>
    <w:rsid w:val="006502ED"/>
    <w:rsid w:val="00650C67"/>
    <w:rsid w:val="006512F0"/>
    <w:rsid w:val="00651354"/>
    <w:rsid w:val="0065135E"/>
    <w:rsid w:val="006517D3"/>
    <w:rsid w:val="00651ADF"/>
    <w:rsid w:val="00651FFE"/>
    <w:rsid w:val="00652861"/>
    <w:rsid w:val="00652B05"/>
    <w:rsid w:val="00652BF0"/>
    <w:rsid w:val="00652F60"/>
    <w:rsid w:val="00652FB4"/>
    <w:rsid w:val="00653B3C"/>
    <w:rsid w:val="00653F1C"/>
    <w:rsid w:val="0065423E"/>
    <w:rsid w:val="00654637"/>
    <w:rsid w:val="0065486D"/>
    <w:rsid w:val="00654A03"/>
    <w:rsid w:val="00654CF7"/>
    <w:rsid w:val="00654D82"/>
    <w:rsid w:val="0065544D"/>
    <w:rsid w:val="006554E5"/>
    <w:rsid w:val="00656380"/>
    <w:rsid w:val="00656AE0"/>
    <w:rsid w:val="00656BDE"/>
    <w:rsid w:val="00656DBF"/>
    <w:rsid w:val="00657160"/>
    <w:rsid w:val="006573F5"/>
    <w:rsid w:val="006577FA"/>
    <w:rsid w:val="006600B7"/>
    <w:rsid w:val="00660629"/>
    <w:rsid w:val="006608F8"/>
    <w:rsid w:val="00660C93"/>
    <w:rsid w:val="00661B4C"/>
    <w:rsid w:val="00661BE3"/>
    <w:rsid w:val="00662282"/>
    <w:rsid w:val="006629AB"/>
    <w:rsid w:val="0066339D"/>
    <w:rsid w:val="006637F7"/>
    <w:rsid w:val="00664431"/>
    <w:rsid w:val="00664474"/>
    <w:rsid w:val="0066448E"/>
    <w:rsid w:val="00664D95"/>
    <w:rsid w:val="00664FC5"/>
    <w:rsid w:val="00665594"/>
    <w:rsid w:val="006658F0"/>
    <w:rsid w:val="00665F0E"/>
    <w:rsid w:val="006662BA"/>
    <w:rsid w:val="00666332"/>
    <w:rsid w:val="0066642F"/>
    <w:rsid w:val="006666FD"/>
    <w:rsid w:val="00666DDF"/>
    <w:rsid w:val="006673D9"/>
    <w:rsid w:val="006678C9"/>
    <w:rsid w:val="00667D51"/>
    <w:rsid w:val="00667DB3"/>
    <w:rsid w:val="00670491"/>
    <w:rsid w:val="00670F01"/>
    <w:rsid w:val="00670F08"/>
    <w:rsid w:val="00671112"/>
    <w:rsid w:val="006711CD"/>
    <w:rsid w:val="00671274"/>
    <w:rsid w:val="006714CE"/>
    <w:rsid w:val="00672021"/>
    <w:rsid w:val="00672626"/>
    <w:rsid w:val="00672876"/>
    <w:rsid w:val="00672DD5"/>
    <w:rsid w:val="00672F78"/>
    <w:rsid w:val="0067339C"/>
    <w:rsid w:val="006734BE"/>
    <w:rsid w:val="006735F3"/>
    <w:rsid w:val="00673D32"/>
    <w:rsid w:val="00675366"/>
    <w:rsid w:val="006759CB"/>
    <w:rsid w:val="00675D32"/>
    <w:rsid w:val="00675E99"/>
    <w:rsid w:val="006760DF"/>
    <w:rsid w:val="0067611A"/>
    <w:rsid w:val="0067642C"/>
    <w:rsid w:val="00676A74"/>
    <w:rsid w:val="00676B58"/>
    <w:rsid w:val="00676D5D"/>
    <w:rsid w:val="00680148"/>
    <w:rsid w:val="00680F5B"/>
    <w:rsid w:val="00682164"/>
    <w:rsid w:val="006821A3"/>
    <w:rsid w:val="0068230C"/>
    <w:rsid w:val="00682BA5"/>
    <w:rsid w:val="00682FA5"/>
    <w:rsid w:val="0068316A"/>
    <w:rsid w:val="006834D8"/>
    <w:rsid w:val="006835B1"/>
    <w:rsid w:val="00683AC0"/>
    <w:rsid w:val="00683CCE"/>
    <w:rsid w:val="00683DEA"/>
    <w:rsid w:val="00683F05"/>
    <w:rsid w:val="006843EE"/>
    <w:rsid w:val="00684B43"/>
    <w:rsid w:val="00684D70"/>
    <w:rsid w:val="006858F0"/>
    <w:rsid w:val="00685937"/>
    <w:rsid w:val="00685DBD"/>
    <w:rsid w:val="0068612F"/>
    <w:rsid w:val="00686EF0"/>
    <w:rsid w:val="00687B93"/>
    <w:rsid w:val="00687E4C"/>
    <w:rsid w:val="00690A36"/>
    <w:rsid w:val="00690C85"/>
    <w:rsid w:val="0069106C"/>
    <w:rsid w:val="00691433"/>
    <w:rsid w:val="006914E7"/>
    <w:rsid w:val="006916AA"/>
    <w:rsid w:val="00691D6E"/>
    <w:rsid w:val="00692436"/>
    <w:rsid w:val="00692D16"/>
    <w:rsid w:val="00692FF7"/>
    <w:rsid w:val="006930BD"/>
    <w:rsid w:val="0069324C"/>
    <w:rsid w:val="00694761"/>
    <w:rsid w:val="00694840"/>
    <w:rsid w:val="0069509B"/>
    <w:rsid w:val="006951E2"/>
    <w:rsid w:val="006960FC"/>
    <w:rsid w:val="006964C6"/>
    <w:rsid w:val="00696852"/>
    <w:rsid w:val="00697379"/>
    <w:rsid w:val="006976BB"/>
    <w:rsid w:val="006978ED"/>
    <w:rsid w:val="00697AF3"/>
    <w:rsid w:val="006A015F"/>
    <w:rsid w:val="006A114F"/>
    <w:rsid w:val="006A184C"/>
    <w:rsid w:val="006A2C78"/>
    <w:rsid w:val="006A3481"/>
    <w:rsid w:val="006A361D"/>
    <w:rsid w:val="006A3AF9"/>
    <w:rsid w:val="006A433E"/>
    <w:rsid w:val="006A454B"/>
    <w:rsid w:val="006A46C0"/>
    <w:rsid w:val="006A4D83"/>
    <w:rsid w:val="006A4E72"/>
    <w:rsid w:val="006A4F97"/>
    <w:rsid w:val="006A52EE"/>
    <w:rsid w:val="006A6E5D"/>
    <w:rsid w:val="006B1105"/>
    <w:rsid w:val="006B1158"/>
    <w:rsid w:val="006B15AD"/>
    <w:rsid w:val="006B3446"/>
    <w:rsid w:val="006B3921"/>
    <w:rsid w:val="006B4618"/>
    <w:rsid w:val="006B4AFB"/>
    <w:rsid w:val="006B4F01"/>
    <w:rsid w:val="006B58A1"/>
    <w:rsid w:val="006B74D3"/>
    <w:rsid w:val="006B7656"/>
    <w:rsid w:val="006B7810"/>
    <w:rsid w:val="006B7845"/>
    <w:rsid w:val="006B7867"/>
    <w:rsid w:val="006C0638"/>
    <w:rsid w:val="006C09E4"/>
    <w:rsid w:val="006C0ED8"/>
    <w:rsid w:val="006C102B"/>
    <w:rsid w:val="006C1144"/>
    <w:rsid w:val="006C1185"/>
    <w:rsid w:val="006C16F4"/>
    <w:rsid w:val="006C1B63"/>
    <w:rsid w:val="006C1F97"/>
    <w:rsid w:val="006C2872"/>
    <w:rsid w:val="006C3181"/>
    <w:rsid w:val="006C3DDE"/>
    <w:rsid w:val="006C57B2"/>
    <w:rsid w:val="006C6B6F"/>
    <w:rsid w:val="006C7528"/>
    <w:rsid w:val="006C77ED"/>
    <w:rsid w:val="006C783F"/>
    <w:rsid w:val="006C798A"/>
    <w:rsid w:val="006C7A48"/>
    <w:rsid w:val="006C7E40"/>
    <w:rsid w:val="006D05DB"/>
    <w:rsid w:val="006D179A"/>
    <w:rsid w:val="006D21E9"/>
    <w:rsid w:val="006D22F6"/>
    <w:rsid w:val="006D257F"/>
    <w:rsid w:val="006D311A"/>
    <w:rsid w:val="006D341F"/>
    <w:rsid w:val="006D37AF"/>
    <w:rsid w:val="006D3A1F"/>
    <w:rsid w:val="006D4403"/>
    <w:rsid w:val="006D4720"/>
    <w:rsid w:val="006D4DF2"/>
    <w:rsid w:val="006D4FA9"/>
    <w:rsid w:val="006D5019"/>
    <w:rsid w:val="006D501E"/>
    <w:rsid w:val="006D50CD"/>
    <w:rsid w:val="006D5274"/>
    <w:rsid w:val="006D5A63"/>
    <w:rsid w:val="006D5B26"/>
    <w:rsid w:val="006D5D56"/>
    <w:rsid w:val="006D6D49"/>
    <w:rsid w:val="006D6DB7"/>
    <w:rsid w:val="006D70E0"/>
    <w:rsid w:val="006E0181"/>
    <w:rsid w:val="006E0F71"/>
    <w:rsid w:val="006E13AE"/>
    <w:rsid w:val="006E16AA"/>
    <w:rsid w:val="006E3498"/>
    <w:rsid w:val="006E3D8A"/>
    <w:rsid w:val="006E4199"/>
    <w:rsid w:val="006E43F6"/>
    <w:rsid w:val="006E450A"/>
    <w:rsid w:val="006E46D5"/>
    <w:rsid w:val="006E4CA2"/>
    <w:rsid w:val="006E4D80"/>
    <w:rsid w:val="006E4E3E"/>
    <w:rsid w:val="006E532B"/>
    <w:rsid w:val="006E5464"/>
    <w:rsid w:val="006E5EE8"/>
    <w:rsid w:val="006E7108"/>
    <w:rsid w:val="006E718A"/>
    <w:rsid w:val="006E71F1"/>
    <w:rsid w:val="006E78A2"/>
    <w:rsid w:val="006E7D1E"/>
    <w:rsid w:val="006F0766"/>
    <w:rsid w:val="006F0B1D"/>
    <w:rsid w:val="006F0F53"/>
    <w:rsid w:val="006F195F"/>
    <w:rsid w:val="006F1CEE"/>
    <w:rsid w:val="006F1F96"/>
    <w:rsid w:val="006F21DA"/>
    <w:rsid w:val="006F2870"/>
    <w:rsid w:val="006F28CA"/>
    <w:rsid w:val="006F2D05"/>
    <w:rsid w:val="006F2DD0"/>
    <w:rsid w:val="006F3AED"/>
    <w:rsid w:val="006F5A43"/>
    <w:rsid w:val="006F618D"/>
    <w:rsid w:val="006F61DF"/>
    <w:rsid w:val="006F650B"/>
    <w:rsid w:val="006F67AF"/>
    <w:rsid w:val="006F69CF"/>
    <w:rsid w:val="006F70EF"/>
    <w:rsid w:val="007014EC"/>
    <w:rsid w:val="007018F0"/>
    <w:rsid w:val="007019F6"/>
    <w:rsid w:val="00701F04"/>
    <w:rsid w:val="0070267F"/>
    <w:rsid w:val="00702733"/>
    <w:rsid w:val="00702CAB"/>
    <w:rsid w:val="00703521"/>
    <w:rsid w:val="0070383F"/>
    <w:rsid w:val="00703DA0"/>
    <w:rsid w:val="0070438D"/>
    <w:rsid w:val="00704407"/>
    <w:rsid w:val="00704FF7"/>
    <w:rsid w:val="00705558"/>
    <w:rsid w:val="00705B86"/>
    <w:rsid w:val="00705E27"/>
    <w:rsid w:val="00705F5D"/>
    <w:rsid w:val="007061E9"/>
    <w:rsid w:val="007064D2"/>
    <w:rsid w:val="00706583"/>
    <w:rsid w:val="00707AA3"/>
    <w:rsid w:val="007103DD"/>
    <w:rsid w:val="007107DF"/>
    <w:rsid w:val="007108F1"/>
    <w:rsid w:val="00710FA6"/>
    <w:rsid w:val="00710FBC"/>
    <w:rsid w:val="007110D8"/>
    <w:rsid w:val="00711275"/>
    <w:rsid w:val="007125DE"/>
    <w:rsid w:val="00712750"/>
    <w:rsid w:val="00712967"/>
    <w:rsid w:val="0071312F"/>
    <w:rsid w:val="0071384D"/>
    <w:rsid w:val="00713A49"/>
    <w:rsid w:val="00713A52"/>
    <w:rsid w:val="00713B49"/>
    <w:rsid w:val="00713BAD"/>
    <w:rsid w:val="00713CCA"/>
    <w:rsid w:val="00713ED4"/>
    <w:rsid w:val="00713EF8"/>
    <w:rsid w:val="00714741"/>
    <w:rsid w:val="00714C37"/>
    <w:rsid w:val="00714C8E"/>
    <w:rsid w:val="007156A6"/>
    <w:rsid w:val="0071574D"/>
    <w:rsid w:val="00715DF7"/>
    <w:rsid w:val="00716567"/>
    <w:rsid w:val="00716847"/>
    <w:rsid w:val="00716F33"/>
    <w:rsid w:val="0071747F"/>
    <w:rsid w:val="00717754"/>
    <w:rsid w:val="00717B7A"/>
    <w:rsid w:val="00720BDD"/>
    <w:rsid w:val="0072101F"/>
    <w:rsid w:val="007212CB"/>
    <w:rsid w:val="0072166A"/>
    <w:rsid w:val="00721EE9"/>
    <w:rsid w:val="0072369E"/>
    <w:rsid w:val="007238A9"/>
    <w:rsid w:val="007240EE"/>
    <w:rsid w:val="007243FC"/>
    <w:rsid w:val="00724512"/>
    <w:rsid w:val="00724D36"/>
    <w:rsid w:val="00724E80"/>
    <w:rsid w:val="00724F48"/>
    <w:rsid w:val="00724FD0"/>
    <w:rsid w:val="00725400"/>
    <w:rsid w:val="0072604F"/>
    <w:rsid w:val="00726BFF"/>
    <w:rsid w:val="0072742F"/>
    <w:rsid w:val="0073154D"/>
    <w:rsid w:val="0073162B"/>
    <w:rsid w:val="00731881"/>
    <w:rsid w:val="00731913"/>
    <w:rsid w:val="00731DB2"/>
    <w:rsid w:val="007321D1"/>
    <w:rsid w:val="0073226A"/>
    <w:rsid w:val="007326BB"/>
    <w:rsid w:val="00732B3D"/>
    <w:rsid w:val="00733045"/>
    <w:rsid w:val="0073326B"/>
    <w:rsid w:val="007337E1"/>
    <w:rsid w:val="00733F24"/>
    <w:rsid w:val="00733FA3"/>
    <w:rsid w:val="007342AC"/>
    <w:rsid w:val="00734713"/>
    <w:rsid w:val="00734F0F"/>
    <w:rsid w:val="0073510D"/>
    <w:rsid w:val="00736743"/>
    <w:rsid w:val="00736E50"/>
    <w:rsid w:val="007373FD"/>
    <w:rsid w:val="00737A7A"/>
    <w:rsid w:val="00737FE5"/>
    <w:rsid w:val="007401D9"/>
    <w:rsid w:val="00740460"/>
    <w:rsid w:val="0074051D"/>
    <w:rsid w:val="00740F24"/>
    <w:rsid w:val="00741B45"/>
    <w:rsid w:val="00741E2F"/>
    <w:rsid w:val="00741EC9"/>
    <w:rsid w:val="0074246F"/>
    <w:rsid w:val="007429ED"/>
    <w:rsid w:val="00742A67"/>
    <w:rsid w:val="00743DC3"/>
    <w:rsid w:val="00743F94"/>
    <w:rsid w:val="00744E39"/>
    <w:rsid w:val="007450A7"/>
    <w:rsid w:val="00745692"/>
    <w:rsid w:val="007464FB"/>
    <w:rsid w:val="00747741"/>
    <w:rsid w:val="00747D86"/>
    <w:rsid w:val="007501D2"/>
    <w:rsid w:val="00750C6B"/>
    <w:rsid w:val="00750DF9"/>
    <w:rsid w:val="00752066"/>
    <w:rsid w:val="007529C8"/>
    <w:rsid w:val="00753B48"/>
    <w:rsid w:val="00753EB2"/>
    <w:rsid w:val="0075428E"/>
    <w:rsid w:val="007542B0"/>
    <w:rsid w:val="00754429"/>
    <w:rsid w:val="00754696"/>
    <w:rsid w:val="00754D0A"/>
    <w:rsid w:val="007553B1"/>
    <w:rsid w:val="0075719C"/>
    <w:rsid w:val="007577CE"/>
    <w:rsid w:val="007579E1"/>
    <w:rsid w:val="00757B91"/>
    <w:rsid w:val="007607CE"/>
    <w:rsid w:val="00760AD3"/>
    <w:rsid w:val="00760DF0"/>
    <w:rsid w:val="00760F06"/>
    <w:rsid w:val="007615E4"/>
    <w:rsid w:val="0076186B"/>
    <w:rsid w:val="00761E0D"/>
    <w:rsid w:val="00762133"/>
    <w:rsid w:val="0076230C"/>
    <w:rsid w:val="00762DD6"/>
    <w:rsid w:val="00762FDB"/>
    <w:rsid w:val="00763152"/>
    <w:rsid w:val="00763648"/>
    <w:rsid w:val="00763A62"/>
    <w:rsid w:val="007640A5"/>
    <w:rsid w:val="0076489E"/>
    <w:rsid w:val="007648E6"/>
    <w:rsid w:val="00765995"/>
    <w:rsid w:val="00765E01"/>
    <w:rsid w:val="00765E98"/>
    <w:rsid w:val="00766416"/>
    <w:rsid w:val="00766422"/>
    <w:rsid w:val="00766B23"/>
    <w:rsid w:val="00766B5F"/>
    <w:rsid w:val="00766CA5"/>
    <w:rsid w:val="00767D7B"/>
    <w:rsid w:val="00767F3E"/>
    <w:rsid w:val="00770427"/>
    <w:rsid w:val="0077045B"/>
    <w:rsid w:val="00770887"/>
    <w:rsid w:val="007708DC"/>
    <w:rsid w:val="007727F1"/>
    <w:rsid w:val="00772CAA"/>
    <w:rsid w:val="007730CC"/>
    <w:rsid w:val="00773772"/>
    <w:rsid w:val="00774716"/>
    <w:rsid w:val="0077484D"/>
    <w:rsid w:val="00774DE7"/>
    <w:rsid w:val="007752F8"/>
    <w:rsid w:val="007759E0"/>
    <w:rsid w:val="00775AF6"/>
    <w:rsid w:val="00776409"/>
    <w:rsid w:val="007766A4"/>
    <w:rsid w:val="00776784"/>
    <w:rsid w:val="007767C5"/>
    <w:rsid w:val="00776B05"/>
    <w:rsid w:val="007770A7"/>
    <w:rsid w:val="0077785A"/>
    <w:rsid w:val="00777E17"/>
    <w:rsid w:val="00780319"/>
    <w:rsid w:val="007803D0"/>
    <w:rsid w:val="00780ABC"/>
    <w:rsid w:val="00780EBC"/>
    <w:rsid w:val="007815EB"/>
    <w:rsid w:val="00781659"/>
    <w:rsid w:val="0078251F"/>
    <w:rsid w:val="00783029"/>
    <w:rsid w:val="007830F5"/>
    <w:rsid w:val="007832BD"/>
    <w:rsid w:val="0078359E"/>
    <w:rsid w:val="007837AB"/>
    <w:rsid w:val="007841D6"/>
    <w:rsid w:val="00784D35"/>
    <w:rsid w:val="00784E3D"/>
    <w:rsid w:val="007850B5"/>
    <w:rsid w:val="00786515"/>
    <w:rsid w:val="007866E5"/>
    <w:rsid w:val="00786C75"/>
    <w:rsid w:val="00787276"/>
    <w:rsid w:val="0078727E"/>
    <w:rsid w:val="00790251"/>
    <w:rsid w:val="00790C39"/>
    <w:rsid w:val="0079130C"/>
    <w:rsid w:val="007919BA"/>
    <w:rsid w:val="00792348"/>
    <w:rsid w:val="00792BF4"/>
    <w:rsid w:val="00792F8D"/>
    <w:rsid w:val="00793281"/>
    <w:rsid w:val="007950CE"/>
    <w:rsid w:val="007957B6"/>
    <w:rsid w:val="0079645D"/>
    <w:rsid w:val="00796BDD"/>
    <w:rsid w:val="00796C8D"/>
    <w:rsid w:val="00797250"/>
    <w:rsid w:val="007977B0"/>
    <w:rsid w:val="00797848"/>
    <w:rsid w:val="00797A1F"/>
    <w:rsid w:val="007A10A3"/>
    <w:rsid w:val="007A126F"/>
    <w:rsid w:val="007A12F9"/>
    <w:rsid w:val="007A1642"/>
    <w:rsid w:val="007A2B3E"/>
    <w:rsid w:val="007A3260"/>
    <w:rsid w:val="007A3376"/>
    <w:rsid w:val="007A34B2"/>
    <w:rsid w:val="007A4208"/>
    <w:rsid w:val="007A445E"/>
    <w:rsid w:val="007A4EC2"/>
    <w:rsid w:val="007A50B2"/>
    <w:rsid w:val="007A62E3"/>
    <w:rsid w:val="007A6B37"/>
    <w:rsid w:val="007A7191"/>
    <w:rsid w:val="007A7205"/>
    <w:rsid w:val="007A7314"/>
    <w:rsid w:val="007A78EA"/>
    <w:rsid w:val="007B008F"/>
    <w:rsid w:val="007B04F5"/>
    <w:rsid w:val="007B110E"/>
    <w:rsid w:val="007B3315"/>
    <w:rsid w:val="007B3369"/>
    <w:rsid w:val="007B3549"/>
    <w:rsid w:val="007B3621"/>
    <w:rsid w:val="007B4A82"/>
    <w:rsid w:val="007B52A7"/>
    <w:rsid w:val="007B6007"/>
    <w:rsid w:val="007B626B"/>
    <w:rsid w:val="007B64AA"/>
    <w:rsid w:val="007B7198"/>
    <w:rsid w:val="007B7302"/>
    <w:rsid w:val="007B7451"/>
    <w:rsid w:val="007B7497"/>
    <w:rsid w:val="007B7D81"/>
    <w:rsid w:val="007B7F69"/>
    <w:rsid w:val="007C1025"/>
    <w:rsid w:val="007C1321"/>
    <w:rsid w:val="007C1790"/>
    <w:rsid w:val="007C18CB"/>
    <w:rsid w:val="007C1FFB"/>
    <w:rsid w:val="007C2392"/>
    <w:rsid w:val="007C24EE"/>
    <w:rsid w:val="007C2A25"/>
    <w:rsid w:val="007C3B8A"/>
    <w:rsid w:val="007C4568"/>
    <w:rsid w:val="007C4657"/>
    <w:rsid w:val="007C5910"/>
    <w:rsid w:val="007C5951"/>
    <w:rsid w:val="007C59F7"/>
    <w:rsid w:val="007C6C83"/>
    <w:rsid w:val="007C6DCF"/>
    <w:rsid w:val="007C6E65"/>
    <w:rsid w:val="007C7BB9"/>
    <w:rsid w:val="007C7C33"/>
    <w:rsid w:val="007C7F1F"/>
    <w:rsid w:val="007D0044"/>
    <w:rsid w:val="007D06F4"/>
    <w:rsid w:val="007D18FE"/>
    <w:rsid w:val="007D2455"/>
    <w:rsid w:val="007D32B4"/>
    <w:rsid w:val="007D3AF7"/>
    <w:rsid w:val="007D434E"/>
    <w:rsid w:val="007D4BA8"/>
    <w:rsid w:val="007D4C28"/>
    <w:rsid w:val="007D4DEE"/>
    <w:rsid w:val="007D569F"/>
    <w:rsid w:val="007D59BC"/>
    <w:rsid w:val="007D5B05"/>
    <w:rsid w:val="007D6F9A"/>
    <w:rsid w:val="007D716C"/>
    <w:rsid w:val="007D79D5"/>
    <w:rsid w:val="007E00E9"/>
    <w:rsid w:val="007E04BF"/>
    <w:rsid w:val="007E0DBB"/>
    <w:rsid w:val="007E0F97"/>
    <w:rsid w:val="007E100E"/>
    <w:rsid w:val="007E127A"/>
    <w:rsid w:val="007E1753"/>
    <w:rsid w:val="007E1904"/>
    <w:rsid w:val="007E1DD6"/>
    <w:rsid w:val="007E1F9F"/>
    <w:rsid w:val="007E2108"/>
    <w:rsid w:val="007E28C4"/>
    <w:rsid w:val="007E2B0A"/>
    <w:rsid w:val="007E2F61"/>
    <w:rsid w:val="007E301B"/>
    <w:rsid w:val="007E323F"/>
    <w:rsid w:val="007E35E4"/>
    <w:rsid w:val="007E376B"/>
    <w:rsid w:val="007E3A9E"/>
    <w:rsid w:val="007E3CBB"/>
    <w:rsid w:val="007E413C"/>
    <w:rsid w:val="007E41FB"/>
    <w:rsid w:val="007E4B68"/>
    <w:rsid w:val="007E4CC0"/>
    <w:rsid w:val="007E4DD3"/>
    <w:rsid w:val="007E59CA"/>
    <w:rsid w:val="007E75C0"/>
    <w:rsid w:val="007E786E"/>
    <w:rsid w:val="007F07F3"/>
    <w:rsid w:val="007F1203"/>
    <w:rsid w:val="007F1230"/>
    <w:rsid w:val="007F178D"/>
    <w:rsid w:val="007F1A1F"/>
    <w:rsid w:val="007F1D41"/>
    <w:rsid w:val="007F1F03"/>
    <w:rsid w:val="007F2625"/>
    <w:rsid w:val="007F35DF"/>
    <w:rsid w:val="007F3E5C"/>
    <w:rsid w:val="007F406A"/>
    <w:rsid w:val="007F45BC"/>
    <w:rsid w:val="007F5114"/>
    <w:rsid w:val="007F54DE"/>
    <w:rsid w:val="007F59DB"/>
    <w:rsid w:val="007F65F9"/>
    <w:rsid w:val="007F65FF"/>
    <w:rsid w:val="007F68B7"/>
    <w:rsid w:val="007F6C61"/>
    <w:rsid w:val="007F78D5"/>
    <w:rsid w:val="007F7902"/>
    <w:rsid w:val="0080016B"/>
    <w:rsid w:val="00801265"/>
    <w:rsid w:val="00801843"/>
    <w:rsid w:val="00801A73"/>
    <w:rsid w:val="008024AE"/>
    <w:rsid w:val="00802E04"/>
    <w:rsid w:val="0080396D"/>
    <w:rsid w:val="00803CEE"/>
    <w:rsid w:val="00803F6D"/>
    <w:rsid w:val="00803F9C"/>
    <w:rsid w:val="00804350"/>
    <w:rsid w:val="00805103"/>
    <w:rsid w:val="00805E97"/>
    <w:rsid w:val="00805FD3"/>
    <w:rsid w:val="00806131"/>
    <w:rsid w:val="008069A6"/>
    <w:rsid w:val="00807560"/>
    <w:rsid w:val="00810546"/>
    <w:rsid w:val="00810653"/>
    <w:rsid w:val="00810935"/>
    <w:rsid w:val="00810D7B"/>
    <w:rsid w:val="00810DC0"/>
    <w:rsid w:val="00810E3C"/>
    <w:rsid w:val="00811441"/>
    <w:rsid w:val="00812597"/>
    <w:rsid w:val="008128C4"/>
    <w:rsid w:val="00813038"/>
    <w:rsid w:val="008138E4"/>
    <w:rsid w:val="00813BBB"/>
    <w:rsid w:val="00815198"/>
    <w:rsid w:val="00815CEC"/>
    <w:rsid w:val="008168A5"/>
    <w:rsid w:val="00816D7C"/>
    <w:rsid w:val="00817036"/>
    <w:rsid w:val="008170E9"/>
    <w:rsid w:val="00817C76"/>
    <w:rsid w:val="0082004A"/>
    <w:rsid w:val="008202BA"/>
    <w:rsid w:val="008202F3"/>
    <w:rsid w:val="0082037E"/>
    <w:rsid w:val="0082079C"/>
    <w:rsid w:val="00820875"/>
    <w:rsid w:val="00820962"/>
    <w:rsid w:val="00820BE6"/>
    <w:rsid w:val="008210D3"/>
    <w:rsid w:val="008213AF"/>
    <w:rsid w:val="00821444"/>
    <w:rsid w:val="008215B9"/>
    <w:rsid w:val="008216BC"/>
    <w:rsid w:val="00821747"/>
    <w:rsid w:val="00821B89"/>
    <w:rsid w:val="0082235A"/>
    <w:rsid w:val="00822B95"/>
    <w:rsid w:val="00822EDB"/>
    <w:rsid w:val="008234DD"/>
    <w:rsid w:val="00823976"/>
    <w:rsid w:val="00823C82"/>
    <w:rsid w:val="00823E43"/>
    <w:rsid w:val="00823F07"/>
    <w:rsid w:val="008241D8"/>
    <w:rsid w:val="008242AC"/>
    <w:rsid w:val="0082454A"/>
    <w:rsid w:val="0082661D"/>
    <w:rsid w:val="00830423"/>
    <w:rsid w:val="008306CF"/>
    <w:rsid w:val="0083082F"/>
    <w:rsid w:val="00830D15"/>
    <w:rsid w:val="008314D1"/>
    <w:rsid w:val="0083168F"/>
    <w:rsid w:val="00831EED"/>
    <w:rsid w:val="00832056"/>
    <w:rsid w:val="008326E7"/>
    <w:rsid w:val="008328E3"/>
    <w:rsid w:val="00834161"/>
    <w:rsid w:val="00834BCD"/>
    <w:rsid w:val="00834FB3"/>
    <w:rsid w:val="00835288"/>
    <w:rsid w:val="008354B6"/>
    <w:rsid w:val="00835CC8"/>
    <w:rsid w:val="00835DBD"/>
    <w:rsid w:val="0083601A"/>
    <w:rsid w:val="00836054"/>
    <w:rsid w:val="008360FD"/>
    <w:rsid w:val="00836272"/>
    <w:rsid w:val="00836D0F"/>
    <w:rsid w:val="008374FC"/>
    <w:rsid w:val="00837BEB"/>
    <w:rsid w:val="00840198"/>
    <w:rsid w:val="00840441"/>
    <w:rsid w:val="008405E0"/>
    <w:rsid w:val="00840BC5"/>
    <w:rsid w:val="00840C3C"/>
    <w:rsid w:val="00840F7F"/>
    <w:rsid w:val="00841150"/>
    <w:rsid w:val="0084199D"/>
    <w:rsid w:val="00841D85"/>
    <w:rsid w:val="00842771"/>
    <w:rsid w:val="00842ECE"/>
    <w:rsid w:val="00843CBA"/>
    <w:rsid w:val="00843EAC"/>
    <w:rsid w:val="008442D2"/>
    <w:rsid w:val="00844697"/>
    <w:rsid w:val="00844985"/>
    <w:rsid w:val="00844A9F"/>
    <w:rsid w:val="00844E9A"/>
    <w:rsid w:val="00845606"/>
    <w:rsid w:val="0084568A"/>
    <w:rsid w:val="00845BDB"/>
    <w:rsid w:val="008461C8"/>
    <w:rsid w:val="008469B1"/>
    <w:rsid w:val="00846F2F"/>
    <w:rsid w:val="00847E54"/>
    <w:rsid w:val="00850A7B"/>
    <w:rsid w:val="00850E23"/>
    <w:rsid w:val="008519BC"/>
    <w:rsid w:val="00851BF8"/>
    <w:rsid w:val="00852345"/>
    <w:rsid w:val="00852638"/>
    <w:rsid w:val="00852D5C"/>
    <w:rsid w:val="00852F05"/>
    <w:rsid w:val="00853090"/>
    <w:rsid w:val="00853329"/>
    <w:rsid w:val="00853509"/>
    <w:rsid w:val="00853AF2"/>
    <w:rsid w:val="0085437C"/>
    <w:rsid w:val="00854CCB"/>
    <w:rsid w:val="0085580B"/>
    <w:rsid w:val="00855C1C"/>
    <w:rsid w:val="008562F6"/>
    <w:rsid w:val="00856595"/>
    <w:rsid w:val="00856D8A"/>
    <w:rsid w:val="0085756E"/>
    <w:rsid w:val="008575D8"/>
    <w:rsid w:val="00860156"/>
    <w:rsid w:val="00860F01"/>
    <w:rsid w:val="00860F36"/>
    <w:rsid w:val="008612A8"/>
    <w:rsid w:val="008625C0"/>
    <w:rsid w:val="00862B00"/>
    <w:rsid w:val="00863FA2"/>
    <w:rsid w:val="00864133"/>
    <w:rsid w:val="00864BAC"/>
    <w:rsid w:val="00865223"/>
    <w:rsid w:val="00865264"/>
    <w:rsid w:val="0086592B"/>
    <w:rsid w:val="00866142"/>
    <w:rsid w:val="00866972"/>
    <w:rsid w:val="00867198"/>
    <w:rsid w:val="0086751D"/>
    <w:rsid w:val="00867903"/>
    <w:rsid w:val="00867EE1"/>
    <w:rsid w:val="00870084"/>
    <w:rsid w:val="00870638"/>
    <w:rsid w:val="00870888"/>
    <w:rsid w:val="00870FA2"/>
    <w:rsid w:val="00871528"/>
    <w:rsid w:val="008715A1"/>
    <w:rsid w:val="0087193A"/>
    <w:rsid w:val="00871B9F"/>
    <w:rsid w:val="008722DD"/>
    <w:rsid w:val="00872D49"/>
    <w:rsid w:val="008734C1"/>
    <w:rsid w:val="00874500"/>
    <w:rsid w:val="0087488B"/>
    <w:rsid w:val="00874B1E"/>
    <w:rsid w:val="00874BAA"/>
    <w:rsid w:val="00875CB8"/>
    <w:rsid w:val="00876987"/>
    <w:rsid w:val="008777AC"/>
    <w:rsid w:val="00877A4E"/>
    <w:rsid w:val="00880721"/>
    <w:rsid w:val="00880CE6"/>
    <w:rsid w:val="008811AC"/>
    <w:rsid w:val="00881978"/>
    <w:rsid w:val="00881DA0"/>
    <w:rsid w:val="00882DCD"/>
    <w:rsid w:val="00883399"/>
    <w:rsid w:val="0088368D"/>
    <w:rsid w:val="00883A3D"/>
    <w:rsid w:val="00883A43"/>
    <w:rsid w:val="00884394"/>
    <w:rsid w:val="0088475C"/>
    <w:rsid w:val="00884DE1"/>
    <w:rsid w:val="00885C38"/>
    <w:rsid w:val="00886D08"/>
    <w:rsid w:val="00887157"/>
    <w:rsid w:val="00887FDF"/>
    <w:rsid w:val="00891B29"/>
    <w:rsid w:val="0089296D"/>
    <w:rsid w:val="008930F0"/>
    <w:rsid w:val="00893D2C"/>
    <w:rsid w:val="00893F6D"/>
    <w:rsid w:val="008947AD"/>
    <w:rsid w:val="00895BF3"/>
    <w:rsid w:val="008967D5"/>
    <w:rsid w:val="00896D37"/>
    <w:rsid w:val="00897432"/>
    <w:rsid w:val="00897E53"/>
    <w:rsid w:val="008A0A31"/>
    <w:rsid w:val="008A0DA6"/>
    <w:rsid w:val="008A1FA2"/>
    <w:rsid w:val="008A2E6F"/>
    <w:rsid w:val="008A3859"/>
    <w:rsid w:val="008A40CE"/>
    <w:rsid w:val="008A443A"/>
    <w:rsid w:val="008A4C9D"/>
    <w:rsid w:val="008A4FD2"/>
    <w:rsid w:val="008A50AB"/>
    <w:rsid w:val="008A5701"/>
    <w:rsid w:val="008A5DC0"/>
    <w:rsid w:val="008A680B"/>
    <w:rsid w:val="008A68CE"/>
    <w:rsid w:val="008A7090"/>
    <w:rsid w:val="008B0629"/>
    <w:rsid w:val="008B07BC"/>
    <w:rsid w:val="008B1242"/>
    <w:rsid w:val="008B165E"/>
    <w:rsid w:val="008B19FD"/>
    <w:rsid w:val="008B21AD"/>
    <w:rsid w:val="008B2795"/>
    <w:rsid w:val="008B2B3C"/>
    <w:rsid w:val="008B327D"/>
    <w:rsid w:val="008B3C26"/>
    <w:rsid w:val="008B4705"/>
    <w:rsid w:val="008B5D4B"/>
    <w:rsid w:val="008B70EF"/>
    <w:rsid w:val="008B7125"/>
    <w:rsid w:val="008C01D1"/>
    <w:rsid w:val="008C022C"/>
    <w:rsid w:val="008C0A2D"/>
    <w:rsid w:val="008C298A"/>
    <w:rsid w:val="008C30EB"/>
    <w:rsid w:val="008C326F"/>
    <w:rsid w:val="008C34B2"/>
    <w:rsid w:val="008C3788"/>
    <w:rsid w:val="008C3C39"/>
    <w:rsid w:val="008C48B0"/>
    <w:rsid w:val="008C541E"/>
    <w:rsid w:val="008C635B"/>
    <w:rsid w:val="008C6976"/>
    <w:rsid w:val="008C6B7D"/>
    <w:rsid w:val="008C7074"/>
    <w:rsid w:val="008C73F7"/>
    <w:rsid w:val="008C750D"/>
    <w:rsid w:val="008C7604"/>
    <w:rsid w:val="008D006B"/>
    <w:rsid w:val="008D0DFE"/>
    <w:rsid w:val="008D1112"/>
    <w:rsid w:val="008D14BB"/>
    <w:rsid w:val="008D176B"/>
    <w:rsid w:val="008D196A"/>
    <w:rsid w:val="008D1A01"/>
    <w:rsid w:val="008D1F29"/>
    <w:rsid w:val="008D2835"/>
    <w:rsid w:val="008D3DDA"/>
    <w:rsid w:val="008D3FF4"/>
    <w:rsid w:val="008D4678"/>
    <w:rsid w:val="008D4831"/>
    <w:rsid w:val="008D48C6"/>
    <w:rsid w:val="008D53C2"/>
    <w:rsid w:val="008D53D8"/>
    <w:rsid w:val="008D5C9C"/>
    <w:rsid w:val="008D60BA"/>
    <w:rsid w:val="008D653F"/>
    <w:rsid w:val="008D67E9"/>
    <w:rsid w:val="008D73C3"/>
    <w:rsid w:val="008D73D2"/>
    <w:rsid w:val="008D78AA"/>
    <w:rsid w:val="008E09C3"/>
    <w:rsid w:val="008E0ACA"/>
    <w:rsid w:val="008E1192"/>
    <w:rsid w:val="008E13BD"/>
    <w:rsid w:val="008E182C"/>
    <w:rsid w:val="008E20FF"/>
    <w:rsid w:val="008E272A"/>
    <w:rsid w:val="008E3521"/>
    <w:rsid w:val="008E3A2F"/>
    <w:rsid w:val="008E3AED"/>
    <w:rsid w:val="008E3C48"/>
    <w:rsid w:val="008E3DEE"/>
    <w:rsid w:val="008E4C75"/>
    <w:rsid w:val="008E513C"/>
    <w:rsid w:val="008E56F4"/>
    <w:rsid w:val="008E7038"/>
    <w:rsid w:val="008E72DC"/>
    <w:rsid w:val="008E75BF"/>
    <w:rsid w:val="008F0837"/>
    <w:rsid w:val="008F0D04"/>
    <w:rsid w:val="008F0DD5"/>
    <w:rsid w:val="008F1581"/>
    <w:rsid w:val="008F15D8"/>
    <w:rsid w:val="008F1B20"/>
    <w:rsid w:val="008F1D9B"/>
    <w:rsid w:val="008F1EA8"/>
    <w:rsid w:val="008F1EB5"/>
    <w:rsid w:val="008F209F"/>
    <w:rsid w:val="008F21BA"/>
    <w:rsid w:val="008F2B13"/>
    <w:rsid w:val="008F2C55"/>
    <w:rsid w:val="008F3684"/>
    <w:rsid w:val="008F4D07"/>
    <w:rsid w:val="008F4F70"/>
    <w:rsid w:val="008F57F6"/>
    <w:rsid w:val="008F5D76"/>
    <w:rsid w:val="008F5E15"/>
    <w:rsid w:val="008F62EF"/>
    <w:rsid w:val="008F6D8B"/>
    <w:rsid w:val="008F7938"/>
    <w:rsid w:val="009006AA"/>
    <w:rsid w:val="009012FB"/>
    <w:rsid w:val="009020AD"/>
    <w:rsid w:val="0090215C"/>
    <w:rsid w:val="0090310A"/>
    <w:rsid w:val="009039C4"/>
    <w:rsid w:val="00903E34"/>
    <w:rsid w:val="0090512C"/>
    <w:rsid w:val="009051FB"/>
    <w:rsid w:val="0090557C"/>
    <w:rsid w:val="0090562D"/>
    <w:rsid w:val="0090633F"/>
    <w:rsid w:val="0090641A"/>
    <w:rsid w:val="0090737E"/>
    <w:rsid w:val="00907E49"/>
    <w:rsid w:val="009108E1"/>
    <w:rsid w:val="00910E84"/>
    <w:rsid w:val="00911411"/>
    <w:rsid w:val="00911B8C"/>
    <w:rsid w:val="00911DA0"/>
    <w:rsid w:val="0091226D"/>
    <w:rsid w:val="0091353B"/>
    <w:rsid w:val="0091366D"/>
    <w:rsid w:val="00913C26"/>
    <w:rsid w:val="00914399"/>
    <w:rsid w:val="009145A3"/>
    <w:rsid w:val="00914E08"/>
    <w:rsid w:val="0091562C"/>
    <w:rsid w:val="009160C9"/>
    <w:rsid w:val="0091667E"/>
    <w:rsid w:val="009167E2"/>
    <w:rsid w:val="0091680A"/>
    <w:rsid w:val="00916F6B"/>
    <w:rsid w:val="00917990"/>
    <w:rsid w:val="00917A63"/>
    <w:rsid w:val="00917BC5"/>
    <w:rsid w:val="00921262"/>
    <w:rsid w:val="00921588"/>
    <w:rsid w:val="009223FB"/>
    <w:rsid w:val="00922FE6"/>
    <w:rsid w:val="009231A5"/>
    <w:rsid w:val="00923559"/>
    <w:rsid w:val="009236A4"/>
    <w:rsid w:val="009240F6"/>
    <w:rsid w:val="0092429A"/>
    <w:rsid w:val="00924C97"/>
    <w:rsid w:val="00925C80"/>
    <w:rsid w:val="00925E60"/>
    <w:rsid w:val="00926944"/>
    <w:rsid w:val="009269F4"/>
    <w:rsid w:val="009272C0"/>
    <w:rsid w:val="00927717"/>
    <w:rsid w:val="00927E90"/>
    <w:rsid w:val="00927EF1"/>
    <w:rsid w:val="0093004F"/>
    <w:rsid w:val="0093040B"/>
    <w:rsid w:val="00930DB4"/>
    <w:rsid w:val="00930E6C"/>
    <w:rsid w:val="0093211F"/>
    <w:rsid w:val="00932186"/>
    <w:rsid w:val="009325A8"/>
    <w:rsid w:val="0093296D"/>
    <w:rsid w:val="00933BBE"/>
    <w:rsid w:val="00934030"/>
    <w:rsid w:val="009343A4"/>
    <w:rsid w:val="009344DC"/>
    <w:rsid w:val="00934F91"/>
    <w:rsid w:val="00935767"/>
    <w:rsid w:val="00935852"/>
    <w:rsid w:val="009366D4"/>
    <w:rsid w:val="009367C4"/>
    <w:rsid w:val="00937178"/>
    <w:rsid w:val="00937331"/>
    <w:rsid w:val="00937702"/>
    <w:rsid w:val="00937A89"/>
    <w:rsid w:val="00937E06"/>
    <w:rsid w:val="00937F0C"/>
    <w:rsid w:val="00940328"/>
    <w:rsid w:val="009403AD"/>
    <w:rsid w:val="00940EA8"/>
    <w:rsid w:val="00940FE5"/>
    <w:rsid w:val="00941E99"/>
    <w:rsid w:val="009420B2"/>
    <w:rsid w:val="009426F7"/>
    <w:rsid w:val="009427EB"/>
    <w:rsid w:val="00942C9B"/>
    <w:rsid w:val="0094308D"/>
    <w:rsid w:val="00944627"/>
    <w:rsid w:val="00944890"/>
    <w:rsid w:val="009448F8"/>
    <w:rsid w:val="00944B8F"/>
    <w:rsid w:val="0094633A"/>
    <w:rsid w:val="009463C3"/>
    <w:rsid w:val="00946883"/>
    <w:rsid w:val="00947D06"/>
    <w:rsid w:val="009501B4"/>
    <w:rsid w:val="0095090A"/>
    <w:rsid w:val="00950CAC"/>
    <w:rsid w:val="00951176"/>
    <w:rsid w:val="00951C14"/>
    <w:rsid w:val="00951D98"/>
    <w:rsid w:val="00951E83"/>
    <w:rsid w:val="0095270C"/>
    <w:rsid w:val="00952D62"/>
    <w:rsid w:val="00953E5F"/>
    <w:rsid w:val="009544DF"/>
    <w:rsid w:val="00954BBF"/>
    <w:rsid w:val="00954CE2"/>
    <w:rsid w:val="009556AA"/>
    <w:rsid w:val="009557EA"/>
    <w:rsid w:val="00955A05"/>
    <w:rsid w:val="00955DC8"/>
    <w:rsid w:val="00955F7B"/>
    <w:rsid w:val="009567AC"/>
    <w:rsid w:val="00956CC1"/>
    <w:rsid w:val="00956E59"/>
    <w:rsid w:val="0096006A"/>
    <w:rsid w:val="009606FD"/>
    <w:rsid w:val="00960E05"/>
    <w:rsid w:val="00961073"/>
    <w:rsid w:val="009619E6"/>
    <w:rsid w:val="00961D25"/>
    <w:rsid w:val="00962004"/>
    <w:rsid w:val="00962749"/>
    <w:rsid w:val="00962F63"/>
    <w:rsid w:val="00962FD6"/>
    <w:rsid w:val="009635FF"/>
    <w:rsid w:val="00963799"/>
    <w:rsid w:val="00963E5A"/>
    <w:rsid w:val="0096612D"/>
    <w:rsid w:val="009661FC"/>
    <w:rsid w:val="0096631B"/>
    <w:rsid w:val="00966977"/>
    <w:rsid w:val="009672EC"/>
    <w:rsid w:val="00967BB9"/>
    <w:rsid w:val="00967E84"/>
    <w:rsid w:val="00970EB8"/>
    <w:rsid w:val="00970FB3"/>
    <w:rsid w:val="00971228"/>
    <w:rsid w:val="00971857"/>
    <w:rsid w:val="00971C40"/>
    <w:rsid w:val="0097264F"/>
    <w:rsid w:val="00973445"/>
    <w:rsid w:val="0097384D"/>
    <w:rsid w:val="009749AD"/>
    <w:rsid w:val="009750CE"/>
    <w:rsid w:val="00975816"/>
    <w:rsid w:val="00975E09"/>
    <w:rsid w:val="00976910"/>
    <w:rsid w:val="00976DCD"/>
    <w:rsid w:val="009772CA"/>
    <w:rsid w:val="009772D1"/>
    <w:rsid w:val="009810FB"/>
    <w:rsid w:val="00982E94"/>
    <w:rsid w:val="0098306A"/>
    <w:rsid w:val="00983265"/>
    <w:rsid w:val="00983505"/>
    <w:rsid w:val="0098490F"/>
    <w:rsid w:val="0098552E"/>
    <w:rsid w:val="00985622"/>
    <w:rsid w:val="00986786"/>
    <w:rsid w:val="00986D0F"/>
    <w:rsid w:val="00986FE2"/>
    <w:rsid w:val="009875A2"/>
    <w:rsid w:val="00987A25"/>
    <w:rsid w:val="00987A4B"/>
    <w:rsid w:val="00987AE4"/>
    <w:rsid w:val="00987CE4"/>
    <w:rsid w:val="00987D06"/>
    <w:rsid w:val="00987F6E"/>
    <w:rsid w:val="00990212"/>
    <w:rsid w:val="00990A2E"/>
    <w:rsid w:val="00990D38"/>
    <w:rsid w:val="00991234"/>
    <w:rsid w:val="00991AB2"/>
    <w:rsid w:val="0099209A"/>
    <w:rsid w:val="009926DE"/>
    <w:rsid w:val="0099311B"/>
    <w:rsid w:val="009931B5"/>
    <w:rsid w:val="0099382C"/>
    <w:rsid w:val="00994293"/>
    <w:rsid w:val="009947C7"/>
    <w:rsid w:val="00994F58"/>
    <w:rsid w:val="009955F2"/>
    <w:rsid w:val="00995EA7"/>
    <w:rsid w:val="00996230"/>
    <w:rsid w:val="00996BA8"/>
    <w:rsid w:val="00996FC9"/>
    <w:rsid w:val="00997295"/>
    <w:rsid w:val="009973BB"/>
    <w:rsid w:val="009975EC"/>
    <w:rsid w:val="00997A43"/>
    <w:rsid w:val="00997C45"/>
    <w:rsid w:val="009A03A7"/>
    <w:rsid w:val="009A044E"/>
    <w:rsid w:val="009A067C"/>
    <w:rsid w:val="009A1227"/>
    <w:rsid w:val="009A1307"/>
    <w:rsid w:val="009A158A"/>
    <w:rsid w:val="009A2AD3"/>
    <w:rsid w:val="009A2D3C"/>
    <w:rsid w:val="009A38EA"/>
    <w:rsid w:val="009A3E8B"/>
    <w:rsid w:val="009A3FA1"/>
    <w:rsid w:val="009A4971"/>
    <w:rsid w:val="009A4AC9"/>
    <w:rsid w:val="009A50B6"/>
    <w:rsid w:val="009A52F8"/>
    <w:rsid w:val="009A5BBF"/>
    <w:rsid w:val="009A5BCC"/>
    <w:rsid w:val="009A5E4F"/>
    <w:rsid w:val="009A6453"/>
    <w:rsid w:val="009A7350"/>
    <w:rsid w:val="009A76FE"/>
    <w:rsid w:val="009A7BBC"/>
    <w:rsid w:val="009B0036"/>
    <w:rsid w:val="009B051D"/>
    <w:rsid w:val="009B0738"/>
    <w:rsid w:val="009B08E4"/>
    <w:rsid w:val="009B0977"/>
    <w:rsid w:val="009B09EA"/>
    <w:rsid w:val="009B15F6"/>
    <w:rsid w:val="009B1713"/>
    <w:rsid w:val="009B1721"/>
    <w:rsid w:val="009B1E96"/>
    <w:rsid w:val="009B23DC"/>
    <w:rsid w:val="009B2E77"/>
    <w:rsid w:val="009B3383"/>
    <w:rsid w:val="009B3F96"/>
    <w:rsid w:val="009B45A3"/>
    <w:rsid w:val="009B46C0"/>
    <w:rsid w:val="009B479F"/>
    <w:rsid w:val="009B4DFD"/>
    <w:rsid w:val="009B50FB"/>
    <w:rsid w:val="009B536C"/>
    <w:rsid w:val="009B62F2"/>
    <w:rsid w:val="009B6D9A"/>
    <w:rsid w:val="009B753E"/>
    <w:rsid w:val="009B78BC"/>
    <w:rsid w:val="009C0765"/>
    <w:rsid w:val="009C2054"/>
    <w:rsid w:val="009C24EB"/>
    <w:rsid w:val="009C2594"/>
    <w:rsid w:val="009C2A6B"/>
    <w:rsid w:val="009C2C3F"/>
    <w:rsid w:val="009C2DE0"/>
    <w:rsid w:val="009C2E5A"/>
    <w:rsid w:val="009C30A3"/>
    <w:rsid w:val="009C318D"/>
    <w:rsid w:val="009C341D"/>
    <w:rsid w:val="009C3FD0"/>
    <w:rsid w:val="009C547C"/>
    <w:rsid w:val="009C5806"/>
    <w:rsid w:val="009C5F2F"/>
    <w:rsid w:val="009C6341"/>
    <w:rsid w:val="009C653D"/>
    <w:rsid w:val="009C721E"/>
    <w:rsid w:val="009C7B7E"/>
    <w:rsid w:val="009C7E43"/>
    <w:rsid w:val="009D06E2"/>
    <w:rsid w:val="009D0ADA"/>
    <w:rsid w:val="009D0CF2"/>
    <w:rsid w:val="009D1F8D"/>
    <w:rsid w:val="009D1FAB"/>
    <w:rsid w:val="009D2C24"/>
    <w:rsid w:val="009D3E39"/>
    <w:rsid w:val="009D4399"/>
    <w:rsid w:val="009D464E"/>
    <w:rsid w:val="009D4E74"/>
    <w:rsid w:val="009D4F20"/>
    <w:rsid w:val="009D4F9E"/>
    <w:rsid w:val="009D56E3"/>
    <w:rsid w:val="009D5B81"/>
    <w:rsid w:val="009D62F2"/>
    <w:rsid w:val="009E05D6"/>
    <w:rsid w:val="009E0DD4"/>
    <w:rsid w:val="009E1E3D"/>
    <w:rsid w:val="009E202C"/>
    <w:rsid w:val="009E28B9"/>
    <w:rsid w:val="009E2E3B"/>
    <w:rsid w:val="009E3980"/>
    <w:rsid w:val="009E3B55"/>
    <w:rsid w:val="009E43F8"/>
    <w:rsid w:val="009E4599"/>
    <w:rsid w:val="009E469A"/>
    <w:rsid w:val="009E5682"/>
    <w:rsid w:val="009E5806"/>
    <w:rsid w:val="009E6012"/>
    <w:rsid w:val="009E6B24"/>
    <w:rsid w:val="009E7C7C"/>
    <w:rsid w:val="009E7EDD"/>
    <w:rsid w:val="009F0907"/>
    <w:rsid w:val="009F0AA2"/>
    <w:rsid w:val="009F1097"/>
    <w:rsid w:val="009F1983"/>
    <w:rsid w:val="009F23BD"/>
    <w:rsid w:val="009F28DA"/>
    <w:rsid w:val="009F2913"/>
    <w:rsid w:val="009F38CE"/>
    <w:rsid w:val="009F3C50"/>
    <w:rsid w:val="009F3FDB"/>
    <w:rsid w:val="009F425D"/>
    <w:rsid w:val="009F42B3"/>
    <w:rsid w:val="009F48AA"/>
    <w:rsid w:val="009F4E34"/>
    <w:rsid w:val="009F532D"/>
    <w:rsid w:val="009F583B"/>
    <w:rsid w:val="009F5ABB"/>
    <w:rsid w:val="009F6253"/>
    <w:rsid w:val="009F6ACC"/>
    <w:rsid w:val="009F7087"/>
    <w:rsid w:val="009F7DA5"/>
    <w:rsid w:val="009F7F00"/>
    <w:rsid w:val="00A00672"/>
    <w:rsid w:val="00A00F9E"/>
    <w:rsid w:val="00A012DB"/>
    <w:rsid w:val="00A01594"/>
    <w:rsid w:val="00A01A2C"/>
    <w:rsid w:val="00A01B11"/>
    <w:rsid w:val="00A0283A"/>
    <w:rsid w:val="00A02887"/>
    <w:rsid w:val="00A02FCC"/>
    <w:rsid w:val="00A03F4D"/>
    <w:rsid w:val="00A04318"/>
    <w:rsid w:val="00A0457F"/>
    <w:rsid w:val="00A04927"/>
    <w:rsid w:val="00A0497C"/>
    <w:rsid w:val="00A04BE9"/>
    <w:rsid w:val="00A04F4B"/>
    <w:rsid w:val="00A04FFB"/>
    <w:rsid w:val="00A0585A"/>
    <w:rsid w:val="00A0695D"/>
    <w:rsid w:val="00A06E12"/>
    <w:rsid w:val="00A10AC7"/>
    <w:rsid w:val="00A10DA5"/>
    <w:rsid w:val="00A11319"/>
    <w:rsid w:val="00A11A60"/>
    <w:rsid w:val="00A12A2D"/>
    <w:rsid w:val="00A13915"/>
    <w:rsid w:val="00A13C4E"/>
    <w:rsid w:val="00A13F87"/>
    <w:rsid w:val="00A14560"/>
    <w:rsid w:val="00A14628"/>
    <w:rsid w:val="00A14D7C"/>
    <w:rsid w:val="00A14E53"/>
    <w:rsid w:val="00A15418"/>
    <w:rsid w:val="00A16B7B"/>
    <w:rsid w:val="00A178E7"/>
    <w:rsid w:val="00A17F7B"/>
    <w:rsid w:val="00A20195"/>
    <w:rsid w:val="00A20303"/>
    <w:rsid w:val="00A2032E"/>
    <w:rsid w:val="00A20829"/>
    <w:rsid w:val="00A225C6"/>
    <w:rsid w:val="00A23F13"/>
    <w:rsid w:val="00A240BF"/>
    <w:rsid w:val="00A242E1"/>
    <w:rsid w:val="00A24643"/>
    <w:rsid w:val="00A249A0"/>
    <w:rsid w:val="00A249F7"/>
    <w:rsid w:val="00A24B24"/>
    <w:rsid w:val="00A24B51"/>
    <w:rsid w:val="00A24C80"/>
    <w:rsid w:val="00A24E4F"/>
    <w:rsid w:val="00A252C3"/>
    <w:rsid w:val="00A2728D"/>
    <w:rsid w:val="00A3027C"/>
    <w:rsid w:val="00A30A76"/>
    <w:rsid w:val="00A30EB9"/>
    <w:rsid w:val="00A31367"/>
    <w:rsid w:val="00A32CAE"/>
    <w:rsid w:val="00A3371D"/>
    <w:rsid w:val="00A33C2B"/>
    <w:rsid w:val="00A341C0"/>
    <w:rsid w:val="00A348D3"/>
    <w:rsid w:val="00A3523E"/>
    <w:rsid w:val="00A352BC"/>
    <w:rsid w:val="00A3673A"/>
    <w:rsid w:val="00A3707D"/>
    <w:rsid w:val="00A37822"/>
    <w:rsid w:val="00A37C8C"/>
    <w:rsid w:val="00A37DB5"/>
    <w:rsid w:val="00A37E59"/>
    <w:rsid w:val="00A40757"/>
    <w:rsid w:val="00A4079A"/>
    <w:rsid w:val="00A40A62"/>
    <w:rsid w:val="00A40C5B"/>
    <w:rsid w:val="00A40D9E"/>
    <w:rsid w:val="00A40E17"/>
    <w:rsid w:val="00A412B4"/>
    <w:rsid w:val="00A415A9"/>
    <w:rsid w:val="00A41767"/>
    <w:rsid w:val="00A42538"/>
    <w:rsid w:val="00A42AAE"/>
    <w:rsid w:val="00A43680"/>
    <w:rsid w:val="00A44286"/>
    <w:rsid w:val="00A4460E"/>
    <w:rsid w:val="00A446ED"/>
    <w:rsid w:val="00A44794"/>
    <w:rsid w:val="00A44E0A"/>
    <w:rsid w:val="00A44F16"/>
    <w:rsid w:val="00A4514A"/>
    <w:rsid w:val="00A4544B"/>
    <w:rsid w:val="00A45793"/>
    <w:rsid w:val="00A4612A"/>
    <w:rsid w:val="00A461A9"/>
    <w:rsid w:val="00A463B8"/>
    <w:rsid w:val="00A46541"/>
    <w:rsid w:val="00A473A0"/>
    <w:rsid w:val="00A47613"/>
    <w:rsid w:val="00A50017"/>
    <w:rsid w:val="00A5097F"/>
    <w:rsid w:val="00A50A2F"/>
    <w:rsid w:val="00A51A64"/>
    <w:rsid w:val="00A51A85"/>
    <w:rsid w:val="00A53E27"/>
    <w:rsid w:val="00A54707"/>
    <w:rsid w:val="00A555A6"/>
    <w:rsid w:val="00A555DC"/>
    <w:rsid w:val="00A556DE"/>
    <w:rsid w:val="00A55B03"/>
    <w:rsid w:val="00A55DC7"/>
    <w:rsid w:val="00A56DCA"/>
    <w:rsid w:val="00A57514"/>
    <w:rsid w:val="00A57824"/>
    <w:rsid w:val="00A608D2"/>
    <w:rsid w:val="00A60A7C"/>
    <w:rsid w:val="00A60DB5"/>
    <w:rsid w:val="00A63118"/>
    <w:rsid w:val="00A63947"/>
    <w:rsid w:val="00A64063"/>
    <w:rsid w:val="00A64B40"/>
    <w:rsid w:val="00A64DD4"/>
    <w:rsid w:val="00A6526E"/>
    <w:rsid w:val="00A6574A"/>
    <w:rsid w:val="00A66962"/>
    <w:rsid w:val="00A66F0B"/>
    <w:rsid w:val="00A67BA0"/>
    <w:rsid w:val="00A70049"/>
    <w:rsid w:val="00A700D2"/>
    <w:rsid w:val="00A71831"/>
    <w:rsid w:val="00A72295"/>
    <w:rsid w:val="00A72310"/>
    <w:rsid w:val="00A72611"/>
    <w:rsid w:val="00A72FE5"/>
    <w:rsid w:val="00A73091"/>
    <w:rsid w:val="00A7328B"/>
    <w:rsid w:val="00A73DA1"/>
    <w:rsid w:val="00A73EF0"/>
    <w:rsid w:val="00A74112"/>
    <w:rsid w:val="00A74B3D"/>
    <w:rsid w:val="00A7504B"/>
    <w:rsid w:val="00A76160"/>
    <w:rsid w:val="00A76521"/>
    <w:rsid w:val="00A77154"/>
    <w:rsid w:val="00A77462"/>
    <w:rsid w:val="00A775F1"/>
    <w:rsid w:val="00A7792B"/>
    <w:rsid w:val="00A8034E"/>
    <w:rsid w:val="00A80774"/>
    <w:rsid w:val="00A81005"/>
    <w:rsid w:val="00A81543"/>
    <w:rsid w:val="00A81A39"/>
    <w:rsid w:val="00A825FF"/>
    <w:rsid w:val="00A8294F"/>
    <w:rsid w:val="00A8297B"/>
    <w:rsid w:val="00A8413F"/>
    <w:rsid w:val="00A841C9"/>
    <w:rsid w:val="00A84E08"/>
    <w:rsid w:val="00A851FA"/>
    <w:rsid w:val="00A85602"/>
    <w:rsid w:val="00A85A19"/>
    <w:rsid w:val="00A8631F"/>
    <w:rsid w:val="00A87D49"/>
    <w:rsid w:val="00A90046"/>
    <w:rsid w:val="00A90542"/>
    <w:rsid w:val="00A90A3E"/>
    <w:rsid w:val="00A9101B"/>
    <w:rsid w:val="00A91662"/>
    <w:rsid w:val="00A91A56"/>
    <w:rsid w:val="00A91A5F"/>
    <w:rsid w:val="00A91FD2"/>
    <w:rsid w:val="00A93845"/>
    <w:rsid w:val="00A94ED5"/>
    <w:rsid w:val="00A953AC"/>
    <w:rsid w:val="00A95437"/>
    <w:rsid w:val="00A95523"/>
    <w:rsid w:val="00A96705"/>
    <w:rsid w:val="00A968C9"/>
    <w:rsid w:val="00A9696C"/>
    <w:rsid w:val="00A977AE"/>
    <w:rsid w:val="00A977B0"/>
    <w:rsid w:val="00AA07C3"/>
    <w:rsid w:val="00AA0987"/>
    <w:rsid w:val="00AA1E72"/>
    <w:rsid w:val="00AA274A"/>
    <w:rsid w:val="00AA3595"/>
    <w:rsid w:val="00AA3F6D"/>
    <w:rsid w:val="00AA3FD0"/>
    <w:rsid w:val="00AA4582"/>
    <w:rsid w:val="00AA5177"/>
    <w:rsid w:val="00AA54D3"/>
    <w:rsid w:val="00AA55C7"/>
    <w:rsid w:val="00AA6367"/>
    <w:rsid w:val="00AA67FF"/>
    <w:rsid w:val="00AA6F87"/>
    <w:rsid w:val="00AA7215"/>
    <w:rsid w:val="00AA7CAF"/>
    <w:rsid w:val="00AB0046"/>
    <w:rsid w:val="00AB08CE"/>
    <w:rsid w:val="00AB0C38"/>
    <w:rsid w:val="00AB1750"/>
    <w:rsid w:val="00AB1878"/>
    <w:rsid w:val="00AB1C75"/>
    <w:rsid w:val="00AB24F1"/>
    <w:rsid w:val="00AB365E"/>
    <w:rsid w:val="00AB443B"/>
    <w:rsid w:val="00AB44CD"/>
    <w:rsid w:val="00AB4667"/>
    <w:rsid w:val="00AB4E1B"/>
    <w:rsid w:val="00AB4EA7"/>
    <w:rsid w:val="00AB57F6"/>
    <w:rsid w:val="00AB5AF3"/>
    <w:rsid w:val="00AB5DEE"/>
    <w:rsid w:val="00AB638D"/>
    <w:rsid w:val="00AB6B43"/>
    <w:rsid w:val="00AB6E51"/>
    <w:rsid w:val="00AB76E0"/>
    <w:rsid w:val="00AB7A71"/>
    <w:rsid w:val="00AB7C65"/>
    <w:rsid w:val="00AC0A98"/>
    <w:rsid w:val="00AC1729"/>
    <w:rsid w:val="00AC2954"/>
    <w:rsid w:val="00AC2E5B"/>
    <w:rsid w:val="00AC3200"/>
    <w:rsid w:val="00AC3300"/>
    <w:rsid w:val="00AC414B"/>
    <w:rsid w:val="00AC41AA"/>
    <w:rsid w:val="00AC420C"/>
    <w:rsid w:val="00AC50F2"/>
    <w:rsid w:val="00AC539F"/>
    <w:rsid w:val="00AC563F"/>
    <w:rsid w:val="00AC6147"/>
    <w:rsid w:val="00AC6261"/>
    <w:rsid w:val="00AC63A4"/>
    <w:rsid w:val="00AC645F"/>
    <w:rsid w:val="00AC6DDB"/>
    <w:rsid w:val="00AC779C"/>
    <w:rsid w:val="00AD06C1"/>
    <w:rsid w:val="00AD0B87"/>
    <w:rsid w:val="00AD12AC"/>
    <w:rsid w:val="00AD1536"/>
    <w:rsid w:val="00AD1C9E"/>
    <w:rsid w:val="00AD27B4"/>
    <w:rsid w:val="00AD32F7"/>
    <w:rsid w:val="00AD3A95"/>
    <w:rsid w:val="00AD3DB0"/>
    <w:rsid w:val="00AD44E5"/>
    <w:rsid w:val="00AD4519"/>
    <w:rsid w:val="00AD481E"/>
    <w:rsid w:val="00AD584B"/>
    <w:rsid w:val="00AD5DC0"/>
    <w:rsid w:val="00AD5FD7"/>
    <w:rsid w:val="00AD6061"/>
    <w:rsid w:val="00AD63D3"/>
    <w:rsid w:val="00AD65BA"/>
    <w:rsid w:val="00AD6851"/>
    <w:rsid w:val="00AD6B5D"/>
    <w:rsid w:val="00AD7027"/>
    <w:rsid w:val="00AE120E"/>
    <w:rsid w:val="00AE17A1"/>
    <w:rsid w:val="00AE22BE"/>
    <w:rsid w:val="00AE244F"/>
    <w:rsid w:val="00AE5544"/>
    <w:rsid w:val="00AE6D16"/>
    <w:rsid w:val="00AE6E66"/>
    <w:rsid w:val="00AE70AA"/>
    <w:rsid w:val="00AE73F3"/>
    <w:rsid w:val="00AF0271"/>
    <w:rsid w:val="00AF099F"/>
    <w:rsid w:val="00AF1218"/>
    <w:rsid w:val="00AF12CD"/>
    <w:rsid w:val="00AF190A"/>
    <w:rsid w:val="00AF1BD5"/>
    <w:rsid w:val="00AF1CA0"/>
    <w:rsid w:val="00AF1E89"/>
    <w:rsid w:val="00AF1FFD"/>
    <w:rsid w:val="00AF205D"/>
    <w:rsid w:val="00AF242C"/>
    <w:rsid w:val="00AF26D1"/>
    <w:rsid w:val="00AF3022"/>
    <w:rsid w:val="00AF312A"/>
    <w:rsid w:val="00AF3241"/>
    <w:rsid w:val="00AF4235"/>
    <w:rsid w:val="00AF489E"/>
    <w:rsid w:val="00AF5E98"/>
    <w:rsid w:val="00AF5ED0"/>
    <w:rsid w:val="00AF68D2"/>
    <w:rsid w:val="00AF732C"/>
    <w:rsid w:val="00AF74C8"/>
    <w:rsid w:val="00AF7B4A"/>
    <w:rsid w:val="00AF7DE7"/>
    <w:rsid w:val="00B00085"/>
    <w:rsid w:val="00B00966"/>
    <w:rsid w:val="00B00DE8"/>
    <w:rsid w:val="00B011F2"/>
    <w:rsid w:val="00B0214A"/>
    <w:rsid w:val="00B0247F"/>
    <w:rsid w:val="00B02A41"/>
    <w:rsid w:val="00B02B0D"/>
    <w:rsid w:val="00B0343C"/>
    <w:rsid w:val="00B036E0"/>
    <w:rsid w:val="00B03AF2"/>
    <w:rsid w:val="00B03D11"/>
    <w:rsid w:val="00B04268"/>
    <w:rsid w:val="00B049D7"/>
    <w:rsid w:val="00B04A6B"/>
    <w:rsid w:val="00B04F49"/>
    <w:rsid w:val="00B05191"/>
    <w:rsid w:val="00B0527D"/>
    <w:rsid w:val="00B0532B"/>
    <w:rsid w:val="00B05EF9"/>
    <w:rsid w:val="00B067C3"/>
    <w:rsid w:val="00B06952"/>
    <w:rsid w:val="00B06E02"/>
    <w:rsid w:val="00B07348"/>
    <w:rsid w:val="00B07CFD"/>
    <w:rsid w:val="00B100AC"/>
    <w:rsid w:val="00B103A6"/>
    <w:rsid w:val="00B1053E"/>
    <w:rsid w:val="00B10A61"/>
    <w:rsid w:val="00B110AB"/>
    <w:rsid w:val="00B110C1"/>
    <w:rsid w:val="00B12935"/>
    <w:rsid w:val="00B129B7"/>
    <w:rsid w:val="00B12B2D"/>
    <w:rsid w:val="00B13128"/>
    <w:rsid w:val="00B13721"/>
    <w:rsid w:val="00B13C4B"/>
    <w:rsid w:val="00B16262"/>
    <w:rsid w:val="00B16A1D"/>
    <w:rsid w:val="00B16BE0"/>
    <w:rsid w:val="00B16C80"/>
    <w:rsid w:val="00B170A3"/>
    <w:rsid w:val="00B1783A"/>
    <w:rsid w:val="00B17ADD"/>
    <w:rsid w:val="00B17B02"/>
    <w:rsid w:val="00B20173"/>
    <w:rsid w:val="00B201FA"/>
    <w:rsid w:val="00B20366"/>
    <w:rsid w:val="00B209F4"/>
    <w:rsid w:val="00B20BB9"/>
    <w:rsid w:val="00B20F01"/>
    <w:rsid w:val="00B2122C"/>
    <w:rsid w:val="00B21242"/>
    <w:rsid w:val="00B223D6"/>
    <w:rsid w:val="00B22D04"/>
    <w:rsid w:val="00B23068"/>
    <w:rsid w:val="00B237FA"/>
    <w:rsid w:val="00B2387C"/>
    <w:rsid w:val="00B23E91"/>
    <w:rsid w:val="00B23FEF"/>
    <w:rsid w:val="00B24250"/>
    <w:rsid w:val="00B2429A"/>
    <w:rsid w:val="00B24950"/>
    <w:rsid w:val="00B24D9B"/>
    <w:rsid w:val="00B24E45"/>
    <w:rsid w:val="00B24EA2"/>
    <w:rsid w:val="00B2623A"/>
    <w:rsid w:val="00B26519"/>
    <w:rsid w:val="00B26E23"/>
    <w:rsid w:val="00B27B66"/>
    <w:rsid w:val="00B3002A"/>
    <w:rsid w:val="00B30A94"/>
    <w:rsid w:val="00B30B56"/>
    <w:rsid w:val="00B30CDD"/>
    <w:rsid w:val="00B30D6F"/>
    <w:rsid w:val="00B31322"/>
    <w:rsid w:val="00B31D49"/>
    <w:rsid w:val="00B32126"/>
    <w:rsid w:val="00B329C7"/>
    <w:rsid w:val="00B33729"/>
    <w:rsid w:val="00B33DC4"/>
    <w:rsid w:val="00B34F16"/>
    <w:rsid w:val="00B35DC3"/>
    <w:rsid w:val="00B3677B"/>
    <w:rsid w:val="00B36A14"/>
    <w:rsid w:val="00B3738D"/>
    <w:rsid w:val="00B378BA"/>
    <w:rsid w:val="00B37E05"/>
    <w:rsid w:val="00B37E10"/>
    <w:rsid w:val="00B37F65"/>
    <w:rsid w:val="00B37F8A"/>
    <w:rsid w:val="00B40C9B"/>
    <w:rsid w:val="00B40E83"/>
    <w:rsid w:val="00B414B6"/>
    <w:rsid w:val="00B4152F"/>
    <w:rsid w:val="00B417F7"/>
    <w:rsid w:val="00B418FB"/>
    <w:rsid w:val="00B41A74"/>
    <w:rsid w:val="00B41DDD"/>
    <w:rsid w:val="00B41FED"/>
    <w:rsid w:val="00B421CC"/>
    <w:rsid w:val="00B42914"/>
    <w:rsid w:val="00B42F86"/>
    <w:rsid w:val="00B432B9"/>
    <w:rsid w:val="00B43A5C"/>
    <w:rsid w:val="00B44C1C"/>
    <w:rsid w:val="00B45BCB"/>
    <w:rsid w:val="00B45C7E"/>
    <w:rsid w:val="00B45D1C"/>
    <w:rsid w:val="00B46240"/>
    <w:rsid w:val="00B4647C"/>
    <w:rsid w:val="00B466BC"/>
    <w:rsid w:val="00B47730"/>
    <w:rsid w:val="00B50E5D"/>
    <w:rsid w:val="00B51846"/>
    <w:rsid w:val="00B5196B"/>
    <w:rsid w:val="00B5197A"/>
    <w:rsid w:val="00B52123"/>
    <w:rsid w:val="00B52192"/>
    <w:rsid w:val="00B529DF"/>
    <w:rsid w:val="00B52E1C"/>
    <w:rsid w:val="00B53232"/>
    <w:rsid w:val="00B534FA"/>
    <w:rsid w:val="00B538A7"/>
    <w:rsid w:val="00B53EDF"/>
    <w:rsid w:val="00B542CF"/>
    <w:rsid w:val="00B5559A"/>
    <w:rsid w:val="00B5581C"/>
    <w:rsid w:val="00B55E9E"/>
    <w:rsid w:val="00B565F1"/>
    <w:rsid w:val="00B566E2"/>
    <w:rsid w:val="00B56E2A"/>
    <w:rsid w:val="00B5703E"/>
    <w:rsid w:val="00B573FE"/>
    <w:rsid w:val="00B57DC1"/>
    <w:rsid w:val="00B602EC"/>
    <w:rsid w:val="00B6079A"/>
    <w:rsid w:val="00B608A3"/>
    <w:rsid w:val="00B60FE8"/>
    <w:rsid w:val="00B6108F"/>
    <w:rsid w:val="00B6120B"/>
    <w:rsid w:val="00B61317"/>
    <w:rsid w:val="00B61869"/>
    <w:rsid w:val="00B61C85"/>
    <w:rsid w:val="00B625C3"/>
    <w:rsid w:val="00B62756"/>
    <w:rsid w:val="00B63FEA"/>
    <w:rsid w:val="00B64205"/>
    <w:rsid w:val="00B64340"/>
    <w:rsid w:val="00B64364"/>
    <w:rsid w:val="00B646BF"/>
    <w:rsid w:val="00B64941"/>
    <w:rsid w:val="00B654DB"/>
    <w:rsid w:val="00B657E8"/>
    <w:rsid w:val="00B65833"/>
    <w:rsid w:val="00B65A2D"/>
    <w:rsid w:val="00B65BBE"/>
    <w:rsid w:val="00B66261"/>
    <w:rsid w:val="00B66672"/>
    <w:rsid w:val="00B669A6"/>
    <w:rsid w:val="00B67B77"/>
    <w:rsid w:val="00B703AF"/>
    <w:rsid w:val="00B708FB"/>
    <w:rsid w:val="00B70BA5"/>
    <w:rsid w:val="00B711C3"/>
    <w:rsid w:val="00B716C8"/>
    <w:rsid w:val="00B721C7"/>
    <w:rsid w:val="00B72BCF"/>
    <w:rsid w:val="00B72E9D"/>
    <w:rsid w:val="00B73395"/>
    <w:rsid w:val="00B738DC"/>
    <w:rsid w:val="00B7424D"/>
    <w:rsid w:val="00B74475"/>
    <w:rsid w:val="00B74858"/>
    <w:rsid w:val="00B74A09"/>
    <w:rsid w:val="00B74A3A"/>
    <w:rsid w:val="00B74D9E"/>
    <w:rsid w:val="00B75DEF"/>
    <w:rsid w:val="00B76064"/>
    <w:rsid w:val="00B77876"/>
    <w:rsid w:val="00B80307"/>
    <w:rsid w:val="00B809F2"/>
    <w:rsid w:val="00B80E88"/>
    <w:rsid w:val="00B81142"/>
    <w:rsid w:val="00B816B8"/>
    <w:rsid w:val="00B82272"/>
    <w:rsid w:val="00B82360"/>
    <w:rsid w:val="00B82B78"/>
    <w:rsid w:val="00B832B4"/>
    <w:rsid w:val="00B834AF"/>
    <w:rsid w:val="00B83D67"/>
    <w:rsid w:val="00B83E74"/>
    <w:rsid w:val="00B843FE"/>
    <w:rsid w:val="00B84D8D"/>
    <w:rsid w:val="00B84E02"/>
    <w:rsid w:val="00B85F9A"/>
    <w:rsid w:val="00B8608B"/>
    <w:rsid w:val="00B86279"/>
    <w:rsid w:val="00B86568"/>
    <w:rsid w:val="00B86928"/>
    <w:rsid w:val="00B86B13"/>
    <w:rsid w:val="00B87435"/>
    <w:rsid w:val="00B87481"/>
    <w:rsid w:val="00B87995"/>
    <w:rsid w:val="00B906CA"/>
    <w:rsid w:val="00B907BB"/>
    <w:rsid w:val="00B90A20"/>
    <w:rsid w:val="00B90E95"/>
    <w:rsid w:val="00B9144F"/>
    <w:rsid w:val="00B924EC"/>
    <w:rsid w:val="00B93219"/>
    <w:rsid w:val="00B93271"/>
    <w:rsid w:val="00B9341C"/>
    <w:rsid w:val="00B9351A"/>
    <w:rsid w:val="00B93839"/>
    <w:rsid w:val="00B93FD2"/>
    <w:rsid w:val="00B942AC"/>
    <w:rsid w:val="00B95110"/>
    <w:rsid w:val="00B95876"/>
    <w:rsid w:val="00B96172"/>
    <w:rsid w:val="00B9621C"/>
    <w:rsid w:val="00B9632D"/>
    <w:rsid w:val="00B9667A"/>
    <w:rsid w:val="00B97227"/>
    <w:rsid w:val="00B976B5"/>
    <w:rsid w:val="00BA099B"/>
    <w:rsid w:val="00BA0C6C"/>
    <w:rsid w:val="00BA1530"/>
    <w:rsid w:val="00BA1B27"/>
    <w:rsid w:val="00BA1E27"/>
    <w:rsid w:val="00BA2285"/>
    <w:rsid w:val="00BA288F"/>
    <w:rsid w:val="00BA28CC"/>
    <w:rsid w:val="00BA2FDE"/>
    <w:rsid w:val="00BA376D"/>
    <w:rsid w:val="00BA39C4"/>
    <w:rsid w:val="00BA5399"/>
    <w:rsid w:val="00BA5F4E"/>
    <w:rsid w:val="00BA5FDD"/>
    <w:rsid w:val="00BA6673"/>
    <w:rsid w:val="00BA6AD2"/>
    <w:rsid w:val="00BA6B11"/>
    <w:rsid w:val="00BA6D69"/>
    <w:rsid w:val="00BA6F24"/>
    <w:rsid w:val="00BA707E"/>
    <w:rsid w:val="00BA7B75"/>
    <w:rsid w:val="00BA7B94"/>
    <w:rsid w:val="00BA7E6D"/>
    <w:rsid w:val="00BB059C"/>
    <w:rsid w:val="00BB0DAE"/>
    <w:rsid w:val="00BB0DBD"/>
    <w:rsid w:val="00BB0FA6"/>
    <w:rsid w:val="00BB1069"/>
    <w:rsid w:val="00BB106E"/>
    <w:rsid w:val="00BB11E9"/>
    <w:rsid w:val="00BB14D2"/>
    <w:rsid w:val="00BB1BC3"/>
    <w:rsid w:val="00BB27DB"/>
    <w:rsid w:val="00BB2AD2"/>
    <w:rsid w:val="00BB3D38"/>
    <w:rsid w:val="00BB3D3C"/>
    <w:rsid w:val="00BB45A9"/>
    <w:rsid w:val="00BB4A49"/>
    <w:rsid w:val="00BB4F85"/>
    <w:rsid w:val="00BB5024"/>
    <w:rsid w:val="00BB55DF"/>
    <w:rsid w:val="00BB5FA3"/>
    <w:rsid w:val="00BB6DC9"/>
    <w:rsid w:val="00BB76BF"/>
    <w:rsid w:val="00BC02C9"/>
    <w:rsid w:val="00BC0416"/>
    <w:rsid w:val="00BC1E67"/>
    <w:rsid w:val="00BC2554"/>
    <w:rsid w:val="00BC2583"/>
    <w:rsid w:val="00BC2620"/>
    <w:rsid w:val="00BC280E"/>
    <w:rsid w:val="00BC2D54"/>
    <w:rsid w:val="00BC3134"/>
    <w:rsid w:val="00BC376A"/>
    <w:rsid w:val="00BC392D"/>
    <w:rsid w:val="00BC4CB2"/>
    <w:rsid w:val="00BC6426"/>
    <w:rsid w:val="00BC6B51"/>
    <w:rsid w:val="00BC7265"/>
    <w:rsid w:val="00BC7C00"/>
    <w:rsid w:val="00BD01E6"/>
    <w:rsid w:val="00BD0223"/>
    <w:rsid w:val="00BD0265"/>
    <w:rsid w:val="00BD0457"/>
    <w:rsid w:val="00BD0C34"/>
    <w:rsid w:val="00BD0DFE"/>
    <w:rsid w:val="00BD174A"/>
    <w:rsid w:val="00BD1F2A"/>
    <w:rsid w:val="00BD209D"/>
    <w:rsid w:val="00BD25FB"/>
    <w:rsid w:val="00BD2711"/>
    <w:rsid w:val="00BD369D"/>
    <w:rsid w:val="00BD3834"/>
    <w:rsid w:val="00BD3B54"/>
    <w:rsid w:val="00BD3B97"/>
    <w:rsid w:val="00BD3E27"/>
    <w:rsid w:val="00BD462D"/>
    <w:rsid w:val="00BD4784"/>
    <w:rsid w:val="00BD4A93"/>
    <w:rsid w:val="00BD4E44"/>
    <w:rsid w:val="00BD6A65"/>
    <w:rsid w:val="00BD6C15"/>
    <w:rsid w:val="00BD756E"/>
    <w:rsid w:val="00BD76D4"/>
    <w:rsid w:val="00BD775F"/>
    <w:rsid w:val="00BD7A60"/>
    <w:rsid w:val="00BE16B2"/>
    <w:rsid w:val="00BE1C49"/>
    <w:rsid w:val="00BE1D66"/>
    <w:rsid w:val="00BE1F9B"/>
    <w:rsid w:val="00BE2100"/>
    <w:rsid w:val="00BE2721"/>
    <w:rsid w:val="00BE3398"/>
    <w:rsid w:val="00BE3676"/>
    <w:rsid w:val="00BE44BE"/>
    <w:rsid w:val="00BE52A7"/>
    <w:rsid w:val="00BE58FC"/>
    <w:rsid w:val="00BE5A27"/>
    <w:rsid w:val="00BE5C73"/>
    <w:rsid w:val="00BE6677"/>
    <w:rsid w:val="00BE7049"/>
    <w:rsid w:val="00BE708F"/>
    <w:rsid w:val="00BE7723"/>
    <w:rsid w:val="00BF10F5"/>
    <w:rsid w:val="00BF1593"/>
    <w:rsid w:val="00BF196E"/>
    <w:rsid w:val="00BF3625"/>
    <w:rsid w:val="00BF3781"/>
    <w:rsid w:val="00BF3966"/>
    <w:rsid w:val="00BF3A53"/>
    <w:rsid w:val="00BF3B6B"/>
    <w:rsid w:val="00BF41E2"/>
    <w:rsid w:val="00BF466D"/>
    <w:rsid w:val="00BF5443"/>
    <w:rsid w:val="00BF5729"/>
    <w:rsid w:val="00BF5936"/>
    <w:rsid w:val="00BF62D3"/>
    <w:rsid w:val="00BF662F"/>
    <w:rsid w:val="00BF7316"/>
    <w:rsid w:val="00BF7DD9"/>
    <w:rsid w:val="00C0025C"/>
    <w:rsid w:val="00C0099A"/>
    <w:rsid w:val="00C00B59"/>
    <w:rsid w:val="00C00CBC"/>
    <w:rsid w:val="00C012E6"/>
    <w:rsid w:val="00C02276"/>
    <w:rsid w:val="00C024A9"/>
    <w:rsid w:val="00C02536"/>
    <w:rsid w:val="00C02C91"/>
    <w:rsid w:val="00C032BF"/>
    <w:rsid w:val="00C0398A"/>
    <w:rsid w:val="00C03A0A"/>
    <w:rsid w:val="00C03B14"/>
    <w:rsid w:val="00C04181"/>
    <w:rsid w:val="00C0419A"/>
    <w:rsid w:val="00C04331"/>
    <w:rsid w:val="00C04B0A"/>
    <w:rsid w:val="00C05184"/>
    <w:rsid w:val="00C06F91"/>
    <w:rsid w:val="00C07085"/>
    <w:rsid w:val="00C07293"/>
    <w:rsid w:val="00C07C2B"/>
    <w:rsid w:val="00C1022A"/>
    <w:rsid w:val="00C10F9E"/>
    <w:rsid w:val="00C12A73"/>
    <w:rsid w:val="00C13515"/>
    <w:rsid w:val="00C13E1A"/>
    <w:rsid w:val="00C14078"/>
    <w:rsid w:val="00C14CAF"/>
    <w:rsid w:val="00C1518C"/>
    <w:rsid w:val="00C156DF"/>
    <w:rsid w:val="00C157CD"/>
    <w:rsid w:val="00C15AEF"/>
    <w:rsid w:val="00C16110"/>
    <w:rsid w:val="00C1636B"/>
    <w:rsid w:val="00C17244"/>
    <w:rsid w:val="00C173DC"/>
    <w:rsid w:val="00C17491"/>
    <w:rsid w:val="00C17775"/>
    <w:rsid w:val="00C20200"/>
    <w:rsid w:val="00C2042B"/>
    <w:rsid w:val="00C205BF"/>
    <w:rsid w:val="00C20631"/>
    <w:rsid w:val="00C20868"/>
    <w:rsid w:val="00C22592"/>
    <w:rsid w:val="00C2259C"/>
    <w:rsid w:val="00C22672"/>
    <w:rsid w:val="00C22C28"/>
    <w:rsid w:val="00C23B2D"/>
    <w:rsid w:val="00C2406A"/>
    <w:rsid w:val="00C2409D"/>
    <w:rsid w:val="00C248F3"/>
    <w:rsid w:val="00C24A17"/>
    <w:rsid w:val="00C24AE4"/>
    <w:rsid w:val="00C24DBE"/>
    <w:rsid w:val="00C25683"/>
    <w:rsid w:val="00C25FA5"/>
    <w:rsid w:val="00C26351"/>
    <w:rsid w:val="00C26FED"/>
    <w:rsid w:val="00C27662"/>
    <w:rsid w:val="00C27DB0"/>
    <w:rsid w:val="00C27E86"/>
    <w:rsid w:val="00C304B9"/>
    <w:rsid w:val="00C30D70"/>
    <w:rsid w:val="00C30F29"/>
    <w:rsid w:val="00C311D2"/>
    <w:rsid w:val="00C3169F"/>
    <w:rsid w:val="00C31729"/>
    <w:rsid w:val="00C31A7B"/>
    <w:rsid w:val="00C31DA6"/>
    <w:rsid w:val="00C320D1"/>
    <w:rsid w:val="00C32154"/>
    <w:rsid w:val="00C331F6"/>
    <w:rsid w:val="00C3320C"/>
    <w:rsid w:val="00C33489"/>
    <w:rsid w:val="00C33A80"/>
    <w:rsid w:val="00C346C5"/>
    <w:rsid w:val="00C34BD6"/>
    <w:rsid w:val="00C34BF2"/>
    <w:rsid w:val="00C34E44"/>
    <w:rsid w:val="00C35849"/>
    <w:rsid w:val="00C35C17"/>
    <w:rsid w:val="00C36431"/>
    <w:rsid w:val="00C3669A"/>
    <w:rsid w:val="00C36700"/>
    <w:rsid w:val="00C36718"/>
    <w:rsid w:val="00C3675D"/>
    <w:rsid w:val="00C370BE"/>
    <w:rsid w:val="00C370E6"/>
    <w:rsid w:val="00C3726E"/>
    <w:rsid w:val="00C373E3"/>
    <w:rsid w:val="00C3755D"/>
    <w:rsid w:val="00C37918"/>
    <w:rsid w:val="00C3796D"/>
    <w:rsid w:val="00C4018A"/>
    <w:rsid w:val="00C40557"/>
    <w:rsid w:val="00C41216"/>
    <w:rsid w:val="00C41F11"/>
    <w:rsid w:val="00C422BA"/>
    <w:rsid w:val="00C4277C"/>
    <w:rsid w:val="00C42992"/>
    <w:rsid w:val="00C42B66"/>
    <w:rsid w:val="00C431F9"/>
    <w:rsid w:val="00C4338C"/>
    <w:rsid w:val="00C4395A"/>
    <w:rsid w:val="00C43C1A"/>
    <w:rsid w:val="00C43EE2"/>
    <w:rsid w:val="00C441F1"/>
    <w:rsid w:val="00C445D2"/>
    <w:rsid w:val="00C44EEA"/>
    <w:rsid w:val="00C454D3"/>
    <w:rsid w:val="00C4733D"/>
    <w:rsid w:val="00C474EF"/>
    <w:rsid w:val="00C47D8D"/>
    <w:rsid w:val="00C50227"/>
    <w:rsid w:val="00C50296"/>
    <w:rsid w:val="00C50631"/>
    <w:rsid w:val="00C5090E"/>
    <w:rsid w:val="00C50B51"/>
    <w:rsid w:val="00C50B99"/>
    <w:rsid w:val="00C514DD"/>
    <w:rsid w:val="00C5196B"/>
    <w:rsid w:val="00C522AE"/>
    <w:rsid w:val="00C52625"/>
    <w:rsid w:val="00C52B8B"/>
    <w:rsid w:val="00C52C8E"/>
    <w:rsid w:val="00C536AD"/>
    <w:rsid w:val="00C53B42"/>
    <w:rsid w:val="00C53FE2"/>
    <w:rsid w:val="00C54440"/>
    <w:rsid w:val="00C544EB"/>
    <w:rsid w:val="00C54510"/>
    <w:rsid w:val="00C54573"/>
    <w:rsid w:val="00C54A11"/>
    <w:rsid w:val="00C54BB2"/>
    <w:rsid w:val="00C54FCA"/>
    <w:rsid w:val="00C55A10"/>
    <w:rsid w:val="00C5705A"/>
    <w:rsid w:val="00C570F8"/>
    <w:rsid w:val="00C571FE"/>
    <w:rsid w:val="00C5757B"/>
    <w:rsid w:val="00C60682"/>
    <w:rsid w:val="00C61620"/>
    <w:rsid w:val="00C6163A"/>
    <w:rsid w:val="00C61C61"/>
    <w:rsid w:val="00C61CDC"/>
    <w:rsid w:val="00C62849"/>
    <w:rsid w:val="00C62B54"/>
    <w:rsid w:val="00C63BFF"/>
    <w:rsid w:val="00C63E05"/>
    <w:rsid w:val="00C647A9"/>
    <w:rsid w:val="00C652D4"/>
    <w:rsid w:val="00C65416"/>
    <w:rsid w:val="00C65450"/>
    <w:rsid w:val="00C659A2"/>
    <w:rsid w:val="00C660F5"/>
    <w:rsid w:val="00C664A3"/>
    <w:rsid w:val="00C66B1D"/>
    <w:rsid w:val="00C66F48"/>
    <w:rsid w:val="00C66F7C"/>
    <w:rsid w:val="00C67DE6"/>
    <w:rsid w:val="00C70400"/>
    <w:rsid w:val="00C70992"/>
    <w:rsid w:val="00C70DD2"/>
    <w:rsid w:val="00C70E7B"/>
    <w:rsid w:val="00C70FB7"/>
    <w:rsid w:val="00C7158C"/>
    <w:rsid w:val="00C71A83"/>
    <w:rsid w:val="00C71ECC"/>
    <w:rsid w:val="00C72624"/>
    <w:rsid w:val="00C72B02"/>
    <w:rsid w:val="00C73808"/>
    <w:rsid w:val="00C7384F"/>
    <w:rsid w:val="00C73984"/>
    <w:rsid w:val="00C747F6"/>
    <w:rsid w:val="00C74DAC"/>
    <w:rsid w:val="00C75F99"/>
    <w:rsid w:val="00C76712"/>
    <w:rsid w:val="00C76F0B"/>
    <w:rsid w:val="00C77324"/>
    <w:rsid w:val="00C77A13"/>
    <w:rsid w:val="00C80BC1"/>
    <w:rsid w:val="00C80C93"/>
    <w:rsid w:val="00C80F1A"/>
    <w:rsid w:val="00C818E7"/>
    <w:rsid w:val="00C81F7E"/>
    <w:rsid w:val="00C823FA"/>
    <w:rsid w:val="00C828FC"/>
    <w:rsid w:val="00C82AD3"/>
    <w:rsid w:val="00C83494"/>
    <w:rsid w:val="00C83498"/>
    <w:rsid w:val="00C846DA"/>
    <w:rsid w:val="00C84919"/>
    <w:rsid w:val="00C853E8"/>
    <w:rsid w:val="00C85452"/>
    <w:rsid w:val="00C860D0"/>
    <w:rsid w:val="00C8701E"/>
    <w:rsid w:val="00C873BC"/>
    <w:rsid w:val="00C87725"/>
    <w:rsid w:val="00C87E68"/>
    <w:rsid w:val="00C87F8A"/>
    <w:rsid w:val="00C9046A"/>
    <w:rsid w:val="00C9048F"/>
    <w:rsid w:val="00C90F2E"/>
    <w:rsid w:val="00C910DB"/>
    <w:rsid w:val="00C91166"/>
    <w:rsid w:val="00C9192D"/>
    <w:rsid w:val="00C91A45"/>
    <w:rsid w:val="00C92174"/>
    <w:rsid w:val="00C93859"/>
    <w:rsid w:val="00C93B71"/>
    <w:rsid w:val="00C942FA"/>
    <w:rsid w:val="00C94BBF"/>
    <w:rsid w:val="00C956DB"/>
    <w:rsid w:val="00C95C27"/>
    <w:rsid w:val="00C95DF8"/>
    <w:rsid w:val="00C95E32"/>
    <w:rsid w:val="00C9617A"/>
    <w:rsid w:val="00C96244"/>
    <w:rsid w:val="00C9678B"/>
    <w:rsid w:val="00C9680B"/>
    <w:rsid w:val="00C96FF7"/>
    <w:rsid w:val="00C977E8"/>
    <w:rsid w:val="00CA0B2C"/>
    <w:rsid w:val="00CA0F20"/>
    <w:rsid w:val="00CA17BD"/>
    <w:rsid w:val="00CA1A2A"/>
    <w:rsid w:val="00CA1DC5"/>
    <w:rsid w:val="00CA22C4"/>
    <w:rsid w:val="00CA2753"/>
    <w:rsid w:val="00CA2BE7"/>
    <w:rsid w:val="00CA2D3F"/>
    <w:rsid w:val="00CA2F18"/>
    <w:rsid w:val="00CA34ED"/>
    <w:rsid w:val="00CA3F79"/>
    <w:rsid w:val="00CA413E"/>
    <w:rsid w:val="00CA4187"/>
    <w:rsid w:val="00CA41AB"/>
    <w:rsid w:val="00CA45AD"/>
    <w:rsid w:val="00CA46B8"/>
    <w:rsid w:val="00CA4B97"/>
    <w:rsid w:val="00CA4D46"/>
    <w:rsid w:val="00CA5E8D"/>
    <w:rsid w:val="00CA68C9"/>
    <w:rsid w:val="00CA69AE"/>
    <w:rsid w:val="00CA7C01"/>
    <w:rsid w:val="00CA7CA8"/>
    <w:rsid w:val="00CA7EB4"/>
    <w:rsid w:val="00CB019A"/>
    <w:rsid w:val="00CB0ED7"/>
    <w:rsid w:val="00CB15CA"/>
    <w:rsid w:val="00CB19A5"/>
    <w:rsid w:val="00CB1C7E"/>
    <w:rsid w:val="00CB2E15"/>
    <w:rsid w:val="00CB2E79"/>
    <w:rsid w:val="00CB2FA2"/>
    <w:rsid w:val="00CB3013"/>
    <w:rsid w:val="00CB39AF"/>
    <w:rsid w:val="00CB3AA1"/>
    <w:rsid w:val="00CB3CB9"/>
    <w:rsid w:val="00CB49E4"/>
    <w:rsid w:val="00CB54D4"/>
    <w:rsid w:val="00CB57A1"/>
    <w:rsid w:val="00CB57D8"/>
    <w:rsid w:val="00CB5A40"/>
    <w:rsid w:val="00CB5EAF"/>
    <w:rsid w:val="00CB5FC6"/>
    <w:rsid w:val="00CB6ED8"/>
    <w:rsid w:val="00CB7771"/>
    <w:rsid w:val="00CB7A7A"/>
    <w:rsid w:val="00CB7FEE"/>
    <w:rsid w:val="00CC0687"/>
    <w:rsid w:val="00CC0B06"/>
    <w:rsid w:val="00CC1AAA"/>
    <w:rsid w:val="00CC1E51"/>
    <w:rsid w:val="00CC2882"/>
    <w:rsid w:val="00CC3186"/>
    <w:rsid w:val="00CC4022"/>
    <w:rsid w:val="00CC404A"/>
    <w:rsid w:val="00CC4216"/>
    <w:rsid w:val="00CC449A"/>
    <w:rsid w:val="00CC4BE9"/>
    <w:rsid w:val="00CC4D42"/>
    <w:rsid w:val="00CC51BE"/>
    <w:rsid w:val="00CC52AC"/>
    <w:rsid w:val="00CC5B57"/>
    <w:rsid w:val="00CC5BFC"/>
    <w:rsid w:val="00CC5F6E"/>
    <w:rsid w:val="00CC75BE"/>
    <w:rsid w:val="00CC75D4"/>
    <w:rsid w:val="00CC79D5"/>
    <w:rsid w:val="00CC7D7B"/>
    <w:rsid w:val="00CC7D8F"/>
    <w:rsid w:val="00CD031C"/>
    <w:rsid w:val="00CD03D6"/>
    <w:rsid w:val="00CD070B"/>
    <w:rsid w:val="00CD2A1F"/>
    <w:rsid w:val="00CD2F95"/>
    <w:rsid w:val="00CD3064"/>
    <w:rsid w:val="00CD3441"/>
    <w:rsid w:val="00CD35CC"/>
    <w:rsid w:val="00CD390B"/>
    <w:rsid w:val="00CD394B"/>
    <w:rsid w:val="00CD4152"/>
    <w:rsid w:val="00CD4483"/>
    <w:rsid w:val="00CD46ED"/>
    <w:rsid w:val="00CD477E"/>
    <w:rsid w:val="00CD4B7F"/>
    <w:rsid w:val="00CD4C41"/>
    <w:rsid w:val="00CD5CE1"/>
    <w:rsid w:val="00CD5D72"/>
    <w:rsid w:val="00CD61A5"/>
    <w:rsid w:val="00CD628F"/>
    <w:rsid w:val="00CD62FE"/>
    <w:rsid w:val="00CD766B"/>
    <w:rsid w:val="00CD7D58"/>
    <w:rsid w:val="00CD7EB6"/>
    <w:rsid w:val="00CD7FBB"/>
    <w:rsid w:val="00CE04DE"/>
    <w:rsid w:val="00CE0E84"/>
    <w:rsid w:val="00CE10B1"/>
    <w:rsid w:val="00CE14D6"/>
    <w:rsid w:val="00CE153D"/>
    <w:rsid w:val="00CE1D7B"/>
    <w:rsid w:val="00CE2118"/>
    <w:rsid w:val="00CE243F"/>
    <w:rsid w:val="00CE3175"/>
    <w:rsid w:val="00CE3293"/>
    <w:rsid w:val="00CE3C6D"/>
    <w:rsid w:val="00CE3C82"/>
    <w:rsid w:val="00CE43B1"/>
    <w:rsid w:val="00CE45DB"/>
    <w:rsid w:val="00CE537D"/>
    <w:rsid w:val="00CE5414"/>
    <w:rsid w:val="00CE55AA"/>
    <w:rsid w:val="00CE6D9E"/>
    <w:rsid w:val="00CE794B"/>
    <w:rsid w:val="00CE7C39"/>
    <w:rsid w:val="00CF05EA"/>
    <w:rsid w:val="00CF088B"/>
    <w:rsid w:val="00CF0FB9"/>
    <w:rsid w:val="00CF248F"/>
    <w:rsid w:val="00CF3394"/>
    <w:rsid w:val="00CF3522"/>
    <w:rsid w:val="00CF3F37"/>
    <w:rsid w:val="00CF4A46"/>
    <w:rsid w:val="00CF4BD8"/>
    <w:rsid w:val="00CF581A"/>
    <w:rsid w:val="00CF6248"/>
    <w:rsid w:val="00CF63D1"/>
    <w:rsid w:val="00CF74C0"/>
    <w:rsid w:val="00CF7897"/>
    <w:rsid w:val="00CF7997"/>
    <w:rsid w:val="00D009E0"/>
    <w:rsid w:val="00D00DD6"/>
    <w:rsid w:val="00D013D9"/>
    <w:rsid w:val="00D019BF"/>
    <w:rsid w:val="00D01E38"/>
    <w:rsid w:val="00D026AB"/>
    <w:rsid w:val="00D0283B"/>
    <w:rsid w:val="00D02ABB"/>
    <w:rsid w:val="00D03A98"/>
    <w:rsid w:val="00D03BB9"/>
    <w:rsid w:val="00D03D4D"/>
    <w:rsid w:val="00D03E69"/>
    <w:rsid w:val="00D03F6C"/>
    <w:rsid w:val="00D0415C"/>
    <w:rsid w:val="00D04983"/>
    <w:rsid w:val="00D05778"/>
    <w:rsid w:val="00D06937"/>
    <w:rsid w:val="00D070FF"/>
    <w:rsid w:val="00D075A4"/>
    <w:rsid w:val="00D07D94"/>
    <w:rsid w:val="00D1058E"/>
    <w:rsid w:val="00D12059"/>
    <w:rsid w:val="00D1239D"/>
    <w:rsid w:val="00D125DE"/>
    <w:rsid w:val="00D12DF5"/>
    <w:rsid w:val="00D13777"/>
    <w:rsid w:val="00D13BB6"/>
    <w:rsid w:val="00D13C2D"/>
    <w:rsid w:val="00D1459C"/>
    <w:rsid w:val="00D151F0"/>
    <w:rsid w:val="00D15F8E"/>
    <w:rsid w:val="00D1690E"/>
    <w:rsid w:val="00D172D8"/>
    <w:rsid w:val="00D173A5"/>
    <w:rsid w:val="00D178E9"/>
    <w:rsid w:val="00D17B3F"/>
    <w:rsid w:val="00D17F1D"/>
    <w:rsid w:val="00D219D5"/>
    <w:rsid w:val="00D2203E"/>
    <w:rsid w:val="00D2231C"/>
    <w:rsid w:val="00D2254A"/>
    <w:rsid w:val="00D22704"/>
    <w:rsid w:val="00D23513"/>
    <w:rsid w:val="00D237C9"/>
    <w:rsid w:val="00D24573"/>
    <w:rsid w:val="00D245E2"/>
    <w:rsid w:val="00D24A53"/>
    <w:rsid w:val="00D24C69"/>
    <w:rsid w:val="00D251CF"/>
    <w:rsid w:val="00D252B8"/>
    <w:rsid w:val="00D267D6"/>
    <w:rsid w:val="00D26BEC"/>
    <w:rsid w:val="00D2729A"/>
    <w:rsid w:val="00D27506"/>
    <w:rsid w:val="00D27E6C"/>
    <w:rsid w:val="00D30F5A"/>
    <w:rsid w:val="00D3198D"/>
    <w:rsid w:val="00D32EAB"/>
    <w:rsid w:val="00D3357B"/>
    <w:rsid w:val="00D34338"/>
    <w:rsid w:val="00D34688"/>
    <w:rsid w:val="00D35601"/>
    <w:rsid w:val="00D35F3B"/>
    <w:rsid w:val="00D36027"/>
    <w:rsid w:val="00D36337"/>
    <w:rsid w:val="00D36522"/>
    <w:rsid w:val="00D366B7"/>
    <w:rsid w:val="00D367F5"/>
    <w:rsid w:val="00D36C23"/>
    <w:rsid w:val="00D36FB2"/>
    <w:rsid w:val="00D375C7"/>
    <w:rsid w:val="00D3769E"/>
    <w:rsid w:val="00D40081"/>
    <w:rsid w:val="00D407D8"/>
    <w:rsid w:val="00D40EAF"/>
    <w:rsid w:val="00D41034"/>
    <w:rsid w:val="00D411A8"/>
    <w:rsid w:val="00D413DA"/>
    <w:rsid w:val="00D418A3"/>
    <w:rsid w:val="00D41B99"/>
    <w:rsid w:val="00D42249"/>
    <w:rsid w:val="00D4244A"/>
    <w:rsid w:val="00D42487"/>
    <w:rsid w:val="00D4341B"/>
    <w:rsid w:val="00D44522"/>
    <w:rsid w:val="00D44CC7"/>
    <w:rsid w:val="00D45867"/>
    <w:rsid w:val="00D4595F"/>
    <w:rsid w:val="00D45CE3"/>
    <w:rsid w:val="00D46157"/>
    <w:rsid w:val="00D4646A"/>
    <w:rsid w:val="00D466A8"/>
    <w:rsid w:val="00D46A18"/>
    <w:rsid w:val="00D46BEF"/>
    <w:rsid w:val="00D47187"/>
    <w:rsid w:val="00D4751A"/>
    <w:rsid w:val="00D50011"/>
    <w:rsid w:val="00D500F2"/>
    <w:rsid w:val="00D5017E"/>
    <w:rsid w:val="00D501F5"/>
    <w:rsid w:val="00D508E4"/>
    <w:rsid w:val="00D50B2C"/>
    <w:rsid w:val="00D50EB3"/>
    <w:rsid w:val="00D519D2"/>
    <w:rsid w:val="00D52284"/>
    <w:rsid w:val="00D5322C"/>
    <w:rsid w:val="00D533A1"/>
    <w:rsid w:val="00D533BF"/>
    <w:rsid w:val="00D53841"/>
    <w:rsid w:val="00D53C05"/>
    <w:rsid w:val="00D546B8"/>
    <w:rsid w:val="00D55294"/>
    <w:rsid w:val="00D56ACF"/>
    <w:rsid w:val="00D56BDE"/>
    <w:rsid w:val="00D57152"/>
    <w:rsid w:val="00D57692"/>
    <w:rsid w:val="00D576D7"/>
    <w:rsid w:val="00D57AF1"/>
    <w:rsid w:val="00D57CBB"/>
    <w:rsid w:val="00D60236"/>
    <w:rsid w:val="00D6063B"/>
    <w:rsid w:val="00D60B43"/>
    <w:rsid w:val="00D60C45"/>
    <w:rsid w:val="00D614C7"/>
    <w:rsid w:val="00D61E9C"/>
    <w:rsid w:val="00D61F3D"/>
    <w:rsid w:val="00D61F93"/>
    <w:rsid w:val="00D623A8"/>
    <w:rsid w:val="00D62545"/>
    <w:rsid w:val="00D62EEF"/>
    <w:rsid w:val="00D6312F"/>
    <w:rsid w:val="00D633BB"/>
    <w:rsid w:val="00D63A3E"/>
    <w:rsid w:val="00D63D69"/>
    <w:rsid w:val="00D640F2"/>
    <w:rsid w:val="00D64236"/>
    <w:rsid w:val="00D642AD"/>
    <w:rsid w:val="00D64A40"/>
    <w:rsid w:val="00D64BD4"/>
    <w:rsid w:val="00D64E02"/>
    <w:rsid w:val="00D654E8"/>
    <w:rsid w:val="00D654FB"/>
    <w:rsid w:val="00D65619"/>
    <w:rsid w:val="00D66229"/>
    <w:rsid w:val="00D66C42"/>
    <w:rsid w:val="00D67216"/>
    <w:rsid w:val="00D67780"/>
    <w:rsid w:val="00D701C2"/>
    <w:rsid w:val="00D7055C"/>
    <w:rsid w:val="00D709B0"/>
    <w:rsid w:val="00D71468"/>
    <w:rsid w:val="00D7160C"/>
    <w:rsid w:val="00D71741"/>
    <w:rsid w:val="00D71C1F"/>
    <w:rsid w:val="00D71CE6"/>
    <w:rsid w:val="00D72304"/>
    <w:rsid w:val="00D727B3"/>
    <w:rsid w:val="00D73210"/>
    <w:rsid w:val="00D73AD4"/>
    <w:rsid w:val="00D73C8C"/>
    <w:rsid w:val="00D744AF"/>
    <w:rsid w:val="00D74862"/>
    <w:rsid w:val="00D756D2"/>
    <w:rsid w:val="00D75879"/>
    <w:rsid w:val="00D75908"/>
    <w:rsid w:val="00D75CD0"/>
    <w:rsid w:val="00D75ECA"/>
    <w:rsid w:val="00D764EB"/>
    <w:rsid w:val="00D766A9"/>
    <w:rsid w:val="00D775CD"/>
    <w:rsid w:val="00D778F2"/>
    <w:rsid w:val="00D8005C"/>
    <w:rsid w:val="00D808EE"/>
    <w:rsid w:val="00D80A72"/>
    <w:rsid w:val="00D81003"/>
    <w:rsid w:val="00D81129"/>
    <w:rsid w:val="00D818D0"/>
    <w:rsid w:val="00D81A7D"/>
    <w:rsid w:val="00D8202C"/>
    <w:rsid w:val="00D82F39"/>
    <w:rsid w:val="00D8378B"/>
    <w:rsid w:val="00D846D9"/>
    <w:rsid w:val="00D84B62"/>
    <w:rsid w:val="00D84CF1"/>
    <w:rsid w:val="00D84F1E"/>
    <w:rsid w:val="00D859E0"/>
    <w:rsid w:val="00D85CF7"/>
    <w:rsid w:val="00D863F7"/>
    <w:rsid w:val="00D87225"/>
    <w:rsid w:val="00D87307"/>
    <w:rsid w:val="00D87322"/>
    <w:rsid w:val="00D8792C"/>
    <w:rsid w:val="00D87974"/>
    <w:rsid w:val="00D87B4D"/>
    <w:rsid w:val="00D87C8F"/>
    <w:rsid w:val="00D87F7F"/>
    <w:rsid w:val="00D9076C"/>
    <w:rsid w:val="00D90F3C"/>
    <w:rsid w:val="00D91686"/>
    <w:rsid w:val="00D9181C"/>
    <w:rsid w:val="00D91841"/>
    <w:rsid w:val="00D918BC"/>
    <w:rsid w:val="00D9191D"/>
    <w:rsid w:val="00D91D95"/>
    <w:rsid w:val="00D91E5A"/>
    <w:rsid w:val="00D92454"/>
    <w:rsid w:val="00D9270B"/>
    <w:rsid w:val="00D927AB"/>
    <w:rsid w:val="00D93CB6"/>
    <w:rsid w:val="00D94506"/>
    <w:rsid w:val="00D947E8"/>
    <w:rsid w:val="00D94C19"/>
    <w:rsid w:val="00D94FA6"/>
    <w:rsid w:val="00D95DD1"/>
    <w:rsid w:val="00D96A20"/>
    <w:rsid w:val="00D97020"/>
    <w:rsid w:val="00DA123A"/>
    <w:rsid w:val="00DA2813"/>
    <w:rsid w:val="00DA2C32"/>
    <w:rsid w:val="00DA2DF2"/>
    <w:rsid w:val="00DA31ED"/>
    <w:rsid w:val="00DA36B3"/>
    <w:rsid w:val="00DA467B"/>
    <w:rsid w:val="00DA4DDB"/>
    <w:rsid w:val="00DA53B9"/>
    <w:rsid w:val="00DA64C9"/>
    <w:rsid w:val="00DA6B67"/>
    <w:rsid w:val="00DA7371"/>
    <w:rsid w:val="00DA74CE"/>
    <w:rsid w:val="00DA7705"/>
    <w:rsid w:val="00DA7878"/>
    <w:rsid w:val="00DA7D78"/>
    <w:rsid w:val="00DA7F35"/>
    <w:rsid w:val="00DB005E"/>
    <w:rsid w:val="00DB0592"/>
    <w:rsid w:val="00DB0B44"/>
    <w:rsid w:val="00DB3023"/>
    <w:rsid w:val="00DB3562"/>
    <w:rsid w:val="00DB3613"/>
    <w:rsid w:val="00DB3DB1"/>
    <w:rsid w:val="00DB3E6A"/>
    <w:rsid w:val="00DB3FDB"/>
    <w:rsid w:val="00DB4274"/>
    <w:rsid w:val="00DB4D86"/>
    <w:rsid w:val="00DB514B"/>
    <w:rsid w:val="00DB5712"/>
    <w:rsid w:val="00DB5C0E"/>
    <w:rsid w:val="00DB5E0E"/>
    <w:rsid w:val="00DB6379"/>
    <w:rsid w:val="00DB64AA"/>
    <w:rsid w:val="00DB657F"/>
    <w:rsid w:val="00DB65C2"/>
    <w:rsid w:val="00DB70EE"/>
    <w:rsid w:val="00DB75A4"/>
    <w:rsid w:val="00DB7827"/>
    <w:rsid w:val="00DB7BF9"/>
    <w:rsid w:val="00DC00C7"/>
    <w:rsid w:val="00DC023B"/>
    <w:rsid w:val="00DC0554"/>
    <w:rsid w:val="00DC07F1"/>
    <w:rsid w:val="00DC1828"/>
    <w:rsid w:val="00DC1A6F"/>
    <w:rsid w:val="00DC2DC5"/>
    <w:rsid w:val="00DC30EA"/>
    <w:rsid w:val="00DC33EC"/>
    <w:rsid w:val="00DC3F9B"/>
    <w:rsid w:val="00DC4D22"/>
    <w:rsid w:val="00DC5B2D"/>
    <w:rsid w:val="00DC6491"/>
    <w:rsid w:val="00DC70CD"/>
    <w:rsid w:val="00DC7E6F"/>
    <w:rsid w:val="00DD00EA"/>
    <w:rsid w:val="00DD1BD3"/>
    <w:rsid w:val="00DD1EFE"/>
    <w:rsid w:val="00DD20DE"/>
    <w:rsid w:val="00DD3B6A"/>
    <w:rsid w:val="00DD405B"/>
    <w:rsid w:val="00DD4974"/>
    <w:rsid w:val="00DD553E"/>
    <w:rsid w:val="00DD638A"/>
    <w:rsid w:val="00DD64A2"/>
    <w:rsid w:val="00DD64CB"/>
    <w:rsid w:val="00DD6531"/>
    <w:rsid w:val="00DD671F"/>
    <w:rsid w:val="00DD6925"/>
    <w:rsid w:val="00DD6E0E"/>
    <w:rsid w:val="00DD6F13"/>
    <w:rsid w:val="00DD7BF9"/>
    <w:rsid w:val="00DD7C13"/>
    <w:rsid w:val="00DD7C7A"/>
    <w:rsid w:val="00DE037E"/>
    <w:rsid w:val="00DE0759"/>
    <w:rsid w:val="00DE0DFB"/>
    <w:rsid w:val="00DE1550"/>
    <w:rsid w:val="00DE176E"/>
    <w:rsid w:val="00DE1EC9"/>
    <w:rsid w:val="00DE23F2"/>
    <w:rsid w:val="00DE28B1"/>
    <w:rsid w:val="00DE38AA"/>
    <w:rsid w:val="00DE4CB8"/>
    <w:rsid w:val="00DE5A1E"/>
    <w:rsid w:val="00DE5EEE"/>
    <w:rsid w:val="00DE6721"/>
    <w:rsid w:val="00DE6912"/>
    <w:rsid w:val="00DE6F95"/>
    <w:rsid w:val="00DE7355"/>
    <w:rsid w:val="00DE77E7"/>
    <w:rsid w:val="00DE7E8B"/>
    <w:rsid w:val="00DF04A6"/>
    <w:rsid w:val="00DF0745"/>
    <w:rsid w:val="00DF0790"/>
    <w:rsid w:val="00DF15B6"/>
    <w:rsid w:val="00DF15EC"/>
    <w:rsid w:val="00DF1806"/>
    <w:rsid w:val="00DF1C2D"/>
    <w:rsid w:val="00DF1F85"/>
    <w:rsid w:val="00DF20CE"/>
    <w:rsid w:val="00DF20EA"/>
    <w:rsid w:val="00DF2425"/>
    <w:rsid w:val="00DF2974"/>
    <w:rsid w:val="00DF3422"/>
    <w:rsid w:val="00DF3E3B"/>
    <w:rsid w:val="00DF45FF"/>
    <w:rsid w:val="00DF4CEB"/>
    <w:rsid w:val="00DF79A3"/>
    <w:rsid w:val="00E00282"/>
    <w:rsid w:val="00E0043E"/>
    <w:rsid w:val="00E00A75"/>
    <w:rsid w:val="00E00C22"/>
    <w:rsid w:val="00E0156F"/>
    <w:rsid w:val="00E01C97"/>
    <w:rsid w:val="00E027C2"/>
    <w:rsid w:val="00E02F4E"/>
    <w:rsid w:val="00E045EF"/>
    <w:rsid w:val="00E04E2B"/>
    <w:rsid w:val="00E0514D"/>
    <w:rsid w:val="00E052C4"/>
    <w:rsid w:val="00E05CBA"/>
    <w:rsid w:val="00E06166"/>
    <w:rsid w:val="00E0621A"/>
    <w:rsid w:val="00E06561"/>
    <w:rsid w:val="00E06583"/>
    <w:rsid w:val="00E0766D"/>
    <w:rsid w:val="00E10090"/>
    <w:rsid w:val="00E102DD"/>
    <w:rsid w:val="00E10331"/>
    <w:rsid w:val="00E10935"/>
    <w:rsid w:val="00E10B43"/>
    <w:rsid w:val="00E10C1D"/>
    <w:rsid w:val="00E10D76"/>
    <w:rsid w:val="00E11A6C"/>
    <w:rsid w:val="00E11AE0"/>
    <w:rsid w:val="00E12585"/>
    <w:rsid w:val="00E126E5"/>
    <w:rsid w:val="00E1421F"/>
    <w:rsid w:val="00E14A2C"/>
    <w:rsid w:val="00E14C3C"/>
    <w:rsid w:val="00E15157"/>
    <w:rsid w:val="00E15680"/>
    <w:rsid w:val="00E15BCB"/>
    <w:rsid w:val="00E1644C"/>
    <w:rsid w:val="00E16730"/>
    <w:rsid w:val="00E16852"/>
    <w:rsid w:val="00E16DB7"/>
    <w:rsid w:val="00E177F1"/>
    <w:rsid w:val="00E17D33"/>
    <w:rsid w:val="00E203ED"/>
    <w:rsid w:val="00E20CD7"/>
    <w:rsid w:val="00E20D09"/>
    <w:rsid w:val="00E2106E"/>
    <w:rsid w:val="00E21495"/>
    <w:rsid w:val="00E21AD7"/>
    <w:rsid w:val="00E22D0F"/>
    <w:rsid w:val="00E23557"/>
    <w:rsid w:val="00E23E7D"/>
    <w:rsid w:val="00E24B81"/>
    <w:rsid w:val="00E24C2A"/>
    <w:rsid w:val="00E24F41"/>
    <w:rsid w:val="00E251C3"/>
    <w:rsid w:val="00E252E5"/>
    <w:rsid w:val="00E25EB1"/>
    <w:rsid w:val="00E260B0"/>
    <w:rsid w:val="00E26382"/>
    <w:rsid w:val="00E264C0"/>
    <w:rsid w:val="00E267AA"/>
    <w:rsid w:val="00E26870"/>
    <w:rsid w:val="00E273E5"/>
    <w:rsid w:val="00E27FB8"/>
    <w:rsid w:val="00E30064"/>
    <w:rsid w:val="00E301E4"/>
    <w:rsid w:val="00E3078A"/>
    <w:rsid w:val="00E319E0"/>
    <w:rsid w:val="00E32209"/>
    <w:rsid w:val="00E3275C"/>
    <w:rsid w:val="00E327B1"/>
    <w:rsid w:val="00E327B9"/>
    <w:rsid w:val="00E32A5E"/>
    <w:rsid w:val="00E32E66"/>
    <w:rsid w:val="00E331E4"/>
    <w:rsid w:val="00E3328F"/>
    <w:rsid w:val="00E3413D"/>
    <w:rsid w:val="00E34633"/>
    <w:rsid w:val="00E3470A"/>
    <w:rsid w:val="00E34CED"/>
    <w:rsid w:val="00E35CBE"/>
    <w:rsid w:val="00E35DC5"/>
    <w:rsid w:val="00E36239"/>
    <w:rsid w:val="00E36C10"/>
    <w:rsid w:val="00E374E2"/>
    <w:rsid w:val="00E37695"/>
    <w:rsid w:val="00E37830"/>
    <w:rsid w:val="00E37F55"/>
    <w:rsid w:val="00E40453"/>
    <w:rsid w:val="00E4059C"/>
    <w:rsid w:val="00E405F0"/>
    <w:rsid w:val="00E40680"/>
    <w:rsid w:val="00E40C1A"/>
    <w:rsid w:val="00E41014"/>
    <w:rsid w:val="00E421F2"/>
    <w:rsid w:val="00E428CB"/>
    <w:rsid w:val="00E4423D"/>
    <w:rsid w:val="00E449C3"/>
    <w:rsid w:val="00E45020"/>
    <w:rsid w:val="00E450D8"/>
    <w:rsid w:val="00E4528A"/>
    <w:rsid w:val="00E45C08"/>
    <w:rsid w:val="00E464DF"/>
    <w:rsid w:val="00E46502"/>
    <w:rsid w:val="00E46F6A"/>
    <w:rsid w:val="00E471E6"/>
    <w:rsid w:val="00E476E0"/>
    <w:rsid w:val="00E47DDE"/>
    <w:rsid w:val="00E50124"/>
    <w:rsid w:val="00E519D8"/>
    <w:rsid w:val="00E51DD3"/>
    <w:rsid w:val="00E5209E"/>
    <w:rsid w:val="00E5241D"/>
    <w:rsid w:val="00E5271E"/>
    <w:rsid w:val="00E52BC4"/>
    <w:rsid w:val="00E53315"/>
    <w:rsid w:val="00E5334A"/>
    <w:rsid w:val="00E536C6"/>
    <w:rsid w:val="00E53B8E"/>
    <w:rsid w:val="00E543EE"/>
    <w:rsid w:val="00E548D1"/>
    <w:rsid w:val="00E54D9C"/>
    <w:rsid w:val="00E54E59"/>
    <w:rsid w:val="00E55EA3"/>
    <w:rsid w:val="00E55FAC"/>
    <w:rsid w:val="00E56130"/>
    <w:rsid w:val="00E56574"/>
    <w:rsid w:val="00E56D19"/>
    <w:rsid w:val="00E5737A"/>
    <w:rsid w:val="00E57704"/>
    <w:rsid w:val="00E5776E"/>
    <w:rsid w:val="00E57954"/>
    <w:rsid w:val="00E57AA2"/>
    <w:rsid w:val="00E57C07"/>
    <w:rsid w:val="00E57D82"/>
    <w:rsid w:val="00E57EE7"/>
    <w:rsid w:val="00E60D04"/>
    <w:rsid w:val="00E612CC"/>
    <w:rsid w:val="00E617FF"/>
    <w:rsid w:val="00E62268"/>
    <w:rsid w:val="00E6294C"/>
    <w:rsid w:val="00E62B0B"/>
    <w:rsid w:val="00E63504"/>
    <w:rsid w:val="00E635B9"/>
    <w:rsid w:val="00E638BA"/>
    <w:rsid w:val="00E64509"/>
    <w:rsid w:val="00E646E7"/>
    <w:rsid w:val="00E649FC"/>
    <w:rsid w:val="00E64AAF"/>
    <w:rsid w:val="00E65958"/>
    <w:rsid w:val="00E65DDD"/>
    <w:rsid w:val="00E65EFB"/>
    <w:rsid w:val="00E6668F"/>
    <w:rsid w:val="00E666DD"/>
    <w:rsid w:val="00E66856"/>
    <w:rsid w:val="00E66B4A"/>
    <w:rsid w:val="00E671F0"/>
    <w:rsid w:val="00E70402"/>
    <w:rsid w:val="00E707EA"/>
    <w:rsid w:val="00E7123B"/>
    <w:rsid w:val="00E712EA"/>
    <w:rsid w:val="00E722A5"/>
    <w:rsid w:val="00E7292C"/>
    <w:rsid w:val="00E73482"/>
    <w:rsid w:val="00E73537"/>
    <w:rsid w:val="00E740DA"/>
    <w:rsid w:val="00E7455D"/>
    <w:rsid w:val="00E747EE"/>
    <w:rsid w:val="00E74802"/>
    <w:rsid w:val="00E74B06"/>
    <w:rsid w:val="00E74D9F"/>
    <w:rsid w:val="00E75AAC"/>
    <w:rsid w:val="00E75D1F"/>
    <w:rsid w:val="00E76625"/>
    <w:rsid w:val="00E76C41"/>
    <w:rsid w:val="00E76F7A"/>
    <w:rsid w:val="00E775FB"/>
    <w:rsid w:val="00E77687"/>
    <w:rsid w:val="00E776F4"/>
    <w:rsid w:val="00E77DAA"/>
    <w:rsid w:val="00E804A3"/>
    <w:rsid w:val="00E80681"/>
    <w:rsid w:val="00E8086C"/>
    <w:rsid w:val="00E813F4"/>
    <w:rsid w:val="00E819A8"/>
    <w:rsid w:val="00E81A7F"/>
    <w:rsid w:val="00E826D1"/>
    <w:rsid w:val="00E82815"/>
    <w:rsid w:val="00E828CB"/>
    <w:rsid w:val="00E83AFD"/>
    <w:rsid w:val="00E844C3"/>
    <w:rsid w:val="00E845F8"/>
    <w:rsid w:val="00E846DB"/>
    <w:rsid w:val="00E85157"/>
    <w:rsid w:val="00E863AA"/>
    <w:rsid w:val="00E86555"/>
    <w:rsid w:val="00E86608"/>
    <w:rsid w:val="00E8695C"/>
    <w:rsid w:val="00E86FEA"/>
    <w:rsid w:val="00E87559"/>
    <w:rsid w:val="00E87DDD"/>
    <w:rsid w:val="00E9006C"/>
    <w:rsid w:val="00E9023B"/>
    <w:rsid w:val="00E9047A"/>
    <w:rsid w:val="00E90609"/>
    <w:rsid w:val="00E913B3"/>
    <w:rsid w:val="00E918B7"/>
    <w:rsid w:val="00E92565"/>
    <w:rsid w:val="00E9260C"/>
    <w:rsid w:val="00E9266C"/>
    <w:rsid w:val="00E932D1"/>
    <w:rsid w:val="00E93C7E"/>
    <w:rsid w:val="00E93EB9"/>
    <w:rsid w:val="00E94DAA"/>
    <w:rsid w:val="00E9526E"/>
    <w:rsid w:val="00E96468"/>
    <w:rsid w:val="00E96F68"/>
    <w:rsid w:val="00E970D7"/>
    <w:rsid w:val="00E972EE"/>
    <w:rsid w:val="00E978CC"/>
    <w:rsid w:val="00E97B84"/>
    <w:rsid w:val="00E97F38"/>
    <w:rsid w:val="00EA0289"/>
    <w:rsid w:val="00EA0FCE"/>
    <w:rsid w:val="00EA18A8"/>
    <w:rsid w:val="00EA1FE5"/>
    <w:rsid w:val="00EA2142"/>
    <w:rsid w:val="00EA2D29"/>
    <w:rsid w:val="00EA3749"/>
    <w:rsid w:val="00EA3CF5"/>
    <w:rsid w:val="00EA4BB6"/>
    <w:rsid w:val="00EA59B0"/>
    <w:rsid w:val="00EA6094"/>
    <w:rsid w:val="00EA6224"/>
    <w:rsid w:val="00EA6D93"/>
    <w:rsid w:val="00EA70F7"/>
    <w:rsid w:val="00EA7446"/>
    <w:rsid w:val="00EB004D"/>
    <w:rsid w:val="00EB0146"/>
    <w:rsid w:val="00EB02C1"/>
    <w:rsid w:val="00EB0322"/>
    <w:rsid w:val="00EB05F5"/>
    <w:rsid w:val="00EB0ACA"/>
    <w:rsid w:val="00EB126D"/>
    <w:rsid w:val="00EB153B"/>
    <w:rsid w:val="00EB159C"/>
    <w:rsid w:val="00EB1BE8"/>
    <w:rsid w:val="00EB2D5C"/>
    <w:rsid w:val="00EB3802"/>
    <w:rsid w:val="00EB3EAF"/>
    <w:rsid w:val="00EB46FA"/>
    <w:rsid w:val="00EB48F6"/>
    <w:rsid w:val="00EB4BEB"/>
    <w:rsid w:val="00EB5287"/>
    <w:rsid w:val="00EB6405"/>
    <w:rsid w:val="00EB6587"/>
    <w:rsid w:val="00EB66AC"/>
    <w:rsid w:val="00EB69B4"/>
    <w:rsid w:val="00EB7059"/>
    <w:rsid w:val="00EB7932"/>
    <w:rsid w:val="00EB7E38"/>
    <w:rsid w:val="00EC0214"/>
    <w:rsid w:val="00EC05BA"/>
    <w:rsid w:val="00EC178C"/>
    <w:rsid w:val="00EC17E3"/>
    <w:rsid w:val="00EC1A16"/>
    <w:rsid w:val="00EC1D75"/>
    <w:rsid w:val="00EC20DA"/>
    <w:rsid w:val="00EC2127"/>
    <w:rsid w:val="00EC238B"/>
    <w:rsid w:val="00EC3117"/>
    <w:rsid w:val="00EC3329"/>
    <w:rsid w:val="00EC3C44"/>
    <w:rsid w:val="00EC478C"/>
    <w:rsid w:val="00EC517B"/>
    <w:rsid w:val="00EC5B0D"/>
    <w:rsid w:val="00EC6364"/>
    <w:rsid w:val="00EC7114"/>
    <w:rsid w:val="00EC7D15"/>
    <w:rsid w:val="00EC7DAA"/>
    <w:rsid w:val="00EC7DB0"/>
    <w:rsid w:val="00EC7EDB"/>
    <w:rsid w:val="00ED024A"/>
    <w:rsid w:val="00ED12B0"/>
    <w:rsid w:val="00ED1F83"/>
    <w:rsid w:val="00ED213F"/>
    <w:rsid w:val="00ED2540"/>
    <w:rsid w:val="00ED2DB8"/>
    <w:rsid w:val="00ED379B"/>
    <w:rsid w:val="00ED45E3"/>
    <w:rsid w:val="00ED4783"/>
    <w:rsid w:val="00ED49B3"/>
    <w:rsid w:val="00ED51DE"/>
    <w:rsid w:val="00ED53CB"/>
    <w:rsid w:val="00ED54B4"/>
    <w:rsid w:val="00ED5993"/>
    <w:rsid w:val="00ED5A24"/>
    <w:rsid w:val="00ED6222"/>
    <w:rsid w:val="00ED6F3C"/>
    <w:rsid w:val="00ED74B3"/>
    <w:rsid w:val="00ED74C3"/>
    <w:rsid w:val="00ED79B4"/>
    <w:rsid w:val="00ED7E44"/>
    <w:rsid w:val="00EE0A57"/>
    <w:rsid w:val="00EE0C9C"/>
    <w:rsid w:val="00EE1B4A"/>
    <w:rsid w:val="00EE1C17"/>
    <w:rsid w:val="00EE1D56"/>
    <w:rsid w:val="00EE235A"/>
    <w:rsid w:val="00EE294E"/>
    <w:rsid w:val="00EE35B8"/>
    <w:rsid w:val="00EE3EC0"/>
    <w:rsid w:val="00EE427C"/>
    <w:rsid w:val="00EE4392"/>
    <w:rsid w:val="00EE43C1"/>
    <w:rsid w:val="00EE4B3F"/>
    <w:rsid w:val="00EE4DCC"/>
    <w:rsid w:val="00EE5425"/>
    <w:rsid w:val="00EE5BB3"/>
    <w:rsid w:val="00EE715D"/>
    <w:rsid w:val="00EE7273"/>
    <w:rsid w:val="00EE74FC"/>
    <w:rsid w:val="00EE7916"/>
    <w:rsid w:val="00EE793A"/>
    <w:rsid w:val="00EE7A69"/>
    <w:rsid w:val="00EE7C99"/>
    <w:rsid w:val="00EF0A64"/>
    <w:rsid w:val="00EF132F"/>
    <w:rsid w:val="00EF1392"/>
    <w:rsid w:val="00EF19D9"/>
    <w:rsid w:val="00EF2467"/>
    <w:rsid w:val="00EF4844"/>
    <w:rsid w:val="00EF4853"/>
    <w:rsid w:val="00EF4A5A"/>
    <w:rsid w:val="00EF4E5E"/>
    <w:rsid w:val="00EF5667"/>
    <w:rsid w:val="00EF5D5A"/>
    <w:rsid w:val="00EF5D5C"/>
    <w:rsid w:val="00EF6786"/>
    <w:rsid w:val="00EF6D04"/>
    <w:rsid w:val="00EF6D93"/>
    <w:rsid w:val="00EF6EEB"/>
    <w:rsid w:val="00EF760F"/>
    <w:rsid w:val="00EF7671"/>
    <w:rsid w:val="00EF77F0"/>
    <w:rsid w:val="00F00002"/>
    <w:rsid w:val="00F003C1"/>
    <w:rsid w:val="00F00918"/>
    <w:rsid w:val="00F009C1"/>
    <w:rsid w:val="00F00EA8"/>
    <w:rsid w:val="00F011DB"/>
    <w:rsid w:val="00F01A4D"/>
    <w:rsid w:val="00F01EB1"/>
    <w:rsid w:val="00F021AC"/>
    <w:rsid w:val="00F0223F"/>
    <w:rsid w:val="00F029BC"/>
    <w:rsid w:val="00F02BBD"/>
    <w:rsid w:val="00F02C66"/>
    <w:rsid w:val="00F031F5"/>
    <w:rsid w:val="00F036A3"/>
    <w:rsid w:val="00F0373C"/>
    <w:rsid w:val="00F03B42"/>
    <w:rsid w:val="00F04921"/>
    <w:rsid w:val="00F05D9F"/>
    <w:rsid w:val="00F06854"/>
    <w:rsid w:val="00F07604"/>
    <w:rsid w:val="00F07613"/>
    <w:rsid w:val="00F0767F"/>
    <w:rsid w:val="00F0785A"/>
    <w:rsid w:val="00F078EC"/>
    <w:rsid w:val="00F07B9B"/>
    <w:rsid w:val="00F07C18"/>
    <w:rsid w:val="00F11356"/>
    <w:rsid w:val="00F116D0"/>
    <w:rsid w:val="00F11778"/>
    <w:rsid w:val="00F12629"/>
    <w:rsid w:val="00F12B69"/>
    <w:rsid w:val="00F1308B"/>
    <w:rsid w:val="00F143DE"/>
    <w:rsid w:val="00F1440B"/>
    <w:rsid w:val="00F14777"/>
    <w:rsid w:val="00F147E6"/>
    <w:rsid w:val="00F14FD5"/>
    <w:rsid w:val="00F15E67"/>
    <w:rsid w:val="00F15EFD"/>
    <w:rsid w:val="00F15EFE"/>
    <w:rsid w:val="00F164DE"/>
    <w:rsid w:val="00F16634"/>
    <w:rsid w:val="00F1730F"/>
    <w:rsid w:val="00F178D2"/>
    <w:rsid w:val="00F17A79"/>
    <w:rsid w:val="00F17C66"/>
    <w:rsid w:val="00F202DD"/>
    <w:rsid w:val="00F20C34"/>
    <w:rsid w:val="00F21609"/>
    <w:rsid w:val="00F21A45"/>
    <w:rsid w:val="00F21B53"/>
    <w:rsid w:val="00F2201B"/>
    <w:rsid w:val="00F22343"/>
    <w:rsid w:val="00F22404"/>
    <w:rsid w:val="00F226B6"/>
    <w:rsid w:val="00F22D6E"/>
    <w:rsid w:val="00F236D5"/>
    <w:rsid w:val="00F238EF"/>
    <w:rsid w:val="00F24B8E"/>
    <w:rsid w:val="00F24D6A"/>
    <w:rsid w:val="00F2574A"/>
    <w:rsid w:val="00F25763"/>
    <w:rsid w:val="00F2594A"/>
    <w:rsid w:val="00F25CA3"/>
    <w:rsid w:val="00F25FC7"/>
    <w:rsid w:val="00F2630A"/>
    <w:rsid w:val="00F263AD"/>
    <w:rsid w:val="00F264B8"/>
    <w:rsid w:val="00F26A5A"/>
    <w:rsid w:val="00F26D06"/>
    <w:rsid w:val="00F26D38"/>
    <w:rsid w:val="00F3040E"/>
    <w:rsid w:val="00F304A8"/>
    <w:rsid w:val="00F309CA"/>
    <w:rsid w:val="00F30B91"/>
    <w:rsid w:val="00F30F5D"/>
    <w:rsid w:val="00F31206"/>
    <w:rsid w:val="00F3173A"/>
    <w:rsid w:val="00F31861"/>
    <w:rsid w:val="00F32088"/>
    <w:rsid w:val="00F32913"/>
    <w:rsid w:val="00F32A66"/>
    <w:rsid w:val="00F350C6"/>
    <w:rsid w:val="00F366FB"/>
    <w:rsid w:val="00F36C9F"/>
    <w:rsid w:val="00F375F4"/>
    <w:rsid w:val="00F378A6"/>
    <w:rsid w:val="00F3796D"/>
    <w:rsid w:val="00F40202"/>
    <w:rsid w:val="00F40BE9"/>
    <w:rsid w:val="00F411C1"/>
    <w:rsid w:val="00F4123C"/>
    <w:rsid w:val="00F4131E"/>
    <w:rsid w:val="00F42164"/>
    <w:rsid w:val="00F42AC0"/>
    <w:rsid w:val="00F43DD0"/>
    <w:rsid w:val="00F44203"/>
    <w:rsid w:val="00F445FF"/>
    <w:rsid w:val="00F4463B"/>
    <w:rsid w:val="00F451D4"/>
    <w:rsid w:val="00F4541A"/>
    <w:rsid w:val="00F45BD4"/>
    <w:rsid w:val="00F45EDF"/>
    <w:rsid w:val="00F46184"/>
    <w:rsid w:val="00F4625D"/>
    <w:rsid w:val="00F4638F"/>
    <w:rsid w:val="00F468E9"/>
    <w:rsid w:val="00F473D8"/>
    <w:rsid w:val="00F47788"/>
    <w:rsid w:val="00F47849"/>
    <w:rsid w:val="00F50BA3"/>
    <w:rsid w:val="00F51106"/>
    <w:rsid w:val="00F514E3"/>
    <w:rsid w:val="00F51A14"/>
    <w:rsid w:val="00F521AA"/>
    <w:rsid w:val="00F52501"/>
    <w:rsid w:val="00F52838"/>
    <w:rsid w:val="00F53B78"/>
    <w:rsid w:val="00F54251"/>
    <w:rsid w:val="00F5455E"/>
    <w:rsid w:val="00F547A4"/>
    <w:rsid w:val="00F54897"/>
    <w:rsid w:val="00F54D38"/>
    <w:rsid w:val="00F55082"/>
    <w:rsid w:val="00F553BF"/>
    <w:rsid w:val="00F55EAA"/>
    <w:rsid w:val="00F5629A"/>
    <w:rsid w:val="00F562A2"/>
    <w:rsid w:val="00F57054"/>
    <w:rsid w:val="00F571DB"/>
    <w:rsid w:val="00F572FE"/>
    <w:rsid w:val="00F5774F"/>
    <w:rsid w:val="00F579D5"/>
    <w:rsid w:val="00F57E50"/>
    <w:rsid w:val="00F57F20"/>
    <w:rsid w:val="00F60617"/>
    <w:rsid w:val="00F60639"/>
    <w:rsid w:val="00F60F0A"/>
    <w:rsid w:val="00F6140D"/>
    <w:rsid w:val="00F61C2B"/>
    <w:rsid w:val="00F62348"/>
    <w:rsid w:val="00F625E6"/>
    <w:rsid w:val="00F62660"/>
    <w:rsid w:val="00F62FEE"/>
    <w:rsid w:val="00F630ED"/>
    <w:rsid w:val="00F6367D"/>
    <w:rsid w:val="00F6436A"/>
    <w:rsid w:val="00F6480B"/>
    <w:rsid w:val="00F64A00"/>
    <w:rsid w:val="00F64B26"/>
    <w:rsid w:val="00F64BC9"/>
    <w:rsid w:val="00F651FB"/>
    <w:rsid w:val="00F655F5"/>
    <w:rsid w:val="00F65A67"/>
    <w:rsid w:val="00F66042"/>
    <w:rsid w:val="00F663E4"/>
    <w:rsid w:val="00F66822"/>
    <w:rsid w:val="00F66A6E"/>
    <w:rsid w:val="00F66D44"/>
    <w:rsid w:val="00F674DA"/>
    <w:rsid w:val="00F67D3F"/>
    <w:rsid w:val="00F700D8"/>
    <w:rsid w:val="00F708F1"/>
    <w:rsid w:val="00F70FDD"/>
    <w:rsid w:val="00F715E5"/>
    <w:rsid w:val="00F729F1"/>
    <w:rsid w:val="00F72B73"/>
    <w:rsid w:val="00F73BCF"/>
    <w:rsid w:val="00F752A2"/>
    <w:rsid w:val="00F75776"/>
    <w:rsid w:val="00F75AC3"/>
    <w:rsid w:val="00F75ADB"/>
    <w:rsid w:val="00F75EF5"/>
    <w:rsid w:val="00F76363"/>
    <w:rsid w:val="00F7685D"/>
    <w:rsid w:val="00F76C6C"/>
    <w:rsid w:val="00F76D4A"/>
    <w:rsid w:val="00F77119"/>
    <w:rsid w:val="00F77E63"/>
    <w:rsid w:val="00F8037E"/>
    <w:rsid w:val="00F803B7"/>
    <w:rsid w:val="00F806C9"/>
    <w:rsid w:val="00F807F7"/>
    <w:rsid w:val="00F816F6"/>
    <w:rsid w:val="00F838A8"/>
    <w:rsid w:val="00F83A8A"/>
    <w:rsid w:val="00F84A5A"/>
    <w:rsid w:val="00F85A9D"/>
    <w:rsid w:val="00F85B83"/>
    <w:rsid w:val="00F860D8"/>
    <w:rsid w:val="00F86914"/>
    <w:rsid w:val="00F86B73"/>
    <w:rsid w:val="00F870BF"/>
    <w:rsid w:val="00F8754B"/>
    <w:rsid w:val="00F90377"/>
    <w:rsid w:val="00F90ADE"/>
    <w:rsid w:val="00F9176D"/>
    <w:rsid w:val="00F91D3B"/>
    <w:rsid w:val="00F91D8E"/>
    <w:rsid w:val="00F923B9"/>
    <w:rsid w:val="00F927E3"/>
    <w:rsid w:val="00F92F2C"/>
    <w:rsid w:val="00F934BB"/>
    <w:rsid w:val="00F939B6"/>
    <w:rsid w:val="00F93EC8"/>
    <w:rsid w:val="00F9440D"/>
    <w:rsid w:val="00F94A68"/>
    <w:rsid w:val="00F94BC8"/>
    <w:rsid w:val="00F9640C"/>
    <w:rsid w:val="00F97B70"/>
    <w:rsid w:val="00F97BCC"/>
    <w:rsid w:val="00FA057A"/>
    <w:rsid w:val="00FA0665"/>
    <w:rsid w:val="00FA189A"/>
    <w:rsid w:val="00FA1A50"/>
    <w:rsid w:val="00FA1D9A"/>
    <w:rsid w:val="00FA1F76"/>
    <w:rsid w:val="00FA26F8"/>
    <w:rsid w:val="00FA276F"/>
    <w:rsid w:val="00FA3509"/>
    <w:rsid w:val="00FA357D"/>
    <w:rsid w:val="00FA3AE6"/>
    <w:rsid w:val="00FA3E60"/>
    <w:rsid w:val="00FA3EC1"/>
    <w:rsid w:val="00FA40E6"/>
    <w:rsid w:val="00FA4628"/>
    <w:rsid w:val="00FA49E0"/>
    <w:rsid w:val="00FA5819"/>
    <w:rsid w:val="00FA5C9E"/>
    <w:rsid w:val="00FA6F3D"/>
    <w:rsid w:val="00FA77FB"/>
    <w:rsid w:val="00FB016A"/>
    <w:rsid w:val="00FB055C"/>
    <w:rsid w:val="00FB0D77"/>
    <w:rsid w:val="00FB0D91"/>
    <w:rsid w:val="00FB0E86"/>
    <w:rsid w:val="00FB0F89"/>
    <w:rsid w:val="00FB274B"/>
    <w:rsid w:val="00FB39F2"/>
    <w:rsid w:val="00FB5AFD"/>
    <w:rsid w:val="00FB5B5B"/>
    <w:rsid w:val="00FB5D5B"/>
    <w:rsid w:val="00FB6CE2"/>
    <w:rsid w:val="00FB7A8F"/>
    <w:rsid w:val="00FC01EC"/>
    <w:rsid w:val="00FC051A"/>
    <w:rsid w:val="00FC1402"/>
    <w:rsid w:val="00FC15F6"/>
    <w:rsid w:val="00FC194F"/>
    <w:rsid w:val="00FC1B18"/>
    <w:rsid w:val="00FC2295"/>
    <w:rsid w:val="00FC29D5"/>
    <w:rsid w:val="00FC35FA"/>
    <w:rsid w:val="00FC370E"/>
    <w:rsid w:val="00FC3D4C"/>
    <w:rsid w:val="00FC40E0"/>
    <w:rsid w:val="00FC4846"/>
    <w:rsid w:val="00FC5486"/>
    <w:rsid w:val="00FC58D3"/>
    <w:rsid w:val="00FC7770"/>
    <w:rsid w:val="00FC7F65"/>
    <w:rsid w:val="00FD0D3F"/>
    <w:rsid w:val="00FD1298"/>
    <w:rsid w:val="00FD1CCA"/>
    <w:rsid w:val="00FD277B"/>
    <w:rsid w:val="00FD2CBA"/>
    <w:rsid w:val="00FD362E"/>
    <w:rsid w:val="00FD3816"/>
    <w:rsid w:val="00FD3AEE"/>
    <w:rsid w:val="00FD4281"/>
    <w:rsid w:val="00FD5DF2"/>
    <w:rsid w:val="00FD5E9E"/>
    <w:rsid w:val="00FD675A"/>
    <w:rsid w:val="00FD6EA3"/>
    <w:rsid w:val="00FD7514"/>
    <w:rsid w:val="00FD77A4"/>
    <w:rsid w:val="00FE0940"/>
    <w:rsid w:val="00FE0E36"/>
    <w:rsid w:val="00FE1A57"/>
    <w:rsid w:val="00FE28C4"/>
    <w:rsid w:val="00FE34DC"/>
    <w:rsid w:val="00FE354B"/>
    <w:rsid w:val="00FE37E9"/>
    <w:rsid w:val="00FE3D93"/>
    <w:rsid w:val="00FE44CB"/>
    <w:rsid w:val="00FE45BD"/>
    <w:rsid w:val="00FE4D06"/>
    <w:rsid w:val="00FE6632"/>
    <w:rsid w:val="00FE66ED"/>
    <w:rsid w:val="00FE6C64"/>
    <w:rsid w:val="00FE76FA"/>
    <w:rsid w:val="00FE77D3"/>
    <w:rsid w:val="00FF02F7"/>
    <w:rsid w:val="00FF1329"/>
    <w:rsid w:val="00FF1643"/>
    <w:rsid w:val="00FF1B15"/>
    <w:rsid w:val="00FF1CE1"/>
    <w:rsid w:val="00FF1E0B"/>
    <w:rsid w:val="00FF2021"/>
    <w:rsid w:val="00FF24A7"/>
    <w:rsid w:val="00FF2948"/>
    <w:rsid w:val="00FF2A25"/>
    <w:rsid w:val="00FF2F44"/>
    <w:rsid w:val="00FF352D"/>
    <w:rsid w:val="00FF360F"/>
    <w:rsid w:val="00FF3965"/>
    <w:rsid w:val="00FF396F"/>
    <w:rsid w:val="00FF3AA1"/>
    <w:rsid w:val="00FF4397"/>
    <w:rsid w:val="00FF463E"/>
    <w:rsid w:val="00FF4BAF"/>
    <w:rsid w:val="00FF4ED3"/>
    <w:rsid w:val="00FF537D"/>
    <w:rsid w:val="00FF64E9"/>
    <w:rsid w:val="00FF7965"/>
    <w:rsid w:val="00FF799E"/>
    <w:rsid w:val="00FF7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F0C7BA"/>
  <w15:docId w15:val="{5C38F308-BB05-4B04-8ECA-287828C8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E15"/>
    <w:rPr>
      <w:sz w:val="24"/>
      <w:szCs w:val="24"/>
      <w:lang w:val="bg-BG"/>
    </w:rPr>
  </w:style>
  <w:style w:type="paragraph" w:styleId="Heading1">
    <w:name w:val="heading 1"/>
    <w:basedOn w:val="Normal"/>
    <w:next w:val="Normal"/>
    <w:link w:val="Heading1Char"/>
    <w:qFormat/>
    <w:rsid w:val="00063E15"/>
    <w:pPr>
      <w:keepNext/>
      <w:jc w:val="center"/>
      <w:outlineLvl w:val="0"/>
    </w:pPr>
    <w:rPr>
      <w:b/>
      <w:bCs/>
      <w:sz w:val="28"/>
    </w:rPr>
  </w:style>
  <w:style w:type="paragraph" w:styleId="Heading2">
    <w:name w:val="heading 2"/>
    <w:basedOn w:val="Normal"/>
    <w:next w:val="Normal"/>
    <w:qFormat/>
    <w:rsid w:val="00C26FED"/>
    <w:pPr>
      <w:keepNext/>
      <w:spacing w:before="240" w:after="60"/>
      <w:outlineLvl w:val="1"/>
    </w:pPr>
    <w:rPr>
      <w:rFonts w:ascii="Arial" w:hAnsi="Arial" w:cs="Arial"/>
      <w:b/>
      <w:bCs/>
      <w:i/>
      <w:iCs/>
      <w:sz w:val="28"/>
      <w:szCs w:val="28"/>
    </w:rPr>
  </w:style>
  <w:style w:type="paragraph" w:styleId="Heading3">
    <w:name w:val="heading 3"/>
    <w:basedOn w:val="Normal"/>
    <w:next w:val="Normal"/>
    <w:uiPriority w:val="99"/>
    <w:qFormat/>
    <w:rsid w:val="002623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3E15"/>
    <w:pPr>
      <w:jc w:val="center"/>
    </w:pPr>
    <w:rPr>
      <w:b/>
      <w:szCs w:val="20"/>
    </w:rPr>
  </w:style>
  <w:style w:type="paragraph" w:customStyle="1" w:styleId="ParagraphNumbering">
    <w:name w:val="Paragraph Numbering"/>
    <w:basedOn w:val="Normal"/>
    <w:rsid w:val="0028159B"/>
    <w:pPr>
      <w:numPr>
        <w:numId w:val="1"/>
      </w:numPr>
      <w:spacing w:after="240"/>
    </w:pPr>
    <w:rPr>
      <w:lang w:val="en-US"/>
    </w:rPr>
  </w:style>
  <w:style w:type="paragraph" w:styleId="FootnoteText">
    <w:name w:val="footnote text"/>
    <w:aliases w:val="Fußnotentext arial"/>
    <w:basedOn w:val="Normal"/>
    <w:link w:val="FootnoteTextChar"/>
    <w:uiPriority w:val="99"/>
    <w:semiHidden/>
    <w:rsid w:val="003459AC"/>
    <w:rPr>
      <w:sz w:val="20"/>
      <w:szCs w:val="20"/>
      <w:lang w:val="en-US"/>
    </w:rPr>
  </w:style>
  <w:style w:type="character" w:styleId="FootnoteReference">
    <w:name w:val="footnote reference"/>
    <w:aliases w:val="Footnote,Footnote symbol,SUPERS,BVI fnr,Footnote reference number,Times 10 Point,Exposant 3 Point,Ref,de nota al pie,note TESI,EN Footnote text,EN Footnote Reference,Footnote Reference Number,E FNZ,Appel note de bas de p,Nota,BVI fnr1"/>
    <w:uiPriority w:val="99"/>
    <w:rsid w:val="003459AC"/>
    <w:rPr>
      <w:vertAlign w:val="superscript"/>
    </w:rPr>
  </w:style>
  <w:style w:type="paragraph" w:styleId="BodyText">
    <w:name w:val="Body Text"/>
    <w:basedOn w:val="Normal"/>
    <w:link w:val="BodyTextChar"/>
    <w:rsid w:val="003459AC"/>
    <w:pPr>
      <w:jc w:val="both"/>
    </w:pPr>
  </w:style>
  <w:style w:type="paragraph" w:styleId="BodyTextIndent">
    <w:name w:val="Body Text Indent"/>
    <w:basedOn w:val="Normal"/>
    <w:link w:val="BodyTextIndentChar"/>
    <w:uiPriority w:val="99"/>
    <w:rsid w:val="003459AC"/>
    <w:pPr>
      <w:spacing w:after="120"/>
      <w:ind w:left="283"/>
    </w:pPr>
  </w:style>
  <w:style w:type="paragraph" w:styleId="BodyText2">
    <w:name w:val="Body Text 2"/>
    <w:basedOn w:val="Normal"/>
    <w:link w:val="BodyText2Char"/>
    <w:rsid w:val="003459AC"/>
    <w:pPr>
      <w:spacing w:after="120" w:line="480" w:lineRule="auto"/>
    </w:pPr>
  </w:style>
  <w:style w:type="paragraph" w:styleId="BlockText">
    <w:name w:val="Block Text"/>
    <w:basedOn w:val="Normal"/>
    <w:rsid w:val="003459AC"/>
    <w:pPr>
      <w:ind w:left="720" w:right="1106"/>
    </w:pPr>
    <w:rPr>
      <w:b/>
      <w:bCs/>
    </w:rPr>
  </w:style>
  <w:style w:type="table" w:styleId="TableGrid">
    <w:name w:val="Table Grid"/>
    <w:basedOn w:val="TableNormal"/>
    <w:rsid w:val="00345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eader Char,Header Char1 Char,Header Char Char Char,Header Char3 Char Char Char,Header Char1 Char Char Char Char1 Char,Header Char Char Char Char Char Char1 Char,Header Char2 Char1 Char Char Char"/>
    <w:basedOn w:val="Normal"/>
    <w:link w:val="HeaderChar1"/>
    <w:rsid w:val="001D40DA"/>
    <w:pPr>
      <w:tabs>
        <w:tab w:val="center" w:pos="4153"/>
        <w:tab w:val="right" w:pos="8306"/>
      </w:tabs>
    </w:pPr>
    <w:rPr>
      <w:lang w:eastAsia="bg-BG"/>
    </w:rPr>
  </w:style>
  <w:style w:type="paragraph" w:styleId="BodyText3">
    <w:name w:val="Body Text 3"/>
    <w:basedOn w:val="Normal"/>
    <w:rsid w:val="00262391"/>
    <w:pPr>
      <w:spacing w:after="120"/>
    </w:pPr>
    <w:rPr>
      <w:sz w:val="16"/>
      <w:szCs w:val="16"/>
    </w:rPr>
  </w:style>
  <w:style w:type="paragraph" w:styleId="Footer">
    <w:name w:val="footer"/>
    <w:basedOn w:val="Normal"/>
    <w:rsid w:val="00A74112"/>
    <w:pPr>
      <w:tabs>
        <w:tab w:val="center" w:pos="4536"/>
        <w:tab w:val="right" w:pos="9072"/>
      </w:tabs>
    </w:pPr>
  </w:style>
  <w:style w:type="character" w:styleId="PageNumber">
    <w:name w:val="page number"/>
    <w:basedOn w:val="DefaultParagraphFont"/>
    <w:rsid w:val="00A74112"/>
  </w:style>
  <w:style w:type="paragraph" w:customStyle="1" w:styleId="CharChar3CharChar">
    <w:name w:val="Char Char3 Char Char"/>
    <w:basedOn w:val="Normal"/>
    <w:semiHidden/>
    <w:rsid w:val="00EE4B3F"/>
    <w:pPr>
      <w:tabs>
        <w:tab w:val="left" w:pos="709"/>
      </w:tabs>
    </w:pPr>
    <w:rPr>
      <w:rFonts w:ascii="Futura Bk" w:hAnsi="Futura Bk"/>
      <w:lang w:val="pl-PL" w:eastAsia="pl-PL"/>
    </w:rPr>
  </w:style>
  <w:style w:type="paragraph" w:customStyle="1" w:styleId="CharCharCharChar">
    <w:name w:val="Char Char Char Char"/>
    <w:basedOn w:val="Normal"/>
    <w:rsid w:val="00A14560"/>
    <w:pPr>
      <w:spacing w:after="160" w:line="240" w:lineRule="exact"/>
    </w:pPr>
    <w:rPr>
      <w:rFonts w:ascii="Tahoma" w:hAnsi="Tahoma"/>
      <w:sz w:val="20"/>
      <w:szCs w:val="20"/>
      <w:lang w:val="en-US"/>
    </w:rPr>
  </w:style>
  <w:style w:type="paragraph" w:styleId="BodyTextIndent2">
    <w:name w:val="Body Text Indent 2"/>
    <w:basedOn w:val="Normal"/>
    <w:rsid w:val="00C32154"/>
    <w:pPr>
      <w:spacing w:after="120" w:line="480" w:lineRule="auto"/>
      <w:ind w:left="283"/>
    </w:pPr>
  </w:style>
  <w:style w:type="paragraph" w:styleId="BalloonText">
    <w:name w:val="Balloon Text"/>
    <w:basedOn w:val="Normal"/>
    <w:link w:val="BalloonTextChar"/>
    <w:semiHidden/>
    <w:rsid w:val="00144BF2"/>
    <w:rPr>
      <w:rFonts w:ascii="Tahoma" w:hAnsi="Tahoma" w:cs="Tahoma"/>
      <w:sz w:val="16"/>
      <w:szCs w:val="16"/>
    </w:rPr>
  </w:style>
  <w:style w:type="paragraph" w:styleId="EndnoteText">
    <w:name w:val="endnote text"/>
    <w:basedOn w:val="Normal"/>
    <w:semiHidden/>
    <w:rsid w:val="00F870BF"/>
    <w:rPr>
      <w:sz w:val="20"/>
      <w:szCs w:val="20"/>
    </w:rPr>
  </w:style>
  <w:style w:type="character" w:styleId="EndnoteReference">
    <w:name w:val="endnote reference"/>
    <w:semiHidden/>
    <w:rsid w:val="00F870BF"/>
    <w:rPr>
      <w:vertAlign w:val="superscript"/>
    </w:rPr>
  </w:style>
  <w:style w:type="character" w:styleId="CommentReference">
    <w:name w:val="annotation reference"/>
    <w:uiPriority w:val="99"/>
    <w:semiHidden/>
    <w:rsid w:val="00A252C3"/>
    <w:rPr>
      <w:sz w:val="16"/>
      <w:szCs w:val="16"/>
    </w:rPr>
  </w:style>
  <w:style w:type="paragraph" w:styleId="CommentText">
    <w:name w:val="annotation text"/>
    <w:basedOn w:val="Normal"/>
    <w:link w:val="CommentTextChar"/>
    <w:uiPriority w:val="99"/>
    <w:semiHidden/>
    <w:rsid w:val="00A252C3"/>
    <w:rPr>
      <w:sz w:val="20"/>
      <w:szCs w:val="20"/>
    </w:rPr>
  </w:style>
  <w:style w:type="character" w:customStyle="1" w:styleId="HeaderChar1">
    <w:name w:val="Header Char1"/>
    <w:aliases w:val="Header Char Char,Header Char1 Char Char,Header Char Char Char Char,Header Char3 Char Char Char Char,Header Char1 Char Char Char Char1 Char Char,Header Char Char Char Char Char Char1 Char Char,Header Char2 Char1 Char Char Char Char"/>
    <w:link w:val="Header"/>
    <w:rsid w:val="00166023"/>
    <w:rPr>
      <w:sz w:val="24"/>
      <w:szCs w:val="24"/>
      <w:lang w:val="bg-BG" w:eastAsia="bg-BG" w:bidi="ar-SA"/>
    </w:rPr>
  </w:style>
  <w:style w:type="paragraph" w:customStyle="1" w:styleId="Char1">
    <w:name w:val="Char1"/>
    <w:basedOn w:val="Normal"/>
    <w:semiHidden/>
    <w:rsid w:val="008138E4"/>
    <w:pPr>
      <w:tabs>
        <w:tab w:val="left" w:pos="709"/>
      </w:tabs>
    </w:pPr>
    <w:rPr>
      <w:rFonts w:ascii="Futura Bk" w:hAnsi="Futura Bk"/>
      <w:lang w:val="pl-PL" w:eastAsia="pl-PL"/>
    </w:rPr>
  </w:style>
  <w:style w:type="paragraph" w:customStyle="1" w:styleId="default">
    <w:name w:val="default"/>
    <w:basedOn w:val="Normal"/>
    <w:rsid w:val="003C14B1"/>
    <w:pPr>
      <w:spacing w:before="100" w:beforeAutospacing="1" w:after="100" w:afterAutospacing="1"/>
    </w:pPr>
    <w:rPr>
      <w:lang w:eastAsia="bg-BG"/>
    </w:rPr>
  </w:style>
  <w:style w:type="character" w:styleId="Strong">
    <w:name w:val="Strong"/>
    <w:uiPriority w:val="99"/>
    <w:qFormat/>
    <w:rsid w:val="003E37A0"/>
    <w:rPr>
      <w:b/>
      <w:bCs/>
    </w:rPr>
  </w:style>
  <w:style w:type="character" w:customStyle="1" w:styleId="BalloonTextChar">
    <w:name w:val="Balloon Text Char"/>
    <w:link w:val="BalloonText"/>
    <w:semiHidden/>
    <w:locked/>
    <w:rsid w:val="00DD1EFE"/>
    <w:rPr>
      <w:rFonts w:ascii="Tahoma" w:hAnsi="Tahoma" w:cs="Tahoma"/>
      <w:sz w:val="16"/>
      <w:szCs w:val="16"/>
      <w:lang w:val="en-GB" w:eastAsia="en-US" w:bidi="ar-SA"/>
    </w:rPr>
  </w:style>
  <w:style w:type="paragraph" w:customStyle="1" w:styleId="Default0">
    <w:name w:val="Default"/>
    <w:rsid w:val="00DD1EFE"/>
    <w:pPr>
      <w:autoSpaceDE w:val="0"/>
      <w:autoSpaceDN w:val="0"/>
      <w:adjustRightInd w:val="0"/>
    </w:pPr>
    <w:rPr>
      <w:rFonts w:ascii="Calibri" w:hAnsi="Calibri" w:cs="Calibri"/>
      <w:color w:val="000000"/>
      <w:sz w:val="24"/>
      <w:szCs w:val="24"/>
      <w:lang w:val="bg-BG"/>
    </w:rPr>
  </w:style>
  <w:style w:type="character" w:customStyle="1" w:styleId="FootnoteTextChar">
    <w:name w:val="Footnote Text Char"/>
    <w:aliases w:val="Fußnotentext arial Char"/>
    <w:link w:val="FootnoteText"/>
    <w:uiPriority w:val="99"/>
    <w:rsid w:val="009A3FA1"/>
    <w:rPr>
      <w:lang w:val="en-US" w:eastAsia="en-US" w:bidi="ar-SA"/>
    </w:rPr>
  </w:style>
  <w:style w:type="paragraph" w:customStyle="1" w:styleId="CharCharCharChar1">
    <w:name w:val="Char Char Char Char1"/>
    <w:basedOn w:val="Normal"/>
    <w:semiHidden/>
    <w:rsid w:val="00B20BB9"/>
    <w:pPr>
      <w:tabs>
        <w:tab w:val="left" w:pos="709"/>
      </w:tabs>
    </w:pPr>
    <w:rPr>
      <w:rFonts w:ascii="Futura Bk" w:hAnsi="Futura Bk"/>
      <w:lang w:val="pl-PL" w:eastAsia="pl-PL"/>
    </w:rPr>
  </w:style>
  <w:style w:type="character" w:customStyle="1" w:styleId="BodyText2Char">
    <w:name w:val="Body Text 2 Char"/>
    <w:link w:val="BodyText2"/>
    <w:locked/>
    <w:rsid w:val="002D5811"/>
    <w:rPr>
      <w:sz w:val="24"/>
      <w:szCs w:val="24"/>
      <w:lang w:val="en-GB" w:eastAsia="en-US" w:bidi="ar-SA"/>
    </w:rPr>
  </w:style>
  <w:style w:type="character" w:styleId="Hyperlink">
    <w:name w:val="Hyperlink"/>
    <w:uiPriority w:val="99"/>
    <w:unhideWhenUsed/>
    <w:rsid w:val="00231385"/>
    <w:rPr>
      <w:strike w:val="0"/>
      <w:dstrike w:val="0"/>
      <w:color w:val="004A8F"/>
      <w:u w:val="none"/>
      <w:effect w:val="none"/>
    </w:rPr>
  </w:style>
  <w:style w:type="paragraph" w:styleId="NormalWeb">
    <w:name w:val="Normal (Web)"/>
    <w:basedOn w:val="Normal"/>
    <w:uiPriority w:val="99"/>
    <w:unhideWhenUsed/>
    <w:rsid w:val="00231385"/>
    <w:pPr>
      <w:spacing w:before="100" w:beforeAutospacing="1" w:after="100" w:afterAutospacing="1" w:line="312" w:lineRule="atLeast"/>
      <w:jc w:val="both"/>
    </w:pPr>
    <w:rPr>
      <w:lang w:val="en-US"/>
    </w:rPr>
  </w:style>
  <w:style w:type="character" w:customStyle="1" w:styleId="ala13">
    <w:name w:val="al_a13"/>
    <w:uiPriority w:val="99"/>
    <w:rsid w:val="00B7424D"/>
  </w:style>
  <w:style w:type="paragraph" w:styleId="ListParagraph">
    <w:name w:val="List Paragraph"/>
    <w:aliases w:val="Recommendatio,Párrafo de lista,Recommendation,OBC Bullet,Dot pt,F5 List Paragraph,No Spacing1,List Paragraph Char Char Char,Indicator Text,Numbered Para 1,Bullet 1,Bullet Points,List Paragraph2,L,3,References,Colorful List - Accent 11"/>
    <w:basedOn w:val="Normal"/>
    <w:link w:val="ListParagraphChar"/>
    <w:uiPriority w:val="34"/>
    <w:qFormat/>
    <w:rsid w:val="00C818E7"/>
    <w:pPr>
      <w:spacing w:after="120" w:line="360" w:lineRule="auto"/>
      <w:ind w:left="720" w:firstLine="720"/>
      <w:contextualSpacing/>
      <w:jc w:val="both"/>
    </w:pPr>
    <w:rPr>
      <w:rFonts w:ascii="Arial" w:hAnsi="Arial"/>
      <w:szCs w:val="20"/>
    </w:rPr>
  </w:style>
  <w:style w:type="paragraph" w:customStyle="1" w:styleId="CharChar3">
    <w:name w:val="Char Char3"/>
    <w:basedOn w:val="Normal"/>
    <w:semiHidden/>
    <w:rsid w:val="009269F4"/>
    <w:pPr>
      <w:tabs>
        <w:tab w:val="left" w:pos="709"/>
      </w:tabs>
    </w:pPr>
    <w:rPr>
      <w:rFonts w:ascii="Futura Bk" w:hAnsi="Futura Bk"/>
      <w:lang w:val="pl-PL" w:eastAsia="pl-PL"/>
    </w:rPr>
  </w:style>
  <w:style w:type="character" w:customStyle="1" w:styleId="BodyTextIndentChar">
    <w:name w:val="Body Text Indent Char"/>
    <w:link w:val="BodyTextIndent"/>
    <w:uiPriority w:val="99"/>
    <w:locked/>
    <w:rsid w:val="00DA31ED"/>
    <w:rPr>
      <w:sz w:val="24"/>
      <w:szCs w:val="24"/>
      <w:lang w:val="bg-BG"/>
    </w:rPr>
  </w:style>
  <w:style w:type="paragraph" w:customStyle="1" w:styleId="NormalFirstline">
    <w:name w:val="Normal + First line"/>
    <w:aliases w:val="1.25 cm,After 6 pt"/>
    <w:basedOn w:val="Normal"/>
    <w:rsid w:val="00BD3B54"/>
    <w:rPr>
      <w:sz w:val="20"/>
      <w:szCs w:val="20"/>
    </w:rPr>
  </w:style>
  <w:style w:type="paragraph" w:styleId="CommentSubject">
    <w:name w:val="annotation subject"/>
    <w:basedOn w:val="CommentText"/>
    <w:next w:val="CommentText"/>
    <w:link w:val="CommentSubjectChar"/>
    <w:semiHidden/>
    <w:rsid w:val="00381745"/>
    <w:rPr>
      <w:b/>
      <w:bCs/>
    </w:rPr>
  </w:style>
  <w:style w:type="character" w:customStyle="1" w:styleId="CommentTextChar">
    <w:name w:val="Comment Text Char"/>
    <w:link w:val="CommentText"/>
    <w:uiPriority w:val="99"/>
    <w:semiHidden/>
    <w:rsid w:val="009F38CE"/>
    <w:rPr>
      <w:lang w:eastAsia="en-US"/>
    </w:rPr>
  </w:style>
  <w:style w:type="character" w:customStyle="1" w:styleId="CommentSubjectChar">
    <w:name w:val="Comment Subject Char"/>
    <w:link w:val="CommentSubject"/>
    <w:semiHidden/>
    <w:rsid w:val="009F38CE"/>
    <w:rPr>
      <w:b/>
      <w:bCs/>
      <w:lang w:eastAsia="en-US"/>
    </w:rPr>
  </w:style>
  <w:style w:type="character" w:customStyle="1" w:styleId="TitleChar">
    <w:name w:val="Title Char"/>
    <w:link w:val="Title"/>
    <w:rsid w:val="00C1518C"/>
    <w:rPr>
      <w:b/>
      <w:sz w:val="24"/>
      <w:lang w:eastAsia="en-US"/>
    </w:rPr>
  </w:style>
  <w:style w:type="character" w:customStyle="1" w:styleId="BodyTextChar">
    <w:name w:val="Body Text Char"/>
    <w:link w:val="BodyText"/>
    <w:rsid w:val="00A10AC7"/>
    <w:rPr>
      <w:sz w:val="24"/>
      <w:szCs w:val="24"/>
      <w:lang w:val="bg-BG"/>
    </w:rPr>
  </w:style>
  <w:style w:type="paragraph" w:styleId="Revision">
    <w:name w:val="Revision"/>
    <w:hidden/>
    <w:uiPriority w:val="99"/>
    <w:semiHidden/>
    <w:rsid w:val="00F32913"/>
    <w:rPr>
      <w:sz w:val="24"/>
      <w:szCs w:val="24"/>
      <w:lang w:val="bg-BG"/>
    </w:rPr>
  </w:style>
  <w:style w:type="paragraph" w:customStyle="1" w:styleId="m">
    <w:name w:val="m"/>
    <w:basedOn w:val="Normal"/>
    <w:rsid w:val="00675E99"/>
    <w:pPr>
      <w:spacing w:before="100" w:beforeAutospacing="1" w:after="100" w:afterAutospacing="1"/>
    </w:pPr>
    <w:rPr>
      <w:lang w:eastAsia="bg-BG"/>
    </w:rPr>
  </w:style>
  <w:style w:type="character" w:customStyle="1" w:styleId="Heading1Char">
    <w:name w:val="Heading 1 Char"/>
    <w:basedOn w:val="DefaultParagraphFont"/>
    <w:link w:val="Heading1"/>
    <w:rsid w:val="002E2C27"/>
    <w:rPr>
      <w:b/>
      <w:bCs/>
      <w:sz w:val="28"/>
      <w:szCs w:val="24"/>
      <w:lang w:val="bg-BG"/>
    </w:rPr>
  </w:style>
  <w:style w:type="character" w:customStyle="1" w:styleId="ListParagraphChar">
    <w:name w:val="List Paragraph Char"/>
    <w:aliases w:val="Recommendatio Char,Párrafo de lista Char,Recommendation Char,OBC Bullet Char,Dot pt Char,F5 List Paragraph Char,No Spacing1 Char,List Paragraph Char Char Char Char,Indicator Text Char,Numbered Para 1 Char,Bullet 1 Char,L Char,3 Char"/>
    <w:link w:val="ListParagraph"/>
    <w:uiPriority w:val="34"/>
    <w:qFormat/>
    <w:locked/>
    <w:rsid w:val="00207C9E"/>
    <w:rPr>
      <w:rFonts w:ascii="Arial" w:hAnsi="Arial"/>
      <w:sz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0982">
      <w:bodyDiv w:val="1"/>
      <w:marLeft w:val="0"/>
      <w:marRight w:val="0"/>
      <w:marTop w:val="0"/>
      <w:marBottom w:val="0"/>
      <w:divBdr>
        <w:top w:val="none" w:sz="0" w:space="0" w:color="auto"/>
        <w:left w:val="none" w:sz="0" w:space="0" w:color="auto"/>
        <w:bottom w:val="none" w:sz="0" w:space="0" w:color="auto"/>
        <w:right w:val="none" w:sz="0" w:space="0" w:color="auto"/>
      </w:divBdr>
    </w:div>
    <w:div w:id="272128182">
      <w:bodyDiv w:val="1"/>
      <w:marLeft w:val="0"/>
      <w:marRight w:val="0"/>
      <w:marTop w:val="0"/>
      <w:marBottom w:val="0"/>
      <w:divBdr>
        <w:top w:val="none" w:sz="0" w:space="0" w:color="auto"/>
        <w:left w:val="none" w:sz="0" w:space="0" w:color="auto"/>
        <w:bottom w:val="none" w:sz="0" w:space="0" w:color="auto"/>
        <w:right w:val="none" w:sz="0" w:space="0" w:color="auto"/>
      </w:divBdr>
    </w:div>
    <w:div w:id="488985167">
      <w:bodyDiv w:val="1"/>
      <w:marLeft w:val="0"/>
      <w:marRight w:val="0"/>
      <w:marTop w:val="0"/>
      <w:marBottom w:val="0"/>
      <w:divBdr>
        <w:top w:val="none" w:sz="0" w:space="0" w:color="auto"/>
        <w:left w:val="none" w:sz="0" w:space="0" w:color="auto"/>
        <w:bottom w:val="none" w:sz="0" w:space="0" w:color="auto"/>
        <w:right w:val="none" w:sz="0" w:space="0" w:color="auto"/>
      </w:divBdr>
    </w:div>
    <w:div w:id="490483776">
      <w:bodyDiv w:val="1"/>
      <w:marLeft w:val="0"/>
      <w:marRight w:val="0"/>
      <w:marTop w:val="0"/>
      <w:marBottom w:val="0"/>
      <w:divBdr>
        <w:top w:val="none" w:sz="0" w:space="0" w:color="auto"/>
        <w:left w:val="none" w:sz="0" w:space="0" w:color="auto"/>
        <w:bottom w:val="none" w:sz="0" w:space="0" w:color="auto"/>
        <w:right w:val="none" w:sz="0" w:space="0" w:color="auto"/>
      </w:divBdr>
    </w:div>
    <w:div w:id="567035072">
      <w:bodyDiv w:val="1"/>
      <w:marLeft w:val="0"/>
      <w:marRight w:val="0"/>
      <w:marTop w:val="0"/>
      <w:marBottom w:val="0"/>
      <w:divBdr>
        <w:top w:val="none" w:sz="0" w:space="0" w:color="auto"/>
        <w:left w:val="none" w:sz="0" w:space="0" w:color="auto"/>
        <w:bottom w:val="none" w:sz="0" w:space="0" w:color="auto"/>
        <w:right w:val="none" w:sz="0" w:space="0" w:color="auto"/>
      </w:divBdr>
      <w:divsChild>
        <w:div w:id="1294481459">
          <w:marLeft w:val="0"/>
          <w:marRight w:val="0"/>
          <w:marTop w:val="0"/>
          <w:marBottom w:val="0"/>
          <w:divBdr>
            <w:top w:val="none" w:sz="0" w:space="0" w:color="auto"/>
            <w:left w:val="none" w:sz="0" w:space="0" w:color="auto"/>
            <w:bottom w:val="none" w:sz="0" w:space="0" w:color="auto"/>
            <w:right w:val="none" w:sz="0" w:space="0" w:color="auto"/>
          </w:divBdr>
        </w:div>
      </w:divsChild>
    </w:div>
    <w:div w:id="769817748">
      <w:bodyDiv w:val="1"/>
      <w:marLeft w:val="0"/>
      <w:marRight w:val="0"/>
      <w:marTop w:val="0"/>
      <w:marBottom w:val="0"/>
      <w:divBdr>
        <w:top w:val="none" w:sz="0" w:space="0" w:color="auto"/>
        <w:left w:val="none" w:sz="0" w:space="0" w:color="auto"/>
        <w:bottom w:val="none" w:sz="0" w:space="0" w:color="auto"/>
        <w:right w:val="none" w:sz="0" w:space="0" w:color="auto"/>
      </w:divBdr>
    </w:div>
    <w:div w:id="1059985730">
      <w:bodyDiv w:val="1"/>
      <w:marLeft w:val="0"/>
      <w:marRight w:val="0"/>
      <w:marTop w:val="0"/>
      <w:marBottom w:val="0"/>
      <w:divBdr>
        <w:top w:val="none" w:sz="0" w:space="0" w:color="auto"/>
        <w:left w:val="none" w:sz="0" w:space="0" w:color="auto"/>
        <w:bottom w:val="none" w:sz="0" w:space="0" w:color="auto"/>
        <w:right w:val="none" w:sz="0" w:space="0" w:color="auto"/>
      </w:divBdr>
    </w:div>
    <w:div w:id="1228757899">
      <w:bodyDiv w:val="1"/>
      <w:marLeft w:val="0"/>
      <w:marRight w:val="0"/>
      <w:marTop w:val="0"/>
      <w:marBottom w:val="0"/>
      <w:divBdr>
        <w:top w:val="none" w:sz="0" w:space="0" w:color="auto"/>
        <w:left w:val="none" w:sz="0" w:space="0" w:color="auto"/>
        <w:bottom w:val="none" w:sz="0" w:space="0" w:color="auto"/>
        <w:right w:val="none" w:sz="0" w:space="0" w:color="auto"/>
      </w:divBdr>
      <w:divsChild>
        <w:div w:id="1764762949">
          <w:marLeft w:val="0"/>
          <w:marRight w:val="0"/>
          <w:marTop w:val="0"/>
          <w:marBottom w:val="0"/>
          <w:divBdr>
            <w:top w:val="none" w:sz="0" w:space="0" w:color="auto"/>
            <w:left w:val="none" w:sz="0" w:space="0" w:color="auto"/>
            <w:bottom w:val="none" w:sz="0" w:space="0" w:color="auto"/>
            <w:right w:val="none" w:sz="0" w:space="0" w:color="auto"/>
          </w:divBdr>
          <w:divsChild>
            <w:div w:id="1689597285">
              <w:marLeft w:val="0"/>
              <w:marRight w:val="0"/>
              <w:marTop w:val="0"/>
              <w:marBottom w:val="0"/>
              <w:divBdr>
                <w:top w:val="none" w:sz="0" w:space="0" w:color="auto"/>
                <w:left w:val="none" w:sz="0" w:space="0" w:color="auto"/>
                <w:bottom w:val="none" w:sz="0" w:space="0" w:color="auto"/>
                <w:right w:val="none" w:sz="0" w:space="0" w:color="auto"/>
              </w:divBdr>
              <w:divsChild>
                <w:div w:id="754782278">
                  <w:marLeft w:val="0"/>
                  <w:marRight w:val="0"/>
                  <w:marTop w:val="0"/>
                  <w:marBottom w:val="0"/>
                  <w:divBdr>
                    <w:top w:val="none" w:sz="0" w:space="0" w:color="auto"/>
                    <w:left w:val="none" w:sz="0" w:space="0" w:color="auto"/>
                    <w:bottom w:val="none" w:sz="0" w:space="0" w:color="auto"/>
                    <w:right w:val="none" w:sz="0" w:space="0" w:color="auto"/>
                  </w:divBdr>
                  <w:divsChild>
                    <w:div w:id="20970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555913">
      <w:bodyDiv w:val="1"/>
      <w:marLeft w:val="0"/>
      <w:marRight w:val="0"/>
      <w:marTop w:val="0"/>
      <w:marBottom w:val="0"/>
      <w:divBdr>
        <w:top w:val="none" w:sz="0" w:space="0" w:color="auto"/>
        <w:left w:val="none" w:sz="0" w:space="0" w:color="auto"/>
        <w:bottom w:val="none" w:sz="0" w:space="0" w:color="auto"/>
        <w:right w:val="none" w:sz="0" w:space="0" w:color="auto"/>
      </w:divBdr>
      <w:divsChild>
        <w:div w:id="1132287915">
          <w:marLeft w:val="240"/>
          <w:marRight w:val="240"/>
          <w:marTop w:val="0"/>
          <w:marBottom w:val="0"/>
          <w:divBdr>
            <w:top w:val="none" w:sz="0" w:space="0" w:color="auto"/>
            <w:left w:val="none" w:sz="0" w:space="0" w:color="auto"/>
            <w:bottom w:val="none" w:sz="0" w:space="0" w:color="auto"/>
            <w:right w:val="none" w:sz="0" w:space="0" w:color="auto"/>
          </w:divBdr>
          <w:divsChild>
            <w:div w:id="2001541574">
              <w:marLeft w:val="0"/>
              <w:marRight w:val="0"/>
              <w:marTop w:val="0"/>
              <w:marBottom w:val="120"/>
              <w:divBdr>
                <w:top w:val="none" w:sz="0" w:space="0" w:color="auto"/>
                <w:left w:val="none" w:sz="0" w:space="0" w:color="auto"/>
                <w:bottom w:val="single" w:sz="6" w:space="0" w:color="A7A9AC"/>
                <w:right w:val="none" w:sz="0" w:space="0" w:color="auto"/>
              </w:divBdr>
            </w:div>
          </w:divsChild>
        </w:div>
      </w:divsChild>
    </w:div>
    <w:div w:id="1334607600">
      <w:bodyDiv w:val="1"/>
      <w:marLeft w:val="0"/>
      <w:marRight w:val="0"/>
      <w:marTop w:val="0"/>
      <w:marBottom w:val="0"/>
      <w:divBdr>
        <w:top w:val="none" w:sz="0" w:space="0" w:color="auto"/>
        <w:left w:val="none" w:sz="0" w:space="0" w:color="auto"/>
        <w:bottom w:val="none" w:sz="0" w:space="0" w:color="auto"/>
        <w:right w:val="none" w:sz="0" w:space="0" w:color="auto"/>
      </w:divBdr>
    </w:div>
    <w:div w:id="1449738080">
      <w:bodyDiv w:val="1"/>
      <w:marLeft w:val="0"/>
      <w:marRight w:val="0"/>
      <w:marTop w:val="0"/>
      <w:marBottom w:val="0"/>
      <w:divBdr>
        <w:top w:val="none" w:sz="0" w:space="0" w:color="auto"/>
        <w:left w:val="none" w:sz="0" w:space="0" w:color="auto"/>
        <w:bottom w:val="none" w:sz="0" w:space="0" w:color="auto"/>
        <w:right w:val="none" w:sz="0" w:space="0" w:color="auto"/>
      </w:divBdr>
    </w:div>
    <w:div w:id="1465393858">
      <w:bodyDiv w:val="1"/>
      <w:marLeft w:val="0"/>
      <w:marRight w:val="0"/>
      <w:marTop w:val="0"/>
      <w:marBottom w:val="0"/>
      <w:divBdr>
        <w:top w:val="none" w:sz="0" w:space="0" w:color="auto"/>
        <w:left w:val="none" w:sz="0" w:space="0" w:color="auto"/>
        <w:bottom w:val="none" w:sz="0" w:space="0" w:color="auto"/>
        <w:right w:val="none" w:sz="0" w:space="0" w:color="auto"/>
      </w:divBdr>
    </w:div>
    <w:div w:id="1640960128">
      <w:bodyDiv w:val="1"/>
      <w:marLeft w:val="0"/>
      <w:marRight w:val="0"/>
      <w:marTop w:val="0"/>
      <w:marBottom w:val="0"/>
      <w:divBdr>
        <w:top w:val="none" w:sz="0" w:space="0" w:color="auto"/>
        <w:left w:val="none" w:sz="0" w:space="0" w:color="auto"/>
        <w:bottom w:val="none" w:sz="0" w:space="0" w:color="auto"/>
        <w:right w:val="none" w:sz="0" w:space="0" w:color="auto"/>
      </w:divBdr>
    </w:div>
    <w:div w:id="1752582637">
      <w:bodyDiv w:val="1"/>
      <w:marLeft w:val="0"/>
      <w:marRight w:val="0"/>
      <w:marTop w:val="0"/>
      <w:marBottom w:val="0"/>
      <w:divBdr>
        <w:top w:val="none" w:sz="0" w:space="0" w:color="auto"/>
        <w:left w:val="none" w:sz="0" w:space="0" w:color="auto"/>
        <w:bottom w:val="none" w:sz="0" w:space="0" w:color="auto"/>
        <w:right w:val="none" w:sz="0" w:space="0" w:color="auto"/>
      </w:divBdr>
    </w:div>
    <w:div w:id="1821458686">
      <w:bodyDiv w:val="1"/>
      <w:marLeft w:val="0"/>
      <w:marRight w:val="0"/>
      <w:marTop w:val="0"/>
      <w:marBottom w:val="0"/>
      <w:divBdr>
        <w:top w:val="none" w:sz="0" w:space="0" w:color="auto"/>
        <w:left w:val="none" w:sz="0" w:space="0" w:color="auto"/>
        <w:bottom w:val="none" w:sz="0" w:space="0" w:color="auto"/>
        <w:right w:val="none" w:sz="0" w:space="0" w:color="auto"/>
      </w:divBdr>
    </w:div>
    <w:div w:id="1929189253">
      <w:bodyDiv w:val="1"/>
      <w:marLeft w:val="0"/>
      <w:marRight w:val="0"/>
      <w:marTop w:val="0"/>
      <w:marBottom w:val="0"/>
      <w:divBdr>
        <w:top w:val="none" w:sz="0" w:space="0" w:color="auto"/>
        <w:left w:val="none" w:sz="0" w:space="0" w:color="auto"/>
        <w:bottom w:val="none" w:sz="0" w:space="0" w:color="auto"/>
        <w:right w:val="none" w:sz="0" w:space="0" w:color="auto"/>
      </w:divBdr>
    </w:div>
    <w:div w:id="2005039560">
      <w:bodyDiv w:val="1"/>
      <w:marLeft w:val="0"/>
      <w:marRight w:val="0"/>
      <w:marTop w:val="0"/>
      <w:marBottom w:val="0"/>
      <w:divBdr>
        <w:top w:val="none" w:sz="0" w:space="0" w:color="auto"/>
        <w:left w:val="none" w:sz="0" w:space="0" w:color="auto"/>
        <w:bottom w:val="none" w:sz="0" w:space="0" w:color="auto"/>
        <w:right w:val="none" w:sz="0" w:space="0" w:color="auto"/>
      </w:divBdr>
    </w:div>
    <w:div w:id="2062440967">
      <w:bodyDiv w:val="1"/>
      <w:marLeft w:val="0"/>
      <w:marRight w:val="0"/>
      <w:marTop w:val="0"/>
      <w:marBottom w:val="0"/>
      <w:divBdr>
        <w:top w:val="none" w:sz="0" w:space="0" w:color="auto"/>
        <w:left w:val="none" w:sz="0" w:space="0" w:color="auto"/>
        <w:bottom w:val="none" w:sz="0" w:space="0" w:color="auto"/>
        <w:right w:val="none" w:sz="0" w:space="0" w:color="auto"/>
      </w:divBdr>
    </w:div>
    <w:div w:id="2072146161">
      <w:bodyDiv w:val="1"/>
      <w:marLeft w:val="0"/>
      <w:marRight w:val="0"/>
      <w:marTop w:val="0"/>
      <w:marBottom w:val="0"/>
      <w:divBdr>
        <w:top w:val="none" w:sz="0" w:space="0" w:color="auto"/>
        <w:left w:val="none" w:sz="0" w:space="0" w:color="auto"/>
        <w:bottom w:val="none" w:sz="0" w:space="0" w:color="auto"/>
        <w:right w:val="none" w:sz="0" w:space="0" w:color="auto"/>
      </w:divBdr>
    </w:div>
    <w:div w:id="2078552652">
      <w:bodyDiv w:val="1"/>
      <w:marLeft w:val="0"/>
      <w:marRight w:val="0"/>
      <w:marTop w:val="0"/>
      <w:marBottom w:val="0"/>
      <w:divBdr>
        <w:top w:val="none" w:sz="0" w:space="0" w:color="auto"/>
        <w:left w:val="none" w:sz="0" w:space="0" w:color="auto"/>
        <w:bottom w:val="none" w:sz="0" w:space="0" w:color="auto"/>
        <w:right w:val="none" w:sz="0" w:space="0" w:color="auto"/>
      </w:divBdr>
      <w:divsChild>
        <w:div w:id="1512406735">
          <w:marLeft w:val="0"/>
          <w:marRight w:val="0"/>
          <w:marTop w:val="0"/>
          <w:marBottom w:val="0"/>
          <w:divBdr>
            <w:top w:val="none" w:sz="0" w:space="0" w:color="auto"/>
            <w:left w:val="none" w:sz="0" w:space="0" w:color="auto"/>
            <w:bottom w:val="none" w:sz="0" w:space="0" w:color="auto"/>
            <w:right w:val="none" w:sz="0" w:space="0" w:color="auto"/>
          </w:divBdr>
          <w:divsChild>
            <w:div w:id="1991667719">
              <w:marLeft w:val="0"/>
              <w:marRight w:val="0"/>
              <w:marTop w:val="0"/>
              <w:marBottom w:val="0"/>
              <w:divBdr>
                <w:top w:val="none" w:sz="0" w:space="0" w:color="auto"/>
                <w:left w:val="none" w:sz="0" w:space="0" w:color="auto"/>
                <w:bottom w:val="none" w:sz="0" w:space="0" w:color="auto"/>
                <w:right w:val="none" w:sz="0" w:space="0" w:color="auto"/>
              </w:divBdr>
              <w:divsChild>
                <w:div w:id="1413895954">
                  <w:marLeft w:val="0"/>
                  <w:marRight w:val="0"/>
                  <w:marTop w:val="0"/>
                  <w:marBottom w:val="0"/>
                  <w:divBdr>
                    <w:top w:val="none" w:sz="0" w:space="0" w:color="auto"/>
                    <w:left w:val="none" w:sz="0" w:space="0" w:color="auto"/>
                    <w:bottom w:val="none" w:sz="0" w:space="0" w:color="auto"/>
                    <w:right w:val="none" w:sz="0" w:space="0" w:color="auto"/>
                  </w:divBdr>
                  <w:divsChild>
                    <w:div w:id="8728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069391409685821E-2"/>
          <c:y val="3.8309849426716412E-2"/>
          <c:w val="0.90305106959238579"/>
          <c:h val="0.74626404458063433"/>
        </c:manualLayout>
      </c:layout>
      <c:barChart>
        <c:barDir val="col"/>
        <c:grouping val="clustered"/>
        <c:varyColors val="0"/>
        <c:ser>
          <c:idx val="0"/>
          <c:order val="0"/>
          <c:tx>
            <c:strRef>
              <c:f>Sheet1!$B$36</c:f>
              <c:strCache>
                <c:ptCount val="1"/>
                <c:pt idx="0">
                  <c:v>към март 2021 г.</c:v>
                </c:pt>
              </c:strCache>
            </c:strRef>
          </c:tx>
          <c:spPr>
            <a:pattFill prst="pct5">
              <a:fgClr>
                <a:srgbClr val="FFFFFF"/>
              </a:fgClr>
              <a:bgClr>
                <a:srgbClr val="000000"/>
              </a:bgClr>
            </a:pattFill>
            <a:ln w="12683">
              <a:solidFill>
                <a:srgbClr val="000000"/>
              </a:solidFill>
              <a:prstDash val="solid"/>
            </a:ln>
          </c:spPr>
          <c:invertIfNegative val="0"/>
          <c:dLbls>
            <c:dLbl>
              <c:idx val="2"/>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32E-4211-A0A7-ED522B4F8AB7}"/>
                </c:ext>
              </c:extLst>
            </c:dLbl>
            <c:dLbl>
              <c:idx val="3"/>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32E-4211-A0A7-ED522B4F8AB7}"/>
                </c:ext>
              </c:extLst>
            </c:dLbl>
            <c:dLbl>
              <c:idx val="5"/>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32E-4211-A0A7-ED522B4F8AB7}"/>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Sheet1!$B$38:$B$43</c:f>
              <c:numCache>
                <c:formatCode>#,##0.0</c:formatCode>
                <c:ptCount val="6"/>
                <c:pt idx="0">
                  <c:v>2732.1214550000004</c:v>
                </c:pt>
                <c:pt idx="1">
                  <c:v>2.0080430000000002</c:v>
                </c:pt>
                <c:pt idx="2">
                  <c:v>258.14712200000002</c:v>
                </c:pt>
                <c:pt idx="3">
                  <c:v>308.83341899999999</c:v>
                </c:pt>
                <c:pt idx="4">
                  <c:v>4388.6147149999997</c:v>
                </c:pt>
                <c:pt idx="5">
                  <c:v>479.25542899999999</c:v>
                </c:pt>
              </c:numCache>
            </c:numRef>
          </c:val>
          <c:extLst>
            <c:ext xmlns:c16="http://schemas.microsoft.com/office/drawing/2014/chart" uri="{C3380CC4-5D6E-409C-BE32-E72D297353CC}">
              <c16:uniqueId val="{00000003-532E-4211-A0A7-ED522B4F8AB7}"/>
            </c:ext>
          </c:extLst>
        </c:ser>
        <c:ser>
          <c:idx val="1"/>
          <c:order val="1"/>
          <c:tx>
            <c:strRef>
              <c:f>Sheet1!$C$36</c:f>
              <c:strCache>
                <c:ptCount val="1"/>
                <c:pt idx="0">
                  <c:v>към март  2022 г.</c:v>
                </c:pt>
              </c:strCache>
            </c:strRef>
          </c:tx>
          <c:spPr>
            <a:pattFill prst="smConfetti">
              <a:fgClr>
                <a:srgbClr val="333333"/>
              </a:fgClr>
              <a:bgClr>
                <a:srgbClr val="FFFFFF"/>
              </a:bgClr>
            </a:pattFill>
            <a:ln w="12683">
              <a:solidFill>
                <a:srgbClr val="000000"/>
              </a:solidFill>
              <a:prstDash val="solid"/>
            </a:ln>
          </c:spPr>
          <c:invertIfNegative val="0"/>
          <c:dLbls>
            <c:dLbl>
              <c:idx val="0"/>
              <c:layout/>
              <c:dLblPos val="in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532E-4211-A0A7-ED522B4F8AB7}"/>
                </c:ext>
              </c:extLst>
            </c:dLbl>
            <c:dLbl>
              <c:idx val="1"/>
              <c:layout>
                <c:manualLayout>
                  <c:x val="-1.3777787060437307E-3"/>
                  <c:y val="-2.2458399596602201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5-532E-4211-A0A7-ED522B4F8AB7}"/>
                </c:ext>
              </c:extLst>
            </c:dLbl>
            <c:dLbl>
              <c:idx val="2"/>
              <c:layout>
                <c:manualLayout>
                  <c:x val="4.5620511028354469E-3"/>
                  <c:y val="1.4440480096238049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532E-4211-A0A7-ED522B4F8AB7}"/>
                </c:ext>
              </c:extLst>
            </c:dLbl>
            <c:dLbl>
              <c:idx val="3"/>
              <c:layout>
                <c:manualLayout>
                  <c:x val="4.7141342909059365E-3"/>
                  <c:y val="-1.2333300109638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532E-4211-A0A7-ED522B4F8AB7}"/>
                </c:ext>
              </c:extLst>
            </c:dLbl>
            <c:dLbl>
              <c:idx val="4"/>
              <c:layout>
                <c:manualLayout>
                  <c:x val="2.5961277386746268E-3"/>
                  <c:y val="0.1626427084545466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532E-4211-A0A7-ED522B4F8AB7}"/>
                </c:ext>
              </c:extLst>
            </c:dLbl>
            <c:dLbl>
              <c:idx val="5"/>
              <c:layout>
                <c:manualLayout>
                  <c:x val="1.9210939978656521E-3"/>
                  <c:y val="5.6948735838400722E-3"/>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532E-4211-A0A7-ED522B4F8AB7}"/>
                </c:ext>
              </c:extLst>
            </c:dLbl>
            <c:spPr>
              <a:solidFill>
                <a:srgbClr val="FFFFFF"/>
              </a:solidFill>
              <a:ln w="25367">
                <a:noFill/>
              </a:ln>
            </c:spPr>
            <c:txPr>
              <a:bodyPr rot="-5400000" vert="horz"/>
              <a:lstStyle/>
              <a:p>
                <a:pPr algn="ctr">
                  <a:defRPr sz="899" b="0"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Sheet1!$A$38:$A$43</c:f>
              <c:strCache>
                <c:ptCount val="6"/>
                <c:pt idx="0">
                  <c:v>Текущи нелихвени разходи</c:v>
                </c:pt>
                <c:pt idx="1">
                  <c:v>Предост. тек. и кап. трансф. за чужбина</c:v>
                </c:pt>
                <c:pt idx="2">
                  <c:v>Капиталови р-ди*</c:v>
                </c:pt>
                <c:pt idx="3">
                  <c:v>Лихвени р-ди</c:v>
                </c:pt>
                <c:pt idx="4">
                  <c:v>Нето предоставени трансфери за др. бюджети</c:v>
                </c:pt>
                <c:pt idx="5">
                  <c:v>Вноска в бюджета на ЕС</c:v>
                </c:pt>
              </c:strCache>
            </c:strRef>
          </c:cat>
          <c:val>
            <c:numRef>
              <c:f>Sheet1!$C$38:$C$43</c:f>
              <c:numCache>
                <c:formatCode>#,##0.0</c:formatCode>
                <c:ptCount val="6"/>
                <c:pt idx="0">
                  <c:v>2559.183035</c:v>
                </c:pt>
                <c:pt idx="1">
                  <c:v>0.85360600000000009</c:v>
                </c:pt>
                <c:pt idx="2">
                  <c:v>227.752703</c:v>
                </c:pt>
                <c:pt idx="3">
                  <c:v>327.08403499999997</c:v>
                </c:pt>
                <c:pt idx="4">
                  <c:v>4290.9788840000001</c:v>
                </c:pt>
                <c:pt idx="5">
                  <c:v>401.80381399999999</c:v>
                </c:pt>
              </c:numCache>
            </c:numRef>
          </c:val>
          <c:extLst>
            <c:ext xmlns:c16="http://schemas.microsoft.com/office/drawing/2014/chart" uri="{C3380CC4-5D6E-409C-BE32-E72D297353CC}">
              <c16:uniqueId val="{0000000A-532E-4211-A0A7-ED522B4F8AB7}"/>
            </c:ext>
          </c:extLst>
        </c:ser>
        <c:dLbls>
          <c:showLegendKey val="0"/>
          <c:showVal val="0"/>
          <c:showCatName val="0"/>
          <c:showSerName val="0"/>
          <c:showPercent val="0"/>
          <c:showBubbleSize val="0"/>
        </c:dLbls>
        <c:gapWidth val="150"/>
        <c:axId val="49732608"/>
        <c:axId val="49735168"/>
      </c:barChart>
      <c:catAx>
        <c:axId val="49732608"/>
        <c:scaling>
          <c:orientation val="minMax"/>
        </c:scaling>
        <c:delete val="0"/>
        <c:axPos val="b"/>
        <c:numFmt formatCode="General" sourceLinked="1"/>
        <c:majorTickMark val="out"/>
        <c:minorTickMark val="none"/>
        <c:tickLblPos val="nextTo"/>
        <c:spPr>
          <a:ln w="9512">
            <a:noFill/>
          </a:ln>
        </c:spPr>
        <c:txPr>
          <a:bodyPr rot="0" vert="horz"/>
          <a:lstStyle/>
          <a:p>
            <a:pPr>
              <a:defRPr sz="970" b="1" i="0" u="none" strike="noStrike" baseline="2000">
                <a:solidFill>
                  <a:srgbClr val="000000"/>
                </a:solidFill>
                <a:latin typeface="Times New Roman"/>
                <a:ea typeface="Times New Roman"/>
                <a:cs typeface="Times New Roman"/>
              </a:defRPr>
            </a:pPr>
            <a:endParaRPr lang="en-US"/>
          </a:p>
        </c:txPr>
        <c:crossAx val="49735168"/>
        <c:crosses val="autoZero"/>
        <c:auto val="1"/>
        <c:lblAlgn val="ctr"/>
        <c:lblOffset val="100"/>
        <c:tickLblSkip val="1"/>
        <c:tickMarkSkip val="1"/>
        <c:noMultiLvlLbl val="0"/>
      </c:catAx>
      <c:valAx>
        <c:axId val="49735168"/>
        <c:scaling>
          <c:orientation val="minMax"/>
        </c:scaling>
        <c:delete val="0"/>
        <c:axPos val="l"/>
        <c:majorGridlines>
          <c:spPr>
            <a:ln w="3171">
              <a:solidFill>
                <a:srgbClr val="000000"/>
              </a:solidFill>
              <a:prstDash val="solid"/>
            </a:ln>
          </c:spPr>
        </c:majorGridlines>
        <c:title>
          <c:tx>
            <c:rich>
              <a:bodyPr rot="0" vert="horz"/>
              <a:lstStyle/>
              <a:p>
                <a:pPr algn="ctr">
                  <a:defRPr sz="899" b="0" i="0" u="none" strike="noStrike" baseline="0">
                    <a:solidFill>
                      <a:srgbClr val="000000"/>
                    </a:solidFill>
                    <a:latin typeface="Times New Roman"/>
                    <a:ea typeface="Times New Roman"/>
                    <a:cs typeface="Times New Roman"/>
                  </a:defRPr>
                </a:pPr>
                <a:r>
                  <a:rPr lang="bg-BG"/>
                  <a:t>(млн. лв.)</a:t>
                </a:r>
              </a:p>
            </c:rich>
          </c:tx>
          <c:layout>
            <c:manualLayout>
              <c:xMode val="edge"/>
              <c:yMode val="edge"/>
              <c:x val="9.3198691529022576E-4"/>
              <c:y val="0.93341453652604278"/>
            </c:manualLayout>
          </c:layout>
          <c:overlay val="0"/>
          <c:spPr>
            <a:noFill/>
            <a:ln w="25367">
              <a:noFill/>
            </a:ln>
          </c:spPr>
        </c:title>
        <c:numFmt formatCode="#,##0" sourceLinked="0"/>
        <c:majorTickMark val="out"/>
        <c:minorTickMark val="none"/>
        <c:tickLblPos val="nextTo"/>
        <c:spPr>
          <a:ln w="3171">
            <a:solidFill>
              <a:srgbClr val="000000"/>
            </a:solidFill>
            <a:prstDash val="solid"/>
          </a:ln>
        </c:spPr>
        <c:txPr>
          <a:bodyPr rot="0" vert="horz"/>
          <a:lstStyle/>
          <a:p>
            <a:pPr>
              <a:defRPr sz="899" b="0" i="0" u="none" strike="noStrike" baseline="0">
                <a:solidFill>
                  <a:srgbClr val="000000"/>
                </a:solidFill>
                <a:latin typeface="Times New Roman"/>
                <a:ea typeface="Times New Roman"/>
                <a:cs typeface="Times New Roman"/>
              </a:defRPr>
            </a:pPr>
            <a:endParaRPr lang="en-US"/>
          </a:p>
        </c:txPr>
        <c:crossAx val="49732608"/>
        <c:crosses val="autoZero"/>
        <c:crossBetween val="between"/>
      </c:valAx>
      <c:spPr>
        <a:solidFill>
          <a:srgbClr val="FFFFFF"/>
        </a:solidFill>
        <a:ln w="25367">
          <a:solidFill>
            <a:sysClr val="window" lastClr="FFFFFF">
              <a:lumMod val="85000"/>
            </a:sysClr>
          </a:solidFill>
          <a:prstDash val="solid"/>
        </a:ln>
      </c:spPr>
    </c:plotArea>
    <c:legend>
      <c:legendPos val="r"/>
      <c:legendEntry>
        <c:idx val="0"/>
        <c:txPr>
          <a:bodyPr/>
          <a:lstStyle/>
          <a:p>
            <a:pPr>
              <a:defRPr sz="780" b="1" i="0" u="none" strike="noStrike" baseline="0">
                <a:solidFill>
                  <a:srgbClr val="000000"/>
                </a:solidFill>
                <a:latin typeface="Times New Roman"/>
                <a:ea typeface="Times New Roman"/>
                <a:cs typeface="Times New Roman"/>
              </a:defRPr>
            </a:pPr>
            <a:endParaRPr lang="en-US"/>
          </a:p>
        </c:txPr>
      </c:legendEntry>
      <c:legendEntry>
        <c:idx val="1"/>
        <c:txPr>
          <a:bodyPr/>
          <a:lstStyle/>
          <a:p>
            <a:pPr>
              <a:defRPr sz="780" b="1" i="0" u="none" strike="noStrike" baseline="0">
                <a:solidFill>
                  <a:srgbClr val="000000"/>
                </a:solidFill>
                <a:latin typeface="Times New Roman"/>
                <a:ea typeface="Times New Roman"/>
                <a:cs typeface="Times New Roman"/>
              </a:defRPr>
            </a:pPr>
            <a:endParaRPr lang="en-US"/>
          </a:p>
        </c:txPr>
      </c:legendEntry>
      <c:layout>
        <c:manualLayout>
          <c:xMode val="edge"/>
          <c:yMode val="edge"/>
          <c:x val="0.122363318643525"/>
          <c:y val="0.91477519855473333"/>
          <c:w val="0.40878464462499231"/>
          <c:h val="8.4652486620990564E-2"/>
        </c:manualLayout>
      </c:layout>
      <c:overlay val="0"/>
      <c:spPr>
        <a:solidFill>
          <a:srgbClr val="FFFFFF"/>
        </a:solidFill>
        <a:ln w="3171">
          <a:solidFill>
            <a:srgbClr val="000000"/>
          </a:solidFill>
          <a:prstDash val="solid"/>
        </a:ln>
      </c:spPr>
      <c:txPr>
        <a:bodyPr/>
        <a:lstStyle/>
        <a:p>
          <a:pPr>
            <a:defRPr sz="780" b="1" i="0" u="none" strike="noStrike" baseline="0">
              <a:solidFill>
                <a:srgbClr val="000000"/>
              </a:solidFill>
              <a:latin typeface="Times New Roman"/>
              <a:ea typeface="Times New Roman"/>
              <a:cs typeface="Times New Roman"/>
            </a:defRPr>
          </a:pPr>
          <a:endParaRPr lang="en-US"/>
        </a:p>
      </c:txPr>
    </c:legend>
    <c:plotVisOnly val="1"/>
    <c:dispBlanksAs val="gap"/>
    <c:showDLblsOverMax val="0"/>
  </c:chart>
  <c:spPr>
    <a:solidFill>
      <a:srgbClr val="FFFFFF"/>
    </a:solidFill>
    <a:ln w="3171">
      <a:solidFill>
        <a:srgbClr val="000000"/>
      </a:solidFill>
      <a:prstDash val="solid"/>
    </a:ln>
  </c:spPr>
  <c:txPr>
    <a:bodyPr/>
    <a:lstStyle/>
    <a:p>
      <a:pPr>
        <a:defRPr sz="1124" b="0" i="0" u="none" strike="noStrike" baseline="0">
          <a:solidFill>
            <a:srgbClr val="000000"/>
          </a:solidFill>
          <a:latin typeface="Arial"/>
          <a:ea typeface="Arial"/>
          <a:cs typeface="Arial"/>
        </a:defRPr>
      </a:pPr>
      <a:endParaRPr lang="en-US"/>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0.50767</cdr:x>
      <cdr:y>0.50124</cdr:y>
    </cdr:from>
    <cdr:to>
      <cdr:x>0.52046</cdr:x>
      <cdr:y>0.56116</cdr:y>
    </cdr:to>
    <cdr:sp macro="" textlink="">
      <cdr:nvSpPr>
        <cdr:cNvPr id="3073" name="Text Box 1"/>
        <cdr:cNvSpPr txBox="1">
          <a:spLocks xmlns:a="http://schemas.openxmlformats.org/drawingml/2006/main" noChangeArrowheads="1"/>
        </cdr:cNvSpPr>
      </cdr:nvSpPr>
      <cdr:spPr bwMode="auto">
        <a:xfrm xmlns:a="http://schemas.openxmlformats.org/drawingml/2006/main">
          <a:off x="3536779" y="1408614"/>
          <a:ext cx="94821"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r>
            <a:rPr lang="bg-BG" sz="1125" b="0" i="0" u="none" strike="noStrike" baseline="0">
              <a:solidFill>
                <a:srgbClr val="000000"/>
              </a:solidFill>
              <a:latin typeface="Arial"/>
              <a:cs typeface="Arial"/>
            </a:rPr>
            <a:t> </a:t>
          </a:r>
        </a:p>
      </cdr:txBody>
    </cdr:sp>
  </cdr:relSizeAnchor>
  <cdr:relSizeAnchor xmlns:cdr="http://schemas.openxmlformats.org/drawingml/2006/chartDrawing">
    <cdr:from>
      <cdr:x>0.50767</cdr:x>
      <cdr:y>0.50124</cdr:y>
    </cdr:from>
    <cdr:to>
      <cdr:x>0.61477</cdr:x>
      <cdr:y>0.56116</cdr:y>
    </cdr:to>
    <cdr:sp macro="" textlink="">
      <cdr:nvSpPr>
        <cdr:cNvPr id="3074" name="Text Box 2"/>
        <cdr:cNvSpPr txBox="1">
          <a:spLocks xmlns:a="http://schemas.openxmlformats.org/drawingml/2006/main" noChangeArrowheads="1"/>
        </cdr:cNvSpPr>
      </cdr:nvSpPr>
      <cdr:spPr bwMode="auto">
        <a:xfrm xmlns:a="http://schemas.openxmlformats.org/drawingml/2006/main">
          <a:off x="3536779" y="1408614"/>
          <a:ext cx="751674" cy="16927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1">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txBody>
        <a:bodyPr xmlns:a="http://schemas.openxmlformats.org/drawingml/2006/main" vertOverflow="clip" wrap="square" lIns="36576" tIns="27432" rIns="36576" bIns="27432" anchor="ctr" upright="1"/>
        <a:lstStyle xmlns:a="http://schemas.openxmlformats.org/drawingml/2006/main"/>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a:p xmlns:a="http://schemas.openxmlformats.org/drawingml/2006/main">
          <a:pPr algn="ctr" rtl="0">
            <a:defRPr sz="1000"/>
          </a:pPr>
          <a:endParaRPr lang="bg-BG" sz="1125" b="0" i="0" u="none" strike="noStrike" baseline="0">
            <a:solidFill>
              <a:srgbClr val="000000"/>
            </a:solidFill>
            <a:latin typeface="Arial"/>
            <a:cs typeface="Arial"/>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E05F-B5BF-43F3-A983-FDCE0441E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18397</Words>
  <Characters>97010</Characters>
  <Application>Microsoft Office Word</Application>
  <DocSecurity>0</DocSecurity>
  <Lines>808</Lines>
  <Paragraphs>230</Paragraphs>
  <ScaleCrop>false</ScaleCrop>
  <HeadingPairs>
    <vt:vector size="2" baseType="variant">
      <vt:variant>
        <vt:lpstr>Title</vt:lpstr>
      </vt:variant>
      <vt:variant>
        <vt:i4>1</vt:i4>
      </vt:variant>
    </vt:vector>
  </HeadingPairs>
  <TitlesOfParts>
    <vt:vector size="1" baseType="lpstr">
      <vt:lpstr>М И Н И С Т Е Р С Т В О   Н А   Ф И Н А Н С И Т Е</vt:lpstr>
    </vt:vector>
  </TitlesOfParts>
  <Company>MoF</Company>
  <LinksUpToDate>false</LinksUpToDate>
  <CharactersWithSpaces>115177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И Н И С Т Е Р С Т В О   Н А   Ф И Н А Н С И Т Е</dc:title>
  <dc:creator>Любомир Малчев</dc:creator>
  <cp:lastModifiedBy>Милада Димчева</cp:lastModifiedBy>
  <cp:revision>31</cp:revision>
  <cp:lastPrinted>2020-05-04T12:48:00Z</cp:lastPrinted>
  <dcterms:created xsi:type="dcterms:W3CDTF">2022-04-29T13:09:00Z</dcterms:created>
  <dcterms:modified xsi:type="dcterms:W3CDTF">2022-05-09T10:09:00Z</dcterms:modified>
</cp:coreProperties>
</file>