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0F6FB" w14:textId="77777777" w:rsidR="00063E15" w:rsidRPr="00D562BC" w:rsidRDefault="00063E15" w:rsidP="008314D1">
      <w:pPr>
        <w:pStyle w:val="Title"/>
        <w:pBdr>
          <w:bottom w:val="double" w:sz="6" w:space="0" w:color="auto"/>
        </w:pBdr>
      </w:pPr>
      <w:bookmarkStart w:id="0" w:name="_GoBack"/>
      <w:bookmarkEnd w:id="0"/>
      <w:r w:rsidRPr="00D562BC">
        <w:t>М И Н И С Т Е Р С Т В О   Н А   Ф И Н А Н С И Т Е</w:t>
      </w:r>
    </w:p>
    <w:p w14:paraId="5FBFC49D" w14:textId="77777777" w:rsidR="005F7245" w:rsidRPr="00D562BC" w:rsidRDefault="005F7245" w:rsidP="00063E15">
      <w:pPr>
        <w:rPr>
          <w:sz w:val="16"/>
          <w:szCs w:val="16"/>
        </w:rPr>
      </w:pPr>
    </w:p>
    <w:p w14:paraId="5AE6952C" w14:textId="77777777" w:rsidR="0019151C" w:rsidRPr="00D562BC" w:rsidRDefault="0019151C" w:rsidP="0019151C"/>
    <w:p w14:paraId="5AF5A687" w14:textId="77777777" w:rsidR="00E10331" w:rsidRPr="00D562BC" w:rsidRDefault="00E10331" w:rsidP="0019151C"/>
    <w:p w14:paraId="1D027850" w14:textId="77777777" w:rsidR="00E9260C" w:rsidRPr="00D562BC" w:rsidRDefault="00E9260C" w:rsidP="009B536C">
      <w:pPr>
        <w:pStyle w:val="Heading1"/>
        <w:rPr>
          <w:sz w:val="24"/>
        </w:rPr>
      </w:pPr>
      <w:r w:rsidRPr="00D562BC">
        <w:rPr>
          <w:sz w:val="24"/>
        </w:rPr>
        <w:t>ИНФОРМАЦИЯ</w:t>
      </w:r>
    </w:p>
    <w:p w14:paraId="02CE64CA" w14:textId="77777777" w:rsidR="00E9260C" w:rsidRPr="00D562BC" w:rsidRDefault="00E9260C" w:rsidP="009B536C">
      <w:pPr>
        <w:jc w:val="center"/>
        <w:rPr>
          <w:b/>
          <w:bCs/>
        </w:rPr>
      </w:pPr>
      <w:r w:rsidRPr="00D562BC">
        <w:rPr>
          <w:b/>
          <w:bCs/>
        </w:rPr>
        <w:t xml:space="preserve">ЗА </w:t>
      </w:r>
      <w:r w:rsidR="004E7BF8" w:rsidRPr="00D562BC">
        <w:rPr>
          <w:b/>
          <w:bCs/>
        </w:rPr>
        <w:t xml:space="preserve">КАСОВОТО </w:t>
      </w:r>
      <w:r w:rsidRPr="00D562BC">
        <w:rPr>
          <w:b/>
          <w:bCs/>
        </w:rPr>
        <w:t xml:space="preserve">ИЗПЪЛНЕНИЕ НА </w:t>
      </w:r>
      <w:r w:rsidR="004E7BF8" w:rsidRPr="00D562BC">
        <w:rPr>
          <w:b/>
          <w:bCs/>
        </w:rPr>
        <w:t>ДЪРЖАВНИЯ</w:t>
      </w:r>
      <w:r w:rsidRPr="00D562BC">
        <w:rPr>
          <w:b/>
          <w:bCs/>
        </w:rPr>
        <w:t xml:space="preserve"> БЮДЖЕТ</w:t>
      </w:r>
      <w:r w:rsidR="004E7BF8" w:rsidRPr="00D562BC">
        <w:rPr>
          <w:b/>
          <w:bCs/>
        </w:rPr>
        <w:t xml:space="preserve"> И НА ОСНОВНИТЕ ПОКАЗАТЕЛИ НА КОНСОЛИДИРАНАТА ФИСКАЛНА ПРОГРАМА </w:t>
      </w:r>
    </w:p>
    <w:p w14:paraId="42FD570D" w14:textId="77777777" w:rsidR="003F47AB" w:rsidRPr="00D562BC" w:rsidRDefault="003F47AB" w:rsidP="003F47AB">
      <w:pPr>
        <w:jc w:val="center"/>
        <w:rPr>
          <w:b/>
          <w:bCs/>
        </w:rPr>
      </w:pPr>
      <w:r w:rsidRPr="00D562BC">
        <w:rPr>
          <w:b/>
          <w:bCs/>
        </w:rPr>
        <w:t xml:space="preserve">ЗА </w:t>
      </w:r>
      <w:r w:rsidR="009A36B2" w:rsidRPr="00D562BC">
        <w:rPr>
          <w:b/>
          <w:bCs/>
        </w:rPr>
        <w:t xml:space="preserve">ПЪРВОТО </w:t>
      </w:r>
      <w:r w:rsidR="00D562BC" w:rsidRPr="00D562BC">
        <w:rPr>
          <w:b/>
          <w:bCs/>
        </w:rPr>
        <w:t xml:space="preserve">ПОЛУГОДИЕ </w:t>
      </w:r>
      <w:r w:rsidRPr="00D562BC">
        <w:rPr>
          <w:b/>
          <w:bCs/>
        </w:rPr>
        <w:t>НА 20</w:t>
      </w:r>
      <w:r w:rsidR="006D5D56" w:rsidRPr="00D562BC">
        <w:rPr>
          <w:b/>
          <w:bCs/>
        </w:rPr>
        <w:t>2</w:t>
      </w:r>
      <w:r w:rsidR="009A36B2" w:rsidRPr="00D562BC">
        <w:rPr>
          <w:b/>
          <w:bCs/>
        </w:rPr>
        <w:t>4</w:t>
      </w:r>
      <w:r w:rsidRPr="00D562BC">
        <w:rPr>
          <w:b/>
          <w:bCs/>
        </w:rPr>
        <w:t xml:space="preserve"> ГОДИНА</w:t>
      </w:r>
    </w:p>
    <w:p w14:paraId="0C015403" w14:textId="77777777" w:rsidR="00430A35" w:rsidRPr="00793C4E" w:rsidRDefault="00430A35" w:rsidP="003A06C5">
      <w:pPr>
        <w:rPr>
          <w:b/>
          <w:bCs/>
          <w:color w:val="0070C0"/>
        </w:rPr>
      </w:pPr>
    </w:p>
    <w:p w14:paraId="2A00A9BE" w14:textId="77777777" w:rsidR="00E10331" w:rsidRPr="00793C4E" w:rsidRDefault="00E10331" w:rsidP="003A06C5">
      <w:pPr>
        <w:rPr>
          <w:b/>
          <w:bCs/>
          <w:color w:val="0070C0"/>
        </w:rPr>
      </w:pPr>
    </w:p>
    <w:p w14:paraId="767CAFC4" w14:textId="77777777" w:rsidR="00E10331" w:rsidRPr="00793C4E" w:rsidRDefault="00E10331" w:rsidP="003A06C5">
      <w:pPr>
        <w:rPr>
          <w:b/>
          <w:bCs/>
          <w:color w:val="0070C0"/>
        </w:rPr>
      </w:pPr>
    </w:p>
    <w:p w14:paraId="286FF8ED" w14:textId="77777777" w:rsidR="006466C6" w:rsidRPr="006D47F0" w:rsidRDefault="006466C6" w:rsidP="006466C6">
      <w:pPr>
        <w:keepNext/>
        <w:keepLines/>
        <w:spacing w:before="40"/>
        <w:jc w:val="both"/>
        <w:outlineLvl w:val="2"/>
        <w:rPr>
          <w:b/>
          <w:lang w:eastAsia="bg-BG"/>
        </w:rPr>
      </w:pPr>
      <w:bookmarkStart w:id="1" w:name="_Toc109903428"/>
      <w:r w:rsidRPr="006D47F0">
        <w:rPr>
          <w:b/>
          <w:lang w:eastAsia="bg-BG"/>
        </w:rPr>
        <w:t>Развитие на икономическата среда</w:t>
      </w:r>
    </w:p>
    <w:bookmarkEnd w:id="1"/>
    <w:p w14:paraId="6AAD6659" w14:textId="77777777" w:rsidR="006D47F0" w:rsidRPr="006A2CDD" w:rsidRDefault="006D47F0" w:rsidP="00E926CD">
      <w:pPr>
        <w:spacing w:before="120" w:after="160"/>
        <w:jc w:val="both"/>
      </w:pPr>
      <w:r w:rsidRPr="00F86DEA">
        <w:rPr>
          <w:color w:val="000000" w:themeColor="text1"/>
        </w:rPr>
        <w:t xml:space="preserve">През първото тримесечие на 2024 г. растежът на БВП достигна 1,9 %, като с положителен принос бяха всички компоненти с изключение на изменението на запасите. Растежът на потреблението на домакинствата се ускори до </w:t>
      </w:r>
      <w:r w:rsidRPr="00E55398">
        <w:t>3,</w:t>
      </w:r>
      <w:r w:rsidRPr="006A2CDD">
        <w:t>7</w:t>
      </w:r>
      <w:r>
        <w:t> </w:t>
      </w:r>
      <w:r w:rsidRPr="006A2CDD">
        <w:t>%</w:t>
      </w:r>
      <w:r>
        <w:t>,</w:t>
      </w:r>
      <w:r w:rsidRPr="006A2CDD">
        <w:t xml:space="preserve"> подкрепен от</w:t>
      </w:r>
      <w:r>
        <w:t xml:space="preserve"> стабилно нарастване на реалния</w:t>
      </w:r>
      <w:r w:rsidRPr="006A2CDD">
        <w:t xml:space="preserve"> разполагаем доход. Инвестициите в о</w:t>
      </w:r>
      <w:r w:rsidRPr="00E55398">
        <w:t>сновен капитал се увеличиха с 8,</w:t>
      </w:r>
      <w:r w:rsidRPr="006A2CDD">
        <w:t>4</w:t>
      </w:r>
      <w:r>
        <w:t> </w:t>
      </w:r>
      <w:r w:rsidRPr="006A2CDD">
        <w:t>%</w:t>
      </w:r>
      <w:r>
        <w:t>,</w:t>
      </w:r>
      <w:r w:rsidRPr="006A2CDD">
        <w:t xml:space="preserve"> като с най-голям принос бяха инвестициите във вид на машини и оборудване. Износ</w:t>
      </w:r>
      <w:r w:rsidRPr="00E55398">
        <w:t>ът на стоки и услуги намаля с 2,</w:t>
      </w:r>
      <w:r w:rsidRPr="006A2CDD">
        <w:t>5</w:t>
      </w:r>
      <w:r>
        <w:t> </w:t>
      </w:r>
      <w:r w:rsidRPr="006A2CDD">
        <w:t xml:space="preserve">%, но бе изпреварен от спада </w:t>
      </w:r>
      <w:r>
        <w:t>на вноса от 3,</w:t>
      </w:r>
      <w:r w:rsidRPr="006A2CDD">
        <w:t>9</w:t>
      </w:r>
      <w:r>
        <w:t> </w:t>
      </w:r>
      <w:r w:rsidRPr="006A2CDD">
        <w:t>%.</w:t>
      </w:r>
      <w:r w:rsidRPr="00E55398">
        <w:t xml:space="preserve"> Краткосрочните индикатори за второ тримесечие сочат към ускоряване на икономическия растеж. Наблюдава се подобрение н</w:t>
      </w:r>
      <w:r>
        <w:t>а</w:t>
      </w:r>
      <w:r w:rsidRPr="00E55398">
        <w:t xml:space="preserve"> бизнес климата и доверието на потребителите и по-висок растеж на строителството и търговията на дребно спрямо първо тримесечие. Средно за април и май бе отчетено намаление на промишленото производство от </w:t>
      </w:r>
      <w:r w:rsidRPr="007915A6">
        <w:t>0,7</w:t>
      </w:r>
      <w:r>
        <w:t> </w:t>
      </w:r>
      <w:r w:rsidRPr="007915A6">
        <w:t>%</w:t>
      </w:r>
      <w:r>
        <w:rPr>
          <w:lang w:val="en-US"/>
        </w:rPr>
        <w:t xml:space="preserve"> </w:t>
      </w:r>
      <w:r>
        <w:t>на годишна база,</w:t>
      </w:r>
      <w:r w:rsidRPr="007915A6">
        <w:t xml:space="preserve"> </w:t>
      </w:r>
      <w:r w:rsidRPr="00E55398">
        <w:t>при 7,8</w:t>
      </w:r>
      <w:r>
        <w:t> % за първо тримесечие.</w:t>
      </w:r>
    </w:p>
    <w:p w14:paraId="193C64C3" w14:textId="0918845B" w:rsidR="006D47F0" w:rsidRDefault="006D47F0" w:rsidP="00E926CD">
      <w:pPr>
        <w:spacing w:after="160"/>
        <w:jc w:val="both"/>
      </w:pPr>
      <w:r w:rsidRPr="007915A6">
        <w:t>Благодарение на умерения ръст на икономиката, броят на заетите (според ЕСС 2010) през първото тримесечие на 2024 г. също отбеляза годишен ръст от 0,7 % и достигна 3 425 хил. души. Основен принос за ръста на заетостта имат услугите и строителството, където броят на работните места се е увеличил съответно с 1,7 % и 2,7 % на годишна база. Проблемите в промишлеността оказват влияние върху динамиката на заетостта в сектора, която е намаляла с 1,8 % спрямо първото тримесечие на 2023 г. Регистрираният през</w:t>
      </w:r>
      <w:r>
        <w:t xml:space="preserve"> първото тримесечие коефициент</w:t>
      </w:r>
      <w:r w:rsidRPr="007915A6">
        <w:t xml:space="preserve"> на безработица в страната бе 5,0 % според Наблюдението на работната сила, което е с 1,3 пр.</w:t>
      </w:r>
      <w:r w:rsidR="00966B19">
        <w:t xml:space="preserve"> </w:t>
      </w:r>
      <w:r w:rsidRPr="007915A6">
        <w:t xml:space="preserve">п. по-ниско от стойността на индикатора за ЕС. От средата на 2023 г. броят на регистрираните безработни в </w:t>
      </w:r>
      <w:r w:rsidR="00C92347" w:rsidRPr="00C92347">
        <w:t>Агенцията по заетостта</w:t>
      </w:r>
      <w:r w:rsidRPr="007915A6">
        <w:t xml:space="preserve"> се движи с около 10 хил. души повече спрямо нивата, наблюдавани през предходната година, но като цяло следва сезонните колебания характерни и за предходни години. Към края на юни</w:t>
      </w:r>
      <w:r>
        <w:t xml:space="preserve"> 2024 г.</w:t>
      </w:r>
      <w:r w:rsidRPr="007915A6">
        <w:t xml:space="preserve"> броят на регистрираните безработни е относително нисък, около 151 хил. души.</w:t>
      </w:r>
    </w:p>
    <w:p w14:paraId="3CF24D0E" w14:textId="77777777" w:rsidR="006D47F0" w:rsidRDefault="006D47F0" w:rsidP="00E926CD">
      <w:pPr>
        <w:spacing w:after="160"/>
        <w:jc w:val="both"/>
      </w:pPr>
      <w:r w:rsidRPr="007915A6">
        <w:t>През първото тримесечие на 2024 г. номиналното нарастване на средната работна заплата в страната достигна 16,8</w:t>
      </w:r>
      <w:r>
        <w:t> </w:t>
      </w:r>
      <w:r w:rsidRPr="007915A6">
        <w:t>% на годишна база. Повишението отразява нарастване</w:t>
      </w:r>
      <w:r>
        <w:t>то</w:t>
      </w:r>
      <w:r w:rsidRPr="007915A6">
        <w:t xml:space="preserve"> на минималната работна заплата в страната, в съответствие с приетите промени за </w:t>
      </w:r>
      <w:r>
        <w:t xml:space="preserve">нейната </w:t>
      </w:r>
      <w:r w:rsidRPr="007915A6">
        <w:t>актуализация . Принос към номиналния растеж на заплатите имах</w:t>
      </w:r>
      <w:r>
        <w:t>а както частният сектор (16,8 %), така и общественият (16,</w:t>
      </w:r>
      <w:r w:rsidRPr="007915A6">
        <w:t>7</w:t>
      </w:r>
      <w:r>
        <w:t> </w:t>
      </w:r>
      <w:r w:rsidRPr="007915A6">
        <w:t>%). В условията на трайно забавяне на темпа на инфлация, реалният растеж на доходите от труд, дефлиран с Х</w:t>
      </w:r>
      <w:r>
        <w:t>ИПЦ, значително се ускори до 12,</w:t>
      </w:r>
      <w:r w:rsidRPr="007915A6">
        <w:t>9</w:t>
      </w:r>
      <w:r>
        <w:t xml:space="preserve"> </w:t>
      </w:r>
      <w:r w:rsidRPr="007915A6">
        <w:t>% на годишна база. Реалният растеж на производителността на</w:t>
      </w:r>
      <w:r>
        <w:t xml:space="preserve"> труда се повиши до 1,</w:t>
      </w:r>
      <w:r w:rsidRPr="007915A6">
        <w:t>2</w:t>
      </w:r>
      <w:r>
        <w:t xml:space="preserve"> </w:t>
      </w:r>
      <w:r w:rsidRPr="007915A6">
        <w:t>% на годишна база през първото тримесечие на 2024 г. поради възходяща</w:t>
      </w:r>
      <w:r>
        <w:t>та динамика във всички основни сектори. Н</w:t>
      </w:r>
      <w:r w:rsidRPr="007915A6">
        <w:t>ай-голям ръст бе наблюдаван в селското стопанство</w:t>
      </w:r>
      <w:r>
        <w:t xml:space="preserve"> (3,4 %), следван от услугите (1,</w:t>
      </w:r>
      <w:r w:rsidRPr="007915A6">
        <w:t>8</w:t>
      </w:r>
      <w:r>
        <w:t xml:space="preserve"> </w:t>
      </w:r>
      <w:r w:rsidRPr="007915A6">
        <w:t xml:space="preserve">%) </w:t>
      </w:r>
      <w:r>
        <w:t>и индустрия без строителство (1,</w:t>
      </w:r>
      <w:r w:rsidRPr="007915A6">
        <w:t>4</w:t>
      </w:r>
      <w:r>
        <w:t> </w:t>
      </w:r>
      <w:r w:rsidRPr="007915A6">
        <w:t>%). Нарастването на производителността в преработващата промишленос</w:t>
      </w:r>
      <w:r>
        <w:t>т също беше високо и достигна 5,</w:t>
      </w:r>
      <w:r w:rsidRPr="007915A6">
        <w:t>8</w:t>
      </w:r>
      <w:r>
        <w:t xml:space="preserve"> </w:t>
      </w:r>
      <w:r w:rsidRPr="007915A6">
        <w:t>% на годишна база. Растежите на производителността в строителството и в някои икономически дейности на сектор услуги оста</w:t>
      </w:r>
      <w:r>
        <w:t xml:space="preserve">наха на отрицателна територия. </w:t>
      </w:r>
    </w:p>
    <w:p w14:paraId="3682DF1D" w14:textId="77777777" w:rsidR="006D47F0" w:rsidRDefault="006D47F0" w:rsidP="00E926CD">
      <w:pPr>
        <w:spacing w:after="160"/>
        <w:jc w:val="both"/>
      </w:pPr>
      <w:r w:rsidRPr="007915A6">
        <w:t xml:space="preserve">Тенденцията на намаление на инфлацията по месеци на годишна база, която започна от последното тримесечие на 2022 г., продължи през цялата 2023 г., както и през първото </w:t>
      </w:r>
      <w:r>
        <w:t>полугодие</w:t>
      </w:r>
      <w:r w:rsidRPr="007915A6">
        <w:t xml:space="preserve"> на 2024 г. Процесът на дезинфлация продължи без прекъсване до април 2024 г., когато инфлацията спрямо същия месец н</w:t>
      </w:r>
      <w:r>
        <w:t>а предходната година достигна 2,</w:t>
      </w:r>
      <w:r w:rsidRPr="007915A6">
        <w:t>5</w:t>
      </w:r>
      <w:r>
        <w:t xml:space="preserve"> </w:t>
      </w:r>
      <w:r w:rsidRPr="007915A6">
        <w:t xml:space="preserve">% - най-ниската стойност за последните три години. Намалението на годишната инфлация до април обхващаше всички основни компоненти на ХИПЦ. През май годишният </w:t>
      </w:r>
      <w:r>
        <w:t>темп на инфлация се ускори до 2,</w:t>
      </w:r>
      <w:r w:rsidRPr="007915A6">
        <w:t>7</w:t>
      </w:r>
      <w:r>
        <w:t xml:space="preserve"> </w:t>
      </w:r>
      <w:r w:rsidRPr="007915A6">
        <w:t>%, а</w:t>
      </w:r>
      <w:r>
        <w:t xml:space="preserve"> през юни – до 2,</w:t>
      </w:r>
      <w:r w:rsidRPr="007915A6">
        <w:t>8</w:t>
      </w:r>
      <w:r>
        <w:t xml:space="preserve"> </w:t>
      </w:r>
      <w:r w:rsidRPr="007915A6">
        <w:t xml:space="preserve">%. Това се дължеше на повишението при цените на енергийните стоки и услугите. </w:t>
      </w:r>
      <w:r w:rsidRPr="007915A6">
        <w:lastRenderedPageBreak/>
        <w:t>Базисната инфлация се ускори до 3</w:t>
      </w:r>
      <w:r w:rsidRPr="00441BD7">
        <w:t>.0</w:t>
      </w:r>
      <w:r>
        <w:t xml:space="preserve"> </w:t>
      </w:r>
      <w:r w:rsidRPr="007915A6">
        <w:t>% през май, като през ю</w:t>
      </w:r>
      <w:r>
        <w:t>ни числото остана същото, при 2,</w:t>
      </w:r>
      <w:r w:rsidRPr="007915A6">
        <w:t>5</w:t>
      </w:r>
      <w:r w:rsidR="00D77AEE">
        <w:t> </w:t>
      </w:r>
      <w:r w:rsidRPr="007915A6">
        <w:t>% през април. От компонентите на базисната инфлация, услугите продължиха да поскъпват</w:t>
      </w:r>
      <w:r>
        <w:t xml:space="preserve"> през май и юни, съответно до 4,</w:t>
      </w:r>
      <w:r w:rsidRPr="007915A6">
        <w:t>2</w:t>
      </w:r>
      <w:r>
        <w:t> % и 4,</w:t>
      </w:r>
      <w:r w:rsidRPr="007915A6">
        <w:t>7</w:t>
      </w:r>
      <w:r>
        <w:t> </w:t>
      </w:r>
      <w:r w:rsidRPr="007915A6">
        <w:t>%, докато неенергийните промишлени стоки продължиха да забавят</w:t>
      </w:r>
      <w:r>
        <w:t xml:space="preserve"> повишението си, съответно до 1,</w:t>
      </w:r>
      <w:r w:rsidRPr="007915A6">
        <w:t>7</w:t>
      </w:r>
      <w:r>
        <w:t xml:space="preserve"> % и 1,</w:t>
      </w:r>
      <w:r w:rsidRPr="007915A6">
        <w:t>1</w:t>
      </w:r>
      <w:r>
        <w:t xml:space="preserve"> </w:t>
      </w:r>
      <w:r w:rsidRPr="007915A6">
        <w:t>%, спрямо съответния месец на 2023 г.</w:t>
      </w:r>
    </w:p>
    <w:p w14:paraId="55B62AE2" w14:textId="77777777" w:rsidR="006D47F0" w:rsidRPr="00D2447A" w:rsidRDefault="006D47F0" w:rsidP="00E926CD">
      <w:pPr>
        <w:spacing w:after="160"/>
        <w:jc w:val="both"/>
      </w:pPr>
      <w:r>
        <w:t>За периода януари-май 202</w:t>
      </w:r>
      <w:r w:rsidRPr="00D8244D">
        <w:t>4</w:t>
      </w:r>
      <w:r>
        <w:t> г. излишъкът по текущата сметка достигна 0,5</w:t>
      </w:r>
      <w:r>
        <w:rPr>
          <w:lang w:val="en-US"/>
        </w:rPr>
        <w:t> </w:t>
      </w:r>
      <w:r>
        <w:t>% от прогнозния БВП, спрямо дефицит от 0,4 % година по-рано. Подобрение на балансите имаше във всички подсметки с изключение на търговията със стоки. Външното търсене бе слабо, докато низходящата тенденция при международните цени се забави и през последните месеци бе отчетено покачване на цените спрямо 2023 г. В резултат, темповете на номинален спад във външната търговия със стоки постепенно намаляха, а през април и май се редуваха положителни и отрицателни изменения. За разглеждания период износът се понижи с 6,8 % на годишна база, вносът – с 0,7 %, а търговският дефицит възлезе на 1,9 % от прогнозния БВП, при 1,2 % година по-рано. Продължи увеличението на чуждестранните посещения в страната, като по-високите приходи от туризъм и транспортни услуги бяха водещи за нарастването на излишъка при услугите до 2,4 % от прогнозния БВП. Общото салдо по доходните статии бе балансирано, при традиционно отрицателни нива.</w:t>
      </w:r>
      <w:r w:rsidRPr="00D8244D">
        <w:t xml:space="preserve"> </w:t>
      </w:r>
    </w:p>
    <w:p w14:paraId="489807A7" w14:textId="77777777" w:rsidR="006D47F0" w:rsidRDefault="006D47F0" w:rsidP="00E926CD">
      <w:pPr>
        <w:spacing w:before="120" w:after="120"/>
        <w:jc w:val="both"/>
      </w:pPr>
      <w:r w:rsidRPr="0046232B">
        <w:t xml:space="preserve">За първите шест месеца на </w:t>
      </w:r>
      <w:r>
        <w:t xml:space="preserve">2024 г. </w:t>
      </w:r>
      <w:r w:rsidRPr="0046232B">
        <w:t xml:space="preserve">търсенето на кредити </w:t>
      </w:r>
      <w:r>
        <w:t>от частния сектор остана силно</w:t>
      </w:r>
      <w:r w:rsidRPr="0046232B">
        <w:t xml:space="preserve">, особено в сегмента на домакинствата, което беше </w:t>
      </w:r>
      <w:r>
        <w:t xml:space="preserve">валидно и за цялата 2023 г. В края на юни темпът му на растеж достигна 13,6 % на годишна база, при 12,2 % в края на 2023 г. </w:t>
      </w:r>
      <w:r w:rsidRPr="0046232B">
        <w:t xml:space="preserve">Търсенето на </w:t>
      </w:r>
      <w:r>
        <w:t xml:space="preserve">заемни средства от домакинствата продължи </w:t>
      </w:r>
      <w:r w:rsidRPr="0046232B">
        <w:t xml:space="preserve">да се движи както от потребителските кредити, така и от </w:t>
      </w:r>
      <w:r>
        <w:t>тези за покупка на жилища</w:t>
      </w:r>
      <w:r w:rsidRPr="0046232B">
        <w:t>. Основн</w:t>
      </w:r>
      <w:r>
        <w:t xml:space="preserve">ите фактори за това продължиха </w:t>
      </w:r>
      <w:r w:rsidRPr="0046232B">
        <w:t>да бъдат относително високи</w:t>
      </w:r>
      <w:r>
        <w:t>ят номинален растеж на заплатите</w:t>
      </w:r>
      <w:r w:rsidRPr="0046232B">
        <w:t xml:space="preserve">, ниските номинални лихвени проценти и </w:t>
      </w:r>
      <w:r>
        <w:t xml:space="preserve">продължаващата възходяща тенденция при цените на жилищата. В същото време, от </w:t>
      </w:r>
      <w:r w:rsidRPr="0046232B">
        <w:t>страна на предлагането</w:t>
      </w:r>
      <w:r>
        <w:t>,</w:t>
      </w:r>
      <w:r w:rsidRPr="0046232B">
        <w:t xml:space="preserve"> високите к</w:t>
      </w:r>
      <w:r>
        <w:t xml:space="preserve">апиталови буфери, конкуренцията и ликвидността </w:t>
      </w:r>
      <w:r w:rsidRPr="0046232B">
        <w:t xml:space="preserve">на банките </w:t>
      </w:r>
      <w:r>
        <w:t xml:space="preserve">допринесоха за все още слабата трансмисия на паричната политика на ЕЦБ. </w:t>
      </w:r>
      <w:r w:rsidRPr="00402416">
        <w:t xml:space="preserve">Към края на юни </w:t>
      </w:r>
      <w:r>
        <w:t xml:space="preserve">годишният темп на растеж на </w:t>
      </w:r>
      <w:r w:rsidRPr="00402416">
        <w:t xml:space="preserve">кредитите на домакинствата </w:t>
      </w:r>
      <w:r>
        <w:t xml:space="preserve">достигна </w:t>
      </w:r>
      <w:r w:rsidRPr="00402416">
        <w:t>19</w:t>
      </w:r>
      <w:r w:rsidR="00ED18E9">
        <w:t xml:space="preserve"> </w:t>
      </w:r>
      <w:r w:rsidRPr="00402416">
        <w:t>%</w:t>
      </w:r>
      <w:r>
        <w:t xml:space="preserve">, като потребителските </w:t>
      </w:r>
      <w:r w:rsidRPr="00402416">
        <w:t>и и</w:t>
      </w:r>
      <w:r>
        <w:t xml:space="preserve">потечните кредити </w:t>
      </w:r>
      <w:r w:rsidRPr="00402416">
        <w:t>се повишиха съответно с 14</w:t>
      </w:r>
      <w:r>
        <w:t xml:space="preserve">,0 </w:t>
      </w:r>
      <w:r w:rsidRPr="00402416">
        <w:t>% и 24,8</w:t>
      </w:r>
      <w:r>
        <w:t xml:space="preserve"> %. Нарастването на кредитите за нефинансови предприятия също се ускори </w:t>
      </w:r>
      <w:r w:rsidRPr="00402416">
        <w:t xml:space="preserve">в </w:t>
      </w:r>
      <w:r>
        <w:t xml:space="preserve">съпоставка с края на 2023 г. до </w:t>
      </w:r>
      <w:r w:rsidRPr="00402416">
        <w:t>8,5</w:t>
      </w:r>
      <w:r>
        <w:t xml:space="preserve"> </w:t>
      </w:r>
      <w:r w:rsidRPr="00402416">
        <w:t>% на годишна база</w:t>
      </w:r>
      <w:r>
        <w:t xml:space="preserve">, при 7,3 % в края на декември 2023 г. </w:t>
      </w:r>
      <w:r w:rsidRPr="00402416">
        <w:t xml:space="preserve">Ръстът </w:t>
      </w:r>
      <w:r>
        <w:t xml:space="preserve">им </w:t>
      </w:r>
      <w:r w:rsidRPr="00402416">
        <w:t>продължи да се движи предимно от средносрочни</w:t>
      </w:r>
      <w:r>
        <w:t xml:space="preserve">те и дългосрочните кредити, но от април отново започна да се наблюдава ускорение при фирмения </w:t>
      </w:r>
      <w:r w:rsidRPr="00402416">
        <w:t>овърдра</w:t>
      </w:r>
      <w:r>
        <w:t xml:space="preserve">фт. </w:t>
      </w:r>
    </w:p>
    <w:p w14:paraId="0B6A6C8F" w14:textId="77777777" w:rsidR="006D47F0" w:rsidRPr="00CC22C9" w:rsidRDefault="006D47F0" w:rsidP="00CC22C9">
      <w:pPr>
        <w:keepNext/>
        <w:keepLines/>
        <w:spacing w:before="240"/>
        <w:jc w:val="both"/>
        <w:outlineLvl w:val="2"/>
        <w:rPr>
          <w:b/>
          <w:lang w:eastAsia="bg-BG"/>
        </w:rPr>
      </w:pPr>
      <w:bookmarkStart w:id="2" w:name="_Toc109903426"/>
      <w:r w:rsidRPr="00CC22C9">
        <w:rPr>
          <w:b/>
          <w:lang w:eastAsia="bg-BG"/>
        </w:rPr>
        <w:t>Основни акценти във връзка с текущото наблюдение на изпълнението на консолидираната фискална програма за първото полугодие на 2024 г.</w:t>
      </w:r>
      <w:bookmarkEnd w:id="2"/>
    </w:p>
    <w:p w14:paraId="0CD36A17" w14:textId="77777777" w:rsidR="006D47F0" w:rsidRDefault="006D47F0" w:rsidP="00E926CD">
      <w:pPr>
        <w:rPr>
          <w:color w:val="548DD4" w:themeColor="text2" w:themeTint="99"/>
          <w:sz w:val="12"/>
          <w:szCs w:val="12"/>
        </w:rPr>
      </w:pPr>
    </w:p>
    <w:p w14:paraId="2599BA6A" w14:textId="77777777" w:rsidR="006D47F0" w:rsidRDefault="006D47F0" w:rsidP="00E926CD">
      <w:pPr>
        <w:spacing w:after="120"/>
        <w:jc w:val="both"/>
      </w:pPr>
      <w:r>
        <w:t xml:space="preserve">В края на месец април 2024 г. Съвета на ЕС окончателно одобри </w:t>
      </w:r>
      <w:r w:rsidRPr="0081069F">
        <w:t>Регламент (ЕС) 2024/1263 на Европейския парламент и на Съвета от 29 април 2024 година за ефективна координация на икономическите политики и за многостранно бюджетно наблюдение и за отмяна на Регламент (ЕО) № 1466/97 на Съвета (OВ, L от 30 април 2024</w:t>
      </w:r>
      <w:r>
        <w:t xml:space="preserve"> г.)</w:t>
      </w:r>
      <w:r w:rsidRPr="0081069F">
        <w:t>, с влизането в сила на който се реформира</w:t>
      </w:r>
      <w:r>
        <w:t xml:space="preserve"> Пакта за стабилност и растеж. Пакта представлява нормативната рамка за координация на националните фискални политики на държавите-членки на ЕС. По силата на одобреното ново европейско законодателство се отменя необходимостта от подготовка от България на Конвергентна програма и Национална програма за реформи на Република България занапред, но се въвежда задължение страната да изготвя Национален средносрочен фискално-структурен план. Съгласно специфичната уредба за изготвянето на първите фискално-структурни планове за държавите-членки всяка от тях следва да представи своя първи план на ЕК до 20 септември 2024 г., освен ако не е постигнато съгласие между съответната държава членка и Европейската комисия да удължат този краен срок с разумен период от време. България е отправила искане до ЕК за удължаване на срока за изпращане на първия ѝ план до края на октомври т.г.</w:t>
      </w:r>
    </w:p>
    <w:p w14:paraId="159147FB" w14:textId="77777777" w:rsidR="006D47F0" w:rsidRPr="003A6F59" w:rsidRDefault="006D47F0" w:rsidP="00E926CD">
      <w:pPr>
        <w:tabs>
          <w:tab w:val="left" w:pos="7371"/>
        </w:tabs>
        <w:spacing w:after="120"/>
        <w:jc w:val="both"/>
        <w:rPr>
          <w:lang w:val="en-US"/>
        </w:rPr>
      </w:pPr>
      <w:r w:rsidRPr="003A6F59">
        <w:t xml:space="preserve">През месец юни Европейската комисия и Европейската централна банка </w:t>
      </w:r>
      <w:r>
        <w:t>публикуваха</w:t>
      </w:r>
      <w:r w:rsidRPr="003A6F59">
        <w:t xml:space="preserve"> конвергентните доклади за 2024 г., в които представят оценката си за напредъка по пътя към еврозоната, постигнат от шестте държави членки, задължени да приемат еврото: България, Чехия, Унгария, Полша, Румъния и Швеция.</w:t>
      </w:r>
      <w:r>
        <w:rPr>
          <w:lang w:val="en-US"/>
        </w:rPr>
        <w:t xml:space="preserve"> </w:t>
      </w:r>
      <w:r>
        <w:t>Според докладите с</w:t>
      </w:r>
      <w:r w:rsidRPr="003A6F59">
        <w:t>траната ни изпълнява три от четирите числови критерия за членство</w:t>
      </w:r>
      <w:r>
        <w:t xml:space="preserve"> в еврозоната</w:t>
      </w:r>
      <w:r w:rsidRPr="003A6F59">
        <w:t xml:space="preserve">, а именно този за стабилност на публичните финанси (бюджетно салдо и държавен дълг), за валутния курс и за дългосрочния лихвен процент. България не изпълнява единствено критерия за ценова стабилност, като очакванията са инфлацията да се понижи през следващите месеци, което би позволило </w:t>
      </w:r>
      <w:r>
        <w:t>изпълнение и на този критерии до края на годината</w:t>
      </w:r>
      <w:r w:rsidRPr="003A6F59">
        <w:t>.</w:t>
      </w:r>
      <w:r>
        <w:t xml:space="preserve"> България ще продължи</w:t>
      </w:r>
      <w:r w:rsidRPr="003A6F59">
        <w:t xml:space="preserve"> активно да работ</w:t>
      </w:r>
      <w:r>
        <w:t>и</w:t>
      </w:r>
      <w:r w:rsidRPr="003A6F59">
        <w:t xml:space="preserve"> за изпълнението на всички критерии за членство в еврозоната, както и за подобряване на бизнес средата и институционалната рамка за постигане на устойчиво сближаване с еврозоната. При покриване на всички критерии за членство, което се очаква да бъде изпълнено в края на годината, страната ни ще поиска изготвянето на извънредни конвергентни доклади от Европейската комисия и Европейската централна банка, на базата на които възможно най-скоро да се вземе решение за датата на членство на България в еврозоната.</w:t>
      </w:r>
    </w:p>
    <w:p w14:paraId="01832900" w14:textId="77777777" w:rsidR="006D47F0" w:rsidRDefault="006D47F0" w:rsidP="00E926CD">
      <w:pPr>
        <w:tabs>
          <w:tab w:val="left" w:pos="7371"/>
        </w:tabs>
        <w:spacing w:after="120"/>
        <w:jc w:val="both"/>
      </w:pPr>
      <w:r w:rsidRPr="001E1E12">
        <w:t>Фискалните развити</w:t>
      </w:r>
      <w:r>
        <w:t>я през първото полугодие на 2024</w:t>
      </w:r>
      <w:r w:rsidRPr="001E1E12">
        <w:t xml:space="preserve"> г</w:t>
      </w:r>
      <w:r w:rsidRPr="005217E8">
        <w:rPr>
          <w:lang w:val="ru-RU"/>
        </w:rPr>
        <w:t>.</w:t>
      </w:r>
      <w:r w:rsidRPr="001E1E12">
        <w:t xml:space="preserve"> бяха доминирани от множество фактори, влияещи разнопосочно върху бюджетните показатели. </w:t>
      </w:r>
      <w:r>
        <w:t xml:space="preserve">От една страна завръщането към нормалния бюджетен процес и приемането на закона за бюджета преди началото на бюджетната година повиши предвидимостта за икономиката и се очаква да подкрепи растежа с одобрената безпрецедентна по размер капиталова програма. Тенденциите на забавяне и спад при инфлацията продължиха, а безработицата остана на ниско равнище. От друга страна обаче страната отново се завърна към периода на политическа нестабилност, което съответно води до по-голяма неопределеност сред икономическите субекти за политиките и приоритетите, които ще бъдат следвани в краткосрочен и средносрочен план. </w:t>
      </w:r>
      <w:r w:rsidRPr="001E1E12">
        <w:t>Върху фиска продълж</w:t>
      </w:r>
      <w:r>
        <w:t>иха</w:t>
      </w:r>
      <w:r w:rsidRPr="001E1E12">
        <w:t xml:space="preserve"> да оказват влияние </w:t>
      </w:r>
      <w:r w:rsidRPr="00CC114A">
        <w:t>цени</w:t>
      </w:r>
      <w:r>
        <w:t xml:space="preserve">те на международните </w:t>
      </w:r>
      <w:r w:rsidRPr="001E1E12">
        <w:t>пазари на суровини и енергоносители,</w:t>
      </w:r>
      <w:r>
        <w:t xml:space="preserve"> нарушените вериги за доставка,</w:t>
      </w:r>
      <w:r w:rsidRPr="001E1E12">
        <w:t xml:space="preserve"> наложените санкции поради войната в Украйна</w:t>
      </w:r>
      <w:r>
        <w:t xml:space="preserve"> и други</w:t>
      </w:r>
      <w:r w:rsidRPr="001E1E12">
        <w:t xml:space="preserve">. </w:t>
      </w:r>
    </w:p>
    <w:p w14:paraId="1FC89D0C" w14:textId="77777777" w:rsidR="006D47F0" w:rsidRPr="003A5199" w:rsidRDefault="006D47F0" w:rsidP="00E926CD">
      <w:pPr>
        <w:tabs>
          <w:tab w:val="left" w:pos="7371"/>
        </w:tabs>
        <w:spacing w:after="120"/>
        <w:jc w:val="both"/>
        <w:rPr>
          <w:lang w:val="en-US"/>
        </w:rPr>
      </w:pPr>
      <w:r w:rsidRPr="00E427D9">
        <w:t xml:space="preserve">От страна на приходите към полугодието се наблюдава нарастване на данъчните </w:t>
      </w:r>
      <w:r>
        <w:t xml:space="preserve">приходи и </w:t>
      </w:r>
      <w:r w:rsidRPr="00E427D9">
        <w:t xml:space="preserve">приходите в частта на помощите </w:t>
      </w:r>
      <w:r>
        <w:t xml:space="preserve">и даренията </w:t>
      </w:r>
      <w:r w:rsidRPr="00E427D9">
        <w:t>(основно грантове по програмите и фондовете на ЕС)</w:t>
      </w:r>
      <w:r>
        <w:t>, докато неданъчните приходи</w:t>
      </w:r>
      <w:r w:rsidRPr="00E427D9">
        <w:t xml:space="preserve"> се свиват спрямо същия период на предходната година. В номинално изражение приходите по КФП нарастват с близо 3,</w:t>
      </w:r>
      <w:r>
        <w:t>1</w:t>
      </w:r>
      <w:r w:rsidRPr="00E427D9">
        <w:t xml:space="preserve"> млрд. лв. (</w:t>
      </w:r>
      <w:r>
        <w:t>9,8</w:t>
      </w:r>
      <w:r w:rsidRPr="00E427D9">
        <w:t xml:space="preserve"> на сто) сп</w:t>
      </w:r>
      <w:r>
        <w:t>рямо първите шест месеца на 2023</w:t>
      </w:r>
      <w:r w:rsidRPr="00E427D9">
        <w:t xml:space="preserve"> г., като основната част от този ръст се формира от данъчните пр</w:t>
      </w:r>
      <w:r>
        <w:t>иходи, които нарастват с над 2,6</w:t>
      </w:r>
      <w:r w:rsidRPr="00E427D9">
        <w:t xml:space="preserve"> млрд. лв. (10,</w:t>
      </w:r>
      <w:r>
        <w:t>7</w:t>
      </w:r>
      <w:r w:rsidRPr="00E427D9">
        <w:t xml:space="preserve"> на сто). </w:t>
      </w:r>
      <w:r>
        <w:rPr>
          <w:color w:val="000000" w:themeColor="text1"/>
        </w:rPr>
        <w:t>Първото тримесечие на годината очерта ясно изразено забавяне при косвените данъци, които останаха номинално по-ниски от отчетените за същия период на 2023 г. Докато причините за забавянето при акцизите бяха свързани основно с базов ефект от увеличение на ставките през 2023 г.</w:t>
      </w:r>
      <w:r w:rsidR="00BD0CB2">
        <w:rPr>
          <w:color w:val="000000" w:themeColor="text1"/>
        </w:rPr>
        <w:t>,</w:t>
      </w:r>
      <w:r>
        <w:rPr>
          <w:color w:val="000000" w:themeColor="text1"/>
        </w:rPr>
        <w:t xml:space="preserve"> то при ДДС от внос продължиха да оказват влияние цените на нефта и други основни суровини на международните пазари, обема на внесените стоки, курса на щатския долар и др. Номиналният ръст на постъпленията от ДДС за първото тримесечие остана нисък (3,9 на сто). Предприетите действия от приходните администрации за повишаване на събираемостта дадоха положителен резултат, като постъпленията от ДДС за второто тримесечие на 2024 г. отчитат номинален ръст от </w:t>
      </w:r>
      <w:r w:rsidR="00D33C51">
        <w:rPr>
          <w:color w:val="000000" w:themeColor="text1"/>
        </w:rPr>
        <w:t>23,9</w:t>
      </w:r>
      <w:r>
        <w:rPr>
          <w:color w:val="000000" w:themeColor="text1"/>
        </w:rPr>
        <w:t xml:space="preserve"> на сто спрямо второто тримесечие на 2023 г. Това съответно компенсира в голяма степен забавянето от първото тримесечие и данъчните приходи към полугодието са близки до разчета за периода. Изпълнението на разчетите към ЗДБРБ за 2024 г. в частта на данъчните приходи по КФП към полугодието на 2024 г. е 46,9 на сто, което е малко по-добро от отчетеното за същия период на 2023 г. (46,2 на сто).</w:t>
      </w:r>
    </w:p>
    <w:p w14:paraId="6E3DAA1A" w14:textId="77777777" w:rsidR="006D47F0" w:rsidRPr="00450E8B" w:rsidRDefault="001C54B8" w:rsidP="00E926CD">
      <w:pPr>
        <w:tabs>
          <w:tab w:val="left" w:pos="7371"/>
        </w:tabs>
        <w:spacing w:after="120"/>
        <w:jc w:val="both"/>
      </w:pPr>
      <w:r w:rsidRPr="00AC4508">
        <w:t>В частта на неданъчните приходи се очертава забавяне основно при постъпленията от продажба на квоти за емисии на парникови газове по бюджета на Фонд „Сигурност на електроенергийната система“ (ФСЕС) и при приходите от дивидент за държавата от държавни предприятия</w:t>
      </w:r>
      <w:r w:rsidR="006D47F0" w:rsidRPr="00AC4508">
        <w:t>.</w:t>
      </w:r>
      <w:r w:rsidR="006D47F0" w:rsidRPr="00386889">
        <w:rPr>
          <w:rFonts w:eastAsia="Calibri"/>
        </w:rPr>
        <w:t xml:space="preserve"> </w:t>
      </w:r>
      <w:r w:rsidR="006D47F0">
        <w:rPr>
          <w:rFonts w:eastAsia="Calibri"/>
        </w:rPr>
        <w:t xml:space="preserve">Цените и количествата продадени квоти за първите шест месеца на годината са по-ниски от заложените в плана за годината, което съответно води до по-ниски от планираните постъпления по бюджета на ФСЕС. При постъпленията от дивидент за държавата от държавни предприятия постъпленията през настоящата година са значително по-малко от отчетените към полугодието на 2023 г. – при постъпили </w:t>
      </w:r>
      <w:r w:rsidR="006D47F0" w:rsidRPr="00CE4CC7">
        <w:t>727,8 млн. лв.</w:t>
      </w:r>
      <w:r w:rsidR="00842D8A">
        <w:t xml:space="preserve"> </w:t>
      </w:r>
      <w:r w:rsidR="006D47F0" w:rsidRPr="00CE4CC7">
        <w:t>от дивидент за държава</w:t>
      </w:r>
      <w:r w:rsidR="006D47F0">
        <w:t>та</w:t>
      </w:r>
      <w:r w:rsidR="006D47F0" w:rsidRPr="00CE4CC7">
        <w:t xml:space="preserve"> от държавни предприятия за шест</w:t>
      </w:r>
      <w:r w:rsidR="006D47F0">
        <w:t>т</w:t>
      </w:r>
      <w:r w:rsidR="006D47F0" w:rsidRPr="00CE4CC7">
        <w:t xml:space="preserve">е месеца на 2023 г., през същия период на 2024 г. са постъпили едва 78,5 млн. лв., което е в резултат </w:t>
      </w:r>
      <w:r w:rsidR="00CF3061">
        <w:t>основно</w:t>
      </w:r>
      <w:r w:rsidR="00CF3061" w:rsidRPr="00CE4CC7">
        <w:t xml:space="preserve"> </w:t>
      </w:r>
      <w:r w:rsidR="006D47F0" w:rsidRPr="00CE4CC7">
        <w:t>на неразпределяне на дивидент от печалбата на „БЕХ“ ЕАД за финансовата 2023 г. през 2024 година.</w:t>
      </w:r>
    </w:p>
    <w:p w14:paraId="4EB39D7F" w14:textId="0FEA5BDF" w:rsidR="006D47F0" w:rsidRPr="00A25D35" w:rsidRDefault="006D47F0" w:rsidP="00E926CD">
      <w:pPr>
        <w:tabs>
          <w:tab w:val="left" w:pos="7371"/>
        </w:tabs>
        <w:spacing w:after="120"/>
        <w:jc w:val="both"/>
      </w:pPr>
      <w:r>
        <w:t xml:space="preserve">Изпълнението на разчетите в частта на помощите към полугодието е относително ниско, основно поради забавянето на постъпленията по втория, респективно третия транш по Механизма за възстановяване и устойчивост (МВУ). </w:t>
      </w:r>
      <w:r w:rsidRPr="00A25D35">
        <w:t>Към настоящия момент второто искане за плащане, което е изпратено към Европейската комисия (ЕК) на 07.10.2023 г., е в етап на оценка. Съществува риск от намаляване на размера на заявените средства (1</w:t>
      </w:r>
      <w:r>
        <w:t>,3</w:t>
      </w:r>
      <w:r w:rsidRPr="00A25D35">
        <w:t> </w:t>
      </w:r>
      <w:r>
        <w:t>млрд</w:t>
      </w:r>
      <w:r w:rsidRPr="00A25D35">
        <w:t>. л</w:t>
      </w:r>
      <w:r>
        <w:t>в</w:t>
      </w:r>
      <w:r w:rsidRPr="00A25D35">
        <w:t xml:space="preserve">.), поради включени в искането няколко ключови реформи в област Правосъдие и област Енергетика, на базата на които Националния план за възстановяване и устойчивост (НПВУ) е получил положителна оценка и за които ЕК не приема декларираното изпълнение като задоволително. Очакват се действия, както от страна на Народното събрание за осигуряване на съответствие на част от законодателните реформи с поетите ангажименти в НПВУ, така и от страна на органи, част от Съдебната система. Съгласно методологията, която прилага ЕК за неизпълнение на етапи и цели от ключови реформи, стойността на задържаната сума за всеки етап се екстраполира с коефициент над 5. Допустимия период за коригиране на приетите като незадоволително изпълнени етапи и цели е 6 месеца, след което стойността на същите съгласно оценката на ЕК се намалява от общата сума на Плана. </w:t>
      </w:r>
      <w:r w:rsidR="001B6785" w:rsidRPr="001B6785">
        <w:rPr>
          <w:color w:val="000000" w:themeColor="text1"/>
        </w:rPr>
        <w:t xml:space="preserve">С протоколно решение № 30 на Министерския съвет от 17 юли 2024 г. е взето решение за финализиране на преговорите с ЕК във връзка с изменението на НПВУ на основание член 21 от Регламент (ЕС) 2021/241 за създаване на МВУ (Регламента за МВУ) и за представяне на глава REPowerEU съгласно член 21в от Регламента, в срок до 11 септември 2024 г. </w:t>
      </w:r>
      <w:r>
        <w:rPr>
          <w:color w:val="000000" w:themeColor="text1"/>
        </w:rPr>
        <w:t>Процесът влияе на подаването на третото искане за плащане, което е на стойност 1,4 млрд. лв. и многократно увеличава риска от неполучаване на средствата в рамките на 2024 г.</w:t>
      </w:r>
    </w:p>
    <w:p w14:paraId="5BADDE89" w14:textId="77777777" w:rsidR="006D47F0" w:rsidRPr="00636354" w:rsidRDefault="006D47F0" w:rsidP="00E926CD">
      <w:pPr>
        <w:tabs>
          <w:tab w:val="left" w:pos="7371"/>
        </w:tabs>
        <w:spacing w:after="120"/>
        <w:jc w:val="both"/>
      </w:pPr>
      <w:r w:rsidRPr="00636354">
        <w:t xml:space="preserve">През първите шест месеца на 2024 г. се </w:t>
      </w:r>
      <w:r w:rsidR="002A6F90" w:rsidRPr="002A6F90">
        <w:t xml:space="preserve">наблюдава </w:t>
      </w:r>
      <w:r w:rsidRPr="00636354">
        <w:t xml:space="preserve">относително ускорено нарастване на разходите, докато нарастването в частта на приходите бе по-умерено, което съответно се отрази във формиране на дефицит в размер на 0,6 млрд. лв. (0,3% от прогнозния БВП) по консолидираната фискална програма към края на юни 2024 г. За разлика от предходната година, когато през юни и юли еднократните приходи от дивидент за държавата от държавни предприятия компенсираха натрупания дефицит от предходните месеци, през 2024 г. ръстът на разходите е по-висок от темпа на нарастване на приходите, включително и поради липсата на еднократни приходи, което е причината бюджетното салдо да премине на отрицателна територия още към полугодието. </w:t>
      </w:r>
    </w:p>
    <w:p w14:paraId="383F1FF6" w14:textId="77777777" w:rsidR="006D47F0" w:rsidRPr="00AA0C9B" w:rsidRDefault="006D47F0" w:rsidP="00E926CD">
      <w:pPr>
        <w:tabs>
          <w:tab w:val="left" w:pos="7371"/>
        </w:tabs>
        <w:spacing w:after="120"/>
        <w:jc w:val="both"/>
      </w:pPr>
      <w:r w:rsidRPr="00AA0C9B">
        <w:t>На съпоставима база</w:t>
      </w:r>
      <w:r w:rsidRPr="005D6136">
        <w:rPr>
          <w:vertAlign w:val="superscript"/>
        </w:rPr>
        <w:footnoteReference w:id="2"/>
      </w:r>
      <w:r w:rsidRPr="00AA0C9B">
        <w:t xml:space="preserve"> спрямо същия период на предходната година разходите и вноската в общия бюджет на ЕС нарастват номинално с близо 5,1 млрд. лв. (16,3 на сто), което се дължи основно на по-високия размер на разходите по националния бюджет. В отделните разходни показатели най-значително нарастване има при </w:t>
      </w:r>
      <w:r>
        <w:t>социалните и здравноосигурителните разходи</w:t>
      </w:r>
      <w:r w:rsidRPr="00AA0C9B">
        <w:t xml:space="preserve"> (2,</w:t>
      </w:r>
      <w:r>
        <w:t>5</w:t>
      </w:r>
      <w:r w:rsidRPr="00AA0C9B">
        <w:t xml:space="preserve"> млрд. лв.), както и в частта на разходите за персонал (1,</w:t>
      </w:r>
      <w:r>
        <w:t>9</w:t>
      </w:r>
      <w:r w:rsidRPr="00AA0C9B">
        <w:t xml:space="preserve"> млрд. лв.), капиталовите разх</w:t>
      </w:r>
      <w:r>
        <w:t>оди (1,0</w:t>
      </w:r>
      <w:r w:rsidRPr="00AA0C9B">
        <w:t xml:space="preserve"> млрд. лв.) и други. Ръстът на разходите се дължи на влезли в сила нормативни актове, вкл. промени в пенсионната сфера, </w:t>
      </w:r>
      <w:r>
        <w:t xml:space="preserve">разходи по реализирането на одобрени от </w:t>
      </w:r>
      <w:r w:rsidR="00C96D21">
        <w:t>Н</w:t>
      </w:r>
      <w:r>
        <w:t>ародното събрание инвестиционни проекти в сферата на отбраната</w:t>
      </w:r>
      <w:r w:rsidR="00154C95">
        <w:t xml:space="preserve"> и други инвестиционни разходи</w:t>
      </w:r>
      <w:r w:rsidRPr="00AA0C9B">
        <w:t>, влезли в сила увеличени размери на възнагражденията в редица администрации и други.</w:t>
      </w:r>
    </w:p>
    <w:p w14:paraId="68B9F350" w14:textId="219C7E6B" w:rsidR="006D47F0" w:rsidRPr="00AA0C9B" w:rsidRDefault="006D47F0" w:rsidP="00E926CD">
      <w:pPr>
        <w:tabs>
          <w:tab w:val="left" w:pos="7371"/>
        </w:tabs>
        <w:spacing w:after="120"/>
        <w:jc w:val="both"/>
      </w:pPr>
      <w:r w:rsidRPr="00AA0C9B">
        <w:t xml:space="preserve">При отделните елементи на разходите, съпоставено със същия период на предходната година, най-значителен номинален ръст се отчита при социалните и здравноосигурителните разходи (2,5 млрд. лв. или 18,2 на сто), в т.ч. разходите за пенсии нарастват с 1,2 млрд. лв. (12,9 на сто). Основните мерки в пенсионната сфера, действащи през първото полугодие на 2024 г., влязоха в сила през 2023 г.: от 1 юли 2023 г. бяха </w:t>
      </w:r>
      <w:r w:rsidR="00D17BE1" w:rsidRPr="00D17BE1">
        <w:t xml:space="preserve">увеличени пенсиите </w:t>
      </w:r>
      <w:r w:rsidRPr="00AA0C9B">
        <w:t>по т.</w:t>
      </w:r>
      <w:r w:rsidR="00B735D8">
        <w:t xml:space="preserve"> </w:t>
      </w:r>
      <w:r w:rsidRPr="00AA0C9B">
        <w:t>н</w:t>
      </w:r>
      <w:r w:rsidR="00B17EEC">
        <w:t>ар</w:t>
      </w:r>
      <w:r w:rsidRPr="00AA0C9B">
        <w:t xml:space="preserve">. „швейцарското правило“, като заедно с това бяха повишени минималните размери на трудовите пенсии и определени нови по-високи размери на пенсиите, несвързани с трудова дейност. Съвкупният ефект от тези промени засяга общо 2 013 700 пенсионери и възлиза </w:t>
      </w:r>
      <w:r>
        <w:t xml:space="preserve">средно-претеглено </w:t>
      </w:r>
      <w:r w:rsidRPr="00AA0C9B">
        <w:t>на 12 на сто увеличение след тяхното прилагане.</w:t>
      </w:r>
      <w:r>
        <w:t xml:space="preserve"> </w:t>
      </w:r>
      <w:r w:rsidRPr="00AE5897">
        <w:t xml:space="preserve">Предвид обстоятелството, че посочените мерки не са действали през първото полугодие на 2023 г. при съпоставката със същия период на предходната година се наблюдава базов ефект, което обуславя относително високия номинален ръст. </w:t>
      </w:r>
    </w:p>
    <w:p w14:paraId="40B820D3" w14:textId="77777777" w:rsidR="006D47F0" w:rsidRPr="00AE5897" w:rsidRDefault="006D47F0" w:rsidP="00E926CD">
      <w:pPr>
        <w:tabs>
          <w:tab w:val="left" w:pos="7371"/>
        </w:tabs>
        <w:spacing w:after="120"/>
        <w:jc w:val="both"/>
      </w:pPr>
      <w:r w:rsidRPr="00AE5897">
        <w:t xml:space="preserve">Друг елемент на разходите, при който се отчита съществено нарастване спрямо полугодието на предходната година (с 1,9 млрд. лв. или 24,5 на сто) са разходите за персонал. Разгледани по съставни бюджети, най-съществена част от </w:t>
      </w:r>
      <w:r w:rsidR="00630B2D" w:rsidRPr="00630B2D">
        <w:t>номиналното нарастване</w:t>
      </w:r>
      <w:r w:rsidRPr="00630B2D">
        <w:t xml:space="preserve"> </w:t>
      </w:r>
      <w:r w:rsidRPr="00AE5897">
        <w:t xml:space="preserve">на разходите за персонал се формира </w:t>
      </w:r>
      <w:r>
        <w:t>по държавния бюджет, където те</w:t>
      </w:r>
      <w:r w:rsidRPr="00AE5897">
        <w:t xml:space="preserve"> нарастват с близо 0,9 млрд. лв. (23,3 на сто), следвани от разходите за персонал по бюджетите на общините, които нарастват с близо 0,8 млрд. лв. (</w:t>
      </w:r>
      <w:r>
        <w:t>27</w:t>
      </w:r>
      <w:r w:rsidRPr="00AE5897">
        <w:t>,</w:t>
      </w:r>
      <w:r>
        <w:t>2</w:t>
      </w:r>
      <w:r w:rsidRPr="00AE5897">
        <w:t xml:space="preserve"> на сто). Нарастването на разходите се дължи основно на увеличение на размера на възнагражденията </w:t>
      </w:r>
      <w:r>
        <w:t>със ЗДБРБ за 2023 г. и 2024 г.</w:t>
      </w:r>
      <w:r w:rsidRPr="00AE5897">
        <w:t xml:space="preserve">, </w:t>
      </w:r>
      <w:r>
        <w:t xml:space="preserve">както и на редица законодателни промени и актове на Министерския съвет, </w:t>
      </w:r>
      <w:r w:rsidRPr="00AE5897">
        <w:t>които бяха одобрени през второто полугодие на 2023 г. и първите шест месеца на 2024 г.</w:t>
      </w:r>
    </w:p>
    <w:p w14:paraId="72D0138B" w14:textId="77777777" w:rsidR="006D47F0" w:rsidRPr="00AE5897" w:rsidRDefault="006D47F0" w:rsidP="00E926CD">
      <w:pPr>
        <w:tabs>
          <w:tab w:val="left" w:pos="7371"/>
        </w:tabs>
        <w:spacing w:after="120"/>
        <w:jc w:val="both"/>
      </w:pPr>
      <w:r w:rsidRPr="00AE5897">
        <w:t>Капиталовите разходи на съпоставима база нарастват с 1,0</w:t>
      </w:r>
      <w:r>
        <w:t xml:space="preserve"> млрд. лв. (47,7</w:t>
      </w:r>
      <w:r w:rsidRPr="00AE5897">
        <w:t xml:space="preserve"> на сто), спрямо полугодието на 202</w:t>
      </w:r>
      <w:r>
        <w:t>3</w:t>
      </w:r>
      <w:r w:rsidRPr="00AE5897">
        <w:t xml:space="preserve"> г., като основен принос отново имат капиталовите разходи, извършени по </w:t>
      </w:r>
      <w:r>
        <w:t>държавния бюджет</w:t>
      </w:r>
      <w:r w:rsidRPr="00AE5897">
        <w:t xml:space="preserve">, които нарастват </w:t>
      </w:r>
      <w:r>
        <w:t xml:space="preserve">на съпоставима база </w:t>
      </w:r>
      <w:r w:rsidRPr="00AE5897">
        <w:t>с 0,</w:t>
      </w:r>
      <w:r>
        <w:t>9</w:t>
      </w:r>
      <w:r w:rsidRPr="00AE5897">
        <w:t xml:space="preserve"> млрд. лв. </w:t>
      </w:r>
      <w:r>
        <w:t>(основно поради разходите по одобрен от Народното събрание проект за инвестиционен разход „</w:t>
      </w:r>
      <w:r w:rsidRPr="00B95097">
        <w:t>Придобиване на основна бойна техника за изграждане на батальонни бойни групи от състава на механизирана бригада“</w:t>
      </w:r>
      <w:r>
        <w:t xml:space="preserve"> и други</w:t>
      </w:r>
      <w:r w:rsidRPr="00B95097">
        <w:t>)</w:t>
      </w:r>
      <w:r w:rsidRPr="00AE5897">
        <w:t>, следван</w:t>
      </w:r>
      <w:r>
        <w:t>и от инвестиционните разходи</w:t>
      </w:r>
      <w:r w:rsidRPr="00AE5897">
        <w:t xml:space="preserve"> по сметките за средства от ЕС</w:t>
      </w:r>
      <w:r>
        <w:t xml:space="preserve"> и по общинските бюджети</w:t>
      </w:r>
      <w:r w:rsidRPr="00AE5897">
        <w:t>.</w:t>
      </w:r>
    </w:p>
    <w:p w14:paraId="338AB3FB" w14:textId="77777777" w:rsidR="006D47F0" w:rsidRPr="003F73C6" w:rsidRDefault="006D47F0" w:rsidP="003F73C6">
      <w:pPr>
        <w:keepNext/>
        <w:keepLines/>
        <w:spacing w:before="240"/>
        <w:jc w:val="both"/>
        <w:outlineLvl w:val="2"/>
        <w:rPr>
          <w:b/>
          <w:lang w:eastAsia="bg-BG"/>
        </w:rPr>
      </w:pPr>
      <w:r w:rsidRPr="003F73C6">
        <w:rPr>
          <w:b/>
          <w:lang w:eastAsia="bg-BG"/>
        </w:rPr>
        <w:t>Предизвикателства при изпълнението на бюджета до края на годината</w:t>
      </w:r>
    </w:p>
    <w:p w14:paraId="6B278104" w14:textId="77777777" w:rsidR="006D47F0" w:rsidRDefault="00B3403D" w:rsidP="00E926CD">
      <w:pPr>
        <w:spacing w:before="120" w:after="120"/>
        <w:jc w:val="both"/>
      </w:pPr>
      <w:r w:rsidRPr="00B3403D">
        <w:t>След по-малко от една година управление на редовно правителство България отново навлезе в период на политическа нестабилност, вследствие на което, вместо предварително планираната ротация, Народното събрание гласува за оставка на правителството. Предвидените в Конституцията на Република България процедури за сформиране на ново правителство в рамките на 49-тото Народно събрание бяха изчерпани без успех и бяха насрочени нови извънредни избори за Народно събрание и одобрен нов служебен кабинет. След проведените избори ново управленско мнозинство отново не бе формирано в рамките на 50-тото Народно събрание и предстои насрочване на нови извънредни избори за Народно събрание и одобряване на нов служебен кабинет. Продължителният период на политическа нестабилност допълнително поставя предизвикателства както при изпълнението на бюджета за 2024 г., така и при изпълнението на етапите на бюджетната процедура за изготвянето на законопроекта за държавния бюджет за следващата година, както и за изготвянето на Актуализирана средносрочна бюджетна прогноза за периода 2025-2027 г. и Национален средносрочен фискално-структурен план на Република България за периода 2025-2028 г. Последният е от изключително значение в контекста на усилията на България за присъединяване към еврозоната</w:t>
      </w:r>
      <w:r w:rsidR="006D47F0">
        <w:t>.</w:t>
      </w:r>
    </w:p>
    <w:p w14:paraId="658D78AD" w14:textId="77777777" w:rsidR="006D47F0" w:rsidRDefault="006D47F0" w:rsidP="00E926CD">
      <w:pPr>
        <w:spacing w:after="120"/>
        <w:jc w:val="both"/>
        <w:rPr>
          <w:lang w:val="en-US"/>
        </w:rPr>
      </w:pPr>
      <w:r>
        <w:t>Рамката</w:t>
      </w:r>
      <w:r w:rsidRPr="00B25639">
        <w:t xml:space="preserve"> по приходите в разчетите към ЗДБРБ за 2024 г. е планирана амбициозно и изисква максимална мобилизация на приходните администрации за подобряване на събираемостта на приходите, борба със сивата икономика и данъчните престъпления и насърчаване доброволното плащане на дължимите публични вземания. На този фон основните рискове пред изпълнението на прогнозите за приходите от данъци за 2024 г. са свързани с евентуални отклонения в използваните макроикономически допускания, потенциално забавяне на скоростта на икономическия растеж в страната и при външноикономическите ни партньори, както и с потенциалните преки и косвени ефекти върху икономиката от военните действия в Украйна. </w:t>
      </w:r>
      <w:r w:rsidR="00AE44BF" w:rsidRPr="00AE44BF">
        <w:t>Към момента напрежение при изпълнението на разчетите за годината се очертава при приходите от ДДС от внос, мита и корпоративни данъци. В тази връзка приходните администрации са ангажирани да предприемат активни мерки за засилване на фискалния контрол и други административни действия за повишаване на събираемостта на приходите</w:t>
      </w:r>
      <w:r w:rsidRPr="00B25639">
        <w:t>.</w:t>
      </w:r>
    </w:p>
    <w:p w14:paraId="7F5B795C" w14:textId="68AFCA0E" w:rsidR="006D47F0" w:rsidRPr="00436B86" w:rsidRDefault="006E1C91" w:rsidP="00E926CD">
      <w:pPr>
        <w:spacing w:after="120"/>
        <w:jc w:val="both"/>
      </w:pPr>
      <w:r w:rsidRPr="006E1C91">
        <w:t>По отношение на разходите съществуват пот</w:t>
      </w:r>
      <w:r w:rsidR="0064782A">
        <w:t>енциални рискове, свързани с</w:t>
      </w:r>
      <w:r w:rsidRPr="006E1C91">
        <w:t xml:space="preserve"> възможностите за финансиране в рамките на одобрените разходи за годината на планираните за реализиране през 2024 г. проекти по Инвестиционната програма по чл. 106 и 107 от Закона за държавния бюджет на Република България за 2024 г., тъй като индикативния</w:t>
      </w:r>
      <w:r w:rsidR="00D95432">
        <w:t>т</w:t>
      </w:r>
      <w:r w:rsidRPr="006E1C91">
        <w:t xml:space="preserve"> размер на прогнозния бюджет в Приложение № 2 и 3 към чл. 106 и 107 на ЗДБРБ за 2024 г. е по-висок от заложените разходи в разчетите към закона за бюджета за настоящата година. При негативен сценарий за реализиране и финализиране в срок на проекти с по-голям бюджет за 2024 г. от заложения в разчетите за годината биха могли да възникнат нови задължения за разходи, които водят до влошаване салдото на сектор „Държавно управление“ спрямо индикативната рамка за годината</w:t>
      </w:r>
      <w:r w:rsidR="006D47F0">
        <w:t xml:space="preserve">. </w:t>
      </w:r>
    </w:p>
    <w:p w14:paraId="734BA991" w14:textId="4A342EF9" w:rsidR="006D47F0" w:rsidRPr="006322F8" w:rsidRDefault="004D06AF" w:rsidP="00E926CD">
      <w:pPr>
        <w:jc w:val="both"/>
        <w:rPr>
          <w:color w:val="000000" w:themeColor="text1"/>
        </w:rPr>
      </w:pPr>
      <w:r w:rsidRPr="004D06AF">
        <w:t xml:space="preserve">По отношение на планираните траншове по Механизма за възстановяване и устойчивост затруднения могат да възникнат при евентуално допълнително забавяне на изпълнението на заложените съгласно актуалния профил за плащане по НПВУ етапи и цели в т.ч. и приемането на необходимите законодателни промени, съответно закъснение при отчитането им и изпращането </w:t>
      </w:r>
      <w:r w:rsidRPr="00A95C9C">
        <w:t>на ново искане за плащане до Европейската комисия, което ще създаде риск от неполучаване на</w:t>
      </w:r>
      <w:r w:rsidRPr="004D06AF">
        <w:t xml:space="preserve"> планирания приход в рамките на финансовата година. </w:t>
      </w:r>
      <w:r w:rsidR="00943BBA" w:rsidRPr="00943BBA">
        <w:t>При негативен сценарий в размерите на потенциалното неизпълнение на разчетите по приходите по КФП (близо 2,5 млрд. лв.), независимо от значителното изоставане от прогнозните разходи по МВУ, се създава обективна предпоставка за невъзможност на Министерския съвет</w:t>
      </w:r>
      <w:r w:rsidR="00DE6E01">
        <w:t>,</w:t>
      </w:r>
      <w:r w:rsidR="00943BBA" w:rsidRPr="00943BBA">
        <w:t xml:space="preserve"> в условията на </w:t>
      </w:r>
      <w:r w:rsidR="00943BBA" w:rsidRPr="00DE6E01">
        <w:t>напрегнат бюджет, да</w:t>
      </w:r>
      <w:r w:rsidR="00943BBA" w:rsidRPr="00943BBA">
        <w:t xml:space="preserve"> одобри адекватни компенсиращи мерки на основание чл. 27, ал. 2 на ЗПФ, които да обезпечат спазването на индикативната цел за бюджетното салдо по КФП в мотивите към ЗДБРБ за 2024 г. Въпреки това, прилагайки методологията на Европейската система от регионални и национални сметки 2010 (ЕСС 2010) за оценка на показателите за сектор „Държавно управление“, ще бъдат положени максимални усилия дефицита на сектора за 2024 г. да остане в рамките на референтната стойност от 3 на сто от прогнозния БВП</w:t>
      </w:r>
      <w:r w:rsidR="006D47F0" w:rsidRPr="000D6FB5">
        <w:t>.</w:t>
      </w:r>
    </w:p>
    <w:p w14:paraId="38B5164A" w14:textId="77777777" w:rsidR="006D47F0" w:rsidRPr="00FF18AF" w:rsidRDefault="006D47F0" w:rsidP="00E926CD">
      <w:pPr>
        <w:tabs>
          <w:tab w:val="num" w:pos="0"/>
        </w:tabs>
        <w:autoSpaceDE w:val="0"/>
        <w:autoSpaceDN w:val="0"/>
        <w:adjustRightInd w:val="0"/>
        <w:spacing w:before="120" w:after="120"/>
        <w:jc w:val="both"/>
      </w:pPr>
      <w:r w:rsidRPr="00FF18AF">
        <w:t xml:space="preserve">В частта на разходите по КФП предизвикателство би представлявало възникването на потенциално нови, значителни по размер разходи за компенсации в изпълнение на приета от Министерски съвет Програма за компенсиране на разходите на небитови крайни клиенти за електрическа енергия за периода от 01.07.2024 г. до 31.12.2024 г., одобрена с Решение № 546 от 31.07.2024 г. и в изпълнение на Решение на 50-тото Народното събрание </w:t>
      </w:r>
      <w:r w:rsidR="00B175E9" w:rsidRPr="00B175E9">
        <w:t xml:space="preserve">(обн. ДВ бр. 64/ 30.07.2024 г.). </w:t>
      </w:r>
      <w:r w:rsidRPr="00FF18AF">
        <w:t xml:space="preserve">При евентуално значително покачване на средномесечните цени </w:t>
      </w:r>
      <w:r>
        <w:t>през оставащите месеци до края на</w:t>
      </w:r>
      <w:r w:rsidRPr="00FF18AF">
        <w:t xml:space="preserve"> година могат да възникнат задължения за изплащане на компенсации, които да надвишават ресурса от целеви вноски по § 3 от ПЗР на ЗДБРБ за 2024 г. и съответно да формират дефицит по бюджета на ФСЕС. </w:t>
      </w:r>
    </w:p>
    <w:p w14:paraId="1624DD0B" w14:textId="77777777" w:rsidR="006D47F0" w:rsidRPr="00F72D87" w:rsidRDefault="006320BA" w:rsidP="00E926CD">
      <w:pPr>
        <w:jc w:val="both"/>
        <w:rPr>
          <w:color w:val="000000" w:themeColor="text1"/>
        </w:rPr>
      </w:pPr>
      <w:r w:rsidRPr="006320BA">
        <w:rPr>
          <w:color w:val="000000" w:themeColor="text1"/>
        </w:rPr>
        <w:t>В контекста на усилията за присъединяване на България към еврозоната и поддържане на дефицита и дълга на сектор „Държавно управление“ в рамките на критериите за конвергенция при спазване на референтните стойности от Пакта за стабилност и растеж, в краткосрочен план за 2024 г. се полагат усилия потенциалните рискове по отношение на критерия за дефицита, оценен по методологията на ЕСС 2010 да бъдат преодолени. Основните предизвикателства са да се постигне заложената цел - дефицит на сектор „Държавно управление“ да не надвиши 3 на сто от прогнозния БВП, което е свързано с оценката на бюджетното салдо по КФП за 2024 г. и с недопускане възникването на нови задължения за разходи в края на годината, които независимо че не оказват влияние на касова основа се отразяват като разход за годината по методологията на ЕСС 2010. Внимание заслужават и корективите, свързани с отразяването на потоците по програмите и фондовете на ЕС по методологията на ЕСС 2010, оценките за корективите за отчитане на данъците по метода на времево изместване на касовите приходи и корективи за трансакции, приравнени на разход. По-задълбочен анализ на данните от оборотните ведомости на първостепенните разпоредители с бюджет ще бъде направен от данните за деветмесечието на 2024 г</w:t>
      </w:r>
      <w:r w:rsidR="006D47F0" w:rsidRPr="00F72D87">
        <w:rPr>
          <w:color w:val="000000" w:themeColor="text1"/>
        </w:rPr>
        <w:t xml:space="preserve">. </w:t>
      </w:r>
    </w:p>
    <w:p w14:paraId="1F409F67" w14:textId="77777777" w:rsidR="007A35BB" w:rsidRPr="00793C4E" w:rsidRDefault="007A35BB" w:rsidP="006466C6">
      <w:pPr>
        <w:spacing w:before="120"/>
        <w:jc w:val="both"/>
        <w:rPr>
          <w:color w:val="0070C0"/>
        </w:rPr>
      </w:pPr>
    </w:p>
    <w:p w14:paraId="0D2FF2EF" w14:textId="77777777" w:rsidR="00AD5F24" w:rsidRPr="00793C4E" w:rsidRDefault="00AD5F24" w:rsidP="00C562E5">
      <w:pPr>
        <w:spacing w:after="120"/>
        <w:jc w:val="both"/>
        <w:rPr>
          <w:rFonts w:ascii="Calibri" w:eastAsia="Calibri" w:hAnsi="Calibri"/>
          <w:color w:val="0070C0"/>
          <w:sz w:val="22"/>
          <w:szCs w:val="22"/>
          <w:lang w:val="ru-RU"/>
        </w:rPr>
      </w:pPr>
      <w:r w:rsidRPr="00793C4E">
        <w:rPr>
          <w:rFonts w:ascii="Calibri" w:eastAsia="Calibri" w:hAnsi="Calibri"/>
          <w:color w:val="0070C0"/>
          <w:sz w:val="22"/>
          <w:szCs w:val="22"/>
          <w:lang w:val="ru-RU"/>
        </w:rPr>
        <w:br w:type="page"/>
      </w:r>
    </w:p>
    <w:p w14:paraId="03877D5D" w14:textId="77777777" w:rsidR="00E74802" w:rsidRPr="00223C1B" w:rsidRDefault="00E74802" w:rsidP="00223C1B">
      <w:pPr>
        <w:pStyle w:val="Heading1"/>
        <w:numPr>
          <w:ilvl w:val="0"/>
          <w:numId w:val="9"/>
        </w:numPr>
        <w:ind w:right="-108"/>
        <w:jc w:val="both"/>
        <w:rPr>
          <w:sz w:val="24"/>
        </w:rPr>
      </w:pPr>
      <w:r w:rsidRPr="00223C1B">
        <w:rPr>
          <w:sz w:val="24"/>
        </w:rPr>
        <w:t>Основни показатели по консолидираната фискална програма</w:t>
      </w:r>
      <w:r w:rsidRPr="00223C1B">
        <w:rPr>
          <w:rStyle w:val="FootnoteReference"/>
          <w:sz w:val="24"/>
        </w:rPr>
        <w:footnoteReference w:id="3"/>
      </w:r>
      <w:r w:rsidRPr="00223C1B">
        <w:rPr>
          <w:sz w:val="24"/>
        </w:rPr>
        <w:t xml:space="preserve"> за </w:t>
      </w:r>
      <w:r w:rsidR="00DC0AEF" w:rsidRPr="00223C1B">
        <w:rPr>
          <w:sz w:val="24"/>
        </w:rPr>
        <w:t xml:space="preserve">първото </w:t>
      </w:r>
      <w:r w:rsidR="00223C1B" w:rsidRPr="00223C1B">
        <w:rPr>
          <w:sz w:val="24"/>
        </w:rPr>
        <w:t xml:space="preserve">полугодие </w:t>
      </w:r>
      <w:r w:rsidRPr="00223C1B">
        <w:rPr>
          <w:sz w:val="24"/>
        </w:rPr>
        <w:t>на 20</w:t>
      </w:r>
      <w:r w:rsidR="001F7F82" w:rsidRPr="00223C1B">
        <w:rPr>
          <w:sz w:val="24"/>
        </w:rPr>
        <w:t>2</w:t>
      </w:r>
      <w:r w:rsidR="00DC0AEF" w:rsidRPr="00223C1B">
        <w:rPr>
          <w:sz w:val="24"/>
        </w:rPr>
        <w:t>4</w:t>
      </w:r>
      <w:r w:rsidRPr="00223C1B">
        <w:rPr>
          <w:sz w:val="24"/>
        </w:rPr>
        <w:t> г.</w:t>
      </w:r>
    </w:p>
    <w:p w14:paraId="7FE117A5" w14:textId="77777777" w:rsidR="00430A35" w:rsidRPr="00793C4E" w:rsidRDefault="00430A35" w:rsidP="00430A35">
      <w:pPr>
        <w:rPr>
          <w:color w:val="0070C0"/>
          <w:sz w:val="6"/>
          <w:szCs w:val="12"/>
        </w:rPr>
      </w:pPr>
    </w:p>
    <w:p w14:paraId="7955245A" w14:textId="77777777" w:rsidR="005B6C1F" w:rsidRPr="00793C4E" w:rsidRDefault="005B6C1F" w:rsidP="00E863AA">
      <w:pPr>
        <w:jc w:val="both"/>
        <w:rPr>
          <w:color w:val="0070C0"/>
          <w:lang w:val="ru-RU"/>
        </w:rPr>
      </w:pPr>
    </w:p>
    <w:p w14:paraId="52608402" w14:textId="77777777" w:rsidR="001F66D5" w:rsidRPr="00223C1B" w:rsidRDefault="001F66D5" w:rsidP="001F66D5">
      <w:pPr>
        <w:jc w:val="both"/>
      </w:pPr>
      <w:r w:rsidRPr="00223C1B">
        <w:t>Изпълнението на основните показатели по консолидираната фискална програма за първото полугодие на 2024 г. е представено в следната таблица:</w:t>
      </w:r>
    </w:p>
    <w:p w14:paraId="5BB52F8B" w14:textId="77777777" w:rsidR="001F66D5" w:rsidRPr="00793C4E" w:rsidRDefault="001F66D5" w:rsidP="001F66D5">
      <w:pPr>
        <w:jc w:val="both"/>
        <w:rPr>
          <w:color w:val="0070C0"/>
          <w:sz w:val="4"/>
          <w:szCs w:val="4"/>
        </w:rPr>
      </w:pPr>
    </w:p>
    <w:p w14:paraId="50EDDA23" w14:textId="77777777" w:rsidR="001F66D5" w:rsidRPr="00223C1B" w:rsidRDefault="001F66D5" w:rsidP="001F66D5">
      <w:pPr>
        <w:spacing w:before="120"/>
        <w:rPr>
          <w:b/>
          <w:i/>
          <w:sz w:val="18"/>
          <w:szCs w:val="18"/>
        </w:rPr>
      </w:pPr>
      <w:r w:rsidRPr="00223C1B">
        <w:rPr>
          <w:b/>
          <w:i/>
          <w:sz w:val="22"/>
          <w:szCs w:val="22"/>
        </w:rPr>
        <w:t>Таблица</w:t>
      </w:r>
      <w:r w:rsidRPr="00223C1B">
        <w:rPr>
          <w:b/>
          <w:i/>
          <w:sz w:val="22"/>
          <w:szCs w:val="22"/>
          <w:vertAlign w:val="superscript"/>
        </w:rPr>
        <w:footnoteReference w:id="4"/>
      </w:r>
      <w:r w:rsidRPr="00223C1B">
        <w:rPr>
          <w:b/>
          <w:i/>
          <w:sz w:val="22"/>
          <w:szCs w:val="22"/>
        </w:rPr>
        <w:t xml:space="preserve"> №1</w:t>
      </w:r>
      <w:r w:rsidRPr="00223C1B">
        <w:rPr>
          <w:b/>
          <w:i/>
          <w:sz w:val="22"/>
          <w:szCs w:val="22"/>
        </w:rPr>
        <w:tab/>
      </w:r>
      <w:r w:rsidRPr="00223C1B">
        <w:rPr>
          <w:b/>
          <w:i/>
          <w:sz w:val="22"/>
          <w:szCs w:val="22"/>
        </w:rPr>
        <w:tab/>
      </w:r>
      <w:r w:rsidRPr="00223C1B">
        <w:rPr>
          <w:b/>
          <w:i/>
          <w:sz w:val="22"/>
          <w:szCs w:val="22"/>
        </w:rPr>
        <w:tab/>
      </w:r>
      <w:r w:rsidRPr="00223C1B">
        <w:rPr>
          <w:b/>
          <w:i/>
          <w:sz w:val="22"/>
          <w:szCs w:val="22"/>
        </w:rPr>
        <w:tab/>
      </w:r>
      <w:r w:rsidRPr="00223C1B">
        <w:rPr>
          <w:b/>
          <w:i/>
          <w:sz w:val="22"/>
          <w:szCs w:val="22"/>
        </w:rPr>
        <w:tab/>
      </w:r>
      <w:r w:rsidRPr="00223C1B">
        <w:rPr>
          <w:b/>
          <w:i/>
          <w:sz w:val="22"/>
          <w:szCs w:val="22"/>
        </w:rPr>
        <w:tab/>
      </w:r>
      <w:r w:rsidRPr="00223C1B">
        <w:rPr>
          <w:b/>
          <w:i/>
          <w:sz w:val="22"/>
          <w:szCs w:val="22"/>
        </w:rPr>
        <w:tab/>
      </w:r>
      <w:r w:rsidRPr="00223C1B">
        <w:rPr>
          <w:b/>
          <w:i/>
          <w:sz w:val="22"/>
          <w:szCs w:val="22"/>
        </w:rPr>
        <w:tab/>
      </w:r>
      <w:r w:rsidRPr="00223C1B">
        <w:rPr>
          <w:b/>
          <w:i/>
          <w:sz w:val="22"/>
          <w:szCs w:val="22"/>
        </w:rPr>
        <w:tab/>
      </w:r>
      <w:r w:rsidRPr="00223C1B">
        <w:rPr>
          <w:b/>
          <w:i/>
          <w:sz w:val="22"/>
          <w:szCs w:val="22"/>
        </w:rPr>
        <w:tab/>
      </w:r>
      <w:r w:rsidRPr="00223C1B">
        <w:rPr>
          <w:b/>
          <w:i/>
          <w:sz w:val="22"/>
          <w:szCs w:val="22"/>
        </w:rPr>
        <w:tab/>
      </w:r>
      <w:r w:rsidRPr="00223C1B">
        <w:rPr>
          <w:b/>
          <w:i/>
          <w:sz w:val="22"/>
          <w:szCs w:val="22"/>
        </w:rPr>
        <w:tab/>
      </w:r>
      <w:r w:rsidRPr="00223C1B">
        <w:rPr>
          <w:b/>
          <w:i/>
          <w:sz w:val="18"/>
          <w:szCs w:val="18"/>
        </w:rPr>
        <w:t>(млн. лв.)</w:t>
      </w:r>
    </w:p>
    <w:tbl>
      <w:tblPr>
        <w:tblW w:w="10254" w:type="dxa"/>
        <w:tblInd w:w="98" w:type="dxa"/>
        <w:tblLook w:val="04A0" w:firstRow="1" w:lastRow="0" w:firstColumn="1" w:lastColumn="0" w:noHBand="0" w:noVBand="1"/>
      </w:tblPr>
      <w:tblGrid>
        <w:gridCol w:w="4250"/>
        <w:gridCol w:w="1147"/>
        <w:gridCol w:w="1227"/>
        <w:gridCol w:w="1222"/>
        <w:gridCol w:w="1199"/>
        <w:gridCol w:w="1209"/>
      </w:tblGrid>
      <w:tr w:rsidR="001F66D5" w:rsidRPr="00793C4E" w14:paraId="3E1F9BA7" w14:textId="77777777" w:rsidTr="00201ED1">
        <w:trPr>
          <w:trHeight w:val="265"/>
        </w:trPr>
        <w:tc>
          <w:tcPr>
            <w:tcW w:w="4250"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14:paraId="4FD6471B" w14:textId="77777777" w:rsidR="001F66D5" w:rsidRPr="00223C1B" w:rsidRDefault="001F66D5" w:rsidP="00201ED1">
            <w:pPr>
              <w:jc w:val="center"/>
              <w:rPr>
                <w:b/>
                <w:bCs/>
                <w:sz w:val="18"/>
                <w:szCs w:val="18"/>
              </w:rPr>
            </w:pPr>
            <w:r w:rsidRPr="00223C1B">
              <w:rPr>
                <w:b/>
                <w:bCs/>
                <w:sz w:val="18"/>
                <w:szCs w:val="18"/>
              </w:rPr>
              <w:t>ПОКАЗАТЕЛ</w:t>
            </w:r>
          </w:p>
        </w:tc>
        <w:tc>
          <w:tcPr>
            <w:tcW w:w="1147" w:type="dxa"/>
            <w:tcBorders>
              <w:top w:val="single" w:sz="8" w:space="0" w:color="auto"/>
              <w:left w:val="single" w:sz="4" w:space="0" w:color="auto"/>
              <w:bottom w:val="nil"/>
              <w:right w:val="single" w:sz="4" w:space="0" w:color="auto"/>
            </w:tcBorders>
            <w:shd w:val="clear" w:color="000000" w:fill="D9D9D9"/>
            <w:noWrap/>
            <w:vAlign w:val="bottom"/>
            <w:hideMark/>
          </w:tcPr>
          <w:p w14:paraId="6A72C134" w14:textId="77777777" w:rsidR="001F66D5" w:rsidRPr="00223C1B" w:rsidRDefault="001F66D5" w:rsidP="00201ED1">
            <w:pPr>
              <w:jc w:val="center"/>
              <w:rPr>
                <w:b/>
                <w:bCs/>
                <w:sz w:val="18"/>
                <w:szCs w:val="18"/>
                <w:highlight w:val="yellow"/>
              </w:rPr>
            </w:pPr>
            <w:r w:rsidRPr="00223C1B">
              <w:rPr>
                <w:b/>
                <w:bCs/>
                <w:sz w:val="18"/>
                <w:szCs w:val="18"/>
              </w:rPr>
              <w:t>Разчет 20</w:t>
            </w:r>
            <w:r w:rsidRPr="00223C1B">
              <w:rPr>
                <w:b/>
                <w:bCs/>
                <w:sz w:val="18"/>
                <w:szCs w:val="18"/>
                <w:lang w:val="en-US"/>
              </w:rPr>
              <w:t>2</w:t>
            </w:r>
            <w:r w:rsidRPr="00223C1B">
              <w:rPr>
                <w:b/>
                <w:bCs/>
                <w:sz w:val="18"/>
                <w:szCs w:val="18"/>
              </w:rPr>
              <w:t>4 г.</w:t>
            </w:r>
            <w:r w:rsidRPr="00223C1B">
              <w:rPr>
                <w:rStyle w:val="FootnoteReference"/>
                <w:b/>
                <w:bCs/>
                <w:sz w:val="18"/>
                <w:szCs w:val="18"/>
              </w:rPr>
              <w:footnoteReference w:id="5"/>
            </w:r>
          </w:p>
        </w:tc>
        <w:tc>
          <w:tcPr>
            <w:tcW w:w="3648" w:type="dxa"/>
            <w:gridSpan w:val="3"/>
            <w:tcBorders>
              <w:top w:val="single" w:sz="8" w:space="0" w:color="auto"/>
              <w:left w:val="nil"/>
              <w:bottom w:val="single" w:sz="4" w:space="0" w:color="auto"/>
              <w:right w:val="single" w:sz="4" w:space="0" w:color="auto"/>
            </w:tcBorders>
            <w:shd w:val="clear" w:color="000000" w:fill="D9D9D9"/>
            <w:noWrap/>
            <w:vAlign w:val="center"/>
            <w:hideMark/>
          </w:tcPr>
          <w:p w14:paraId="4F6AE565" w14:textId="77777777" w:rsidR="001F66D5" w:rsidRPr="00223C1B" w:rsidRDefault="001F66D5" w:rsidP="00201ED1">
            <w:pPr>
              <w:jc w:val="center"/>
              <w:rPr>
                <w:b/>
                <w:bCs/>
                <w:sz w:val="18"/>
                <w:szCs w:val="18"/>
              </w:rPr>
            </w:pPr>
            <w:r w:rsidRPr="00223C1B">
              <w:rPr>
                <w:b/>
                <w:bCs/>
                <w:sz w:val="18"/>
                <w:szCs w:val="18"/>
              </w:rPr>
              <w:t xml:space="preserve">Отчет към </w:t>
            </w:r>
            <w:r w:rsidRPr="00223C1B">
              <w:rPr>
                <w:b/>
                <w:bCs/>
                <w:sz w:val="18"/>
                <w:szCs w:val="18"/>
                <w:lang w:val="en-US"/>
              </w:rPr>
              <w:t>30.06</w:t>
            </w:r>
            <w:r w:rsidRPr="00223C1B">
              <w:rPr>
                <w:b/>
                <w:bCs/>
                <w:sz w:val="18"/>
                <w:szCs w:val="18"/>
              </w:rPr>
              <w:t>.20</w:t>
            </w:r>
            <w:r w:rsidRPr="00223C1B">
              <w:rPr>
                <w:b/>
                <w:bCs/>
                <w:sz w:val="18"/>
                <w:szCs w:val="18"/>
                <w:lang w:val="en-US"/>
              </w:rPr>
              <w:t>24</w:t>
            </w:r>
            <w:r w:rsidRPr="00223C1B">
              <w:rPr>
                <w:b/>
                <w:bCs/>
                <w:sz w:val="18"/>
                <w:szCs w:val="18"/>
              </w:rPr>
              <w:t xml:space="preserve"> г.</w:t>
            </w:r>
          </w:p>
        </w:tc>
        <w:tc>
          <w:tcPr>
            <w:tcW w:w="1209" w:type="dxa"/>
            <w:tcBorders>
              <w:top w:val="single" w:sz="8" w:space="0" w:color="auto"/>
              <w:left w:val="nil"/>
              <w:bottom w:val="nil"/>
              <w:right w:val="single" w:sz="8" w:space="0" w:color="auto"/>
            </w:tcBorders>
            <w:shd w:val="clear" w:color="000000" w:fill="D9D9D9"/>
            <w:noWrap/>
            <w:vAlign w:val="bottom"/>
            <w:hideMark/>
          </w:tcPr>
          <w:p w14:paraId="52EF370C" w14:textId="77777777" w:rsidR="001F66D5" w:rsidRPr="00223C1B" w:rsidRDefault="001F66D5" w:rsidP="00201ED1">
            <w:pPr>
              <w:jc w:val="center"/>
              <w:rPr>
                <w:b/>
                <w:bCs/>
                <w:sz w:val="18"/>
                <w:szCs w:val="18"/>
              </w:rPr>
            </w:pPr>
            <w:r w:rsidRPr="00223C1B">
              <w:rPr>
                <w:b/>
                <w:bCs/>
                <w:sz w:val="18"/>
                <w:szCs w:val="18"/>
              </w:rPr>
              <w:t>Изпълнение</w:t>
            </w:r>
          </w:p>
        </w:tc>
      </w:tr>
      <w:tr w:rsidR="001F66D5" w:rsidRPr="00793C4E" w14:paraId="473F2748" w14:textId="77777777" w:rsidTr="00201ED1">
        <w:trPr>
          <w:trHeight w:val="250"/>
        </w:trPr>
        <w:tc>
          <w:tcPr>
            <w:tcW w:w="4250" w:type="dxa"/>
            <w:vMerge/>
            <w:tcBorders>
              <w:top w:val="single" w:sz="8" w:space="0" w:color="auto"/>
              <w:left w:val="single" w:sz="8" w:space="0" w:color="auto"/>
              <w:bottom w:val="single" w:sz="4" w:space="0" w:color="000000"/>
              <w:right w:val="nil"/>
            </w:tcBorders>
            <w:vAlign w:val="center"/>
            <w:hideMark/>
          </w:tcPr>
          <w:p w14:paraId="5DA33CC5" w14:textId="77777777" w:rsidR="001F66D5" w:rsidRPr="00223C1B" w:rsidRDefault="001F66D5" w:rsidP="00201ED1">
            <w:pPr>
              <w:rPr>
                <w:b/>
                <w:bCs/>
                <w:sz w:val="18"/>
                <w:szCs w:val="18"/>
              </w:rPr>
            </w:pPr>
          </w:p>
        </w:tc>
        <w:tc>
          <w:tcPr>
            <w:tcW w:w="1147" w:type="dxa"/>
            <w:tcBorders>
              <w:top w:val="nil"/>
              <w:left w:val="single" w:sz="4" w:space="0" w:color="auto"/>
              <w:bottom w:val="single" w:sz="4" w:space="0" w:color="auto"/>
              <w:right w:val="single" w:sz="4" w:space="0" w:color="auto"/>
            </w:tcBorders>
            <w:shd w:val="clear" w:color="000000" w:fill="D9D9D9"/>
            <w:noWrap/>
            <w:vAlign w:val="bottom"/>
            <w:hideMark/>
          </w:tcPr>
          <w:p w14:paraId="5A5F2902" w14:textId="77777777" w:rsidR="001F66D5" w:rsidRPr="00223C1B" w:rsidRDefault="001F66D5" w:rsidP="00201ED1">
            <w:pPr>
              <w:jc w:val="center"/>
              <w:rPr>
                <w:b/>
                <w:bCs/>
                <w:sz w:val="18"/>
                <w:szCs w:val="18"/>
              </w:rPr>
            </w:pPr>
            <w:r w:rsidRPr="00223C1B">
              <w:rPr>
                <w:b/>
                <w:bCs/>
                <w:sz w:val="18"/>
                <w:szCs w:val="18"/>
              </w:rPr>
              <w:t xml:space="preserve"> КФП</w:t>
            </w:r>
          </w:p>
        </w:tc>
        <w:tc>
          <w:tcPr>
            <w:tcW w:w="1227" w:type="dxa"/>
            <w:tcBorders>
              <w:top w:val="nil"/>
              <w:left w:val="nil"/>
              <w:bottom w:val="single" w:sz="4" w:space="0" w:color="auto"/>
              <w:right w:val="single" w:sz="4" w:space="0" w:color="auto"/>
            </w:tcBorders>
            <w:shd w:val="clear" w:color="000000" w:fill="D9D9D9"/>
            <w:noWrap/>
            <w:vAlign w:val="bottom"/>
            <w:hideMark/>
          </w:tcPr>
          <w:p w14:paraId="0FB50A98" w14:textId="77777777" w:rsidR="001F66D5" w:rsidRPr="00223C1B" w:rsidRDefault="001F66D5" w:rsidP="00201ED1">
            <w:pPr>
              <w:jc w:val="center"/>
              <w:rPr>
                <w:b/>
                <w:bCs/>
                <w:sz w:val="18"/>
                <w:szCs w:val="18"/>
              </w:rPr>
            </w:pPr>
            <w:r w:rsidRPr="00223C1B">
              <w:rPr>
                <w:b/>
                <w:bCs/>
                <w:sz w:val="18"/>
                <w:szCs w:val="18"/>
              </w:rPr>
              <w:t xml:space="preserve"> КФП</w:t>
            </w:r>
          </w:p>
        </w:tc>
        <w:tc>
          <w:tcPr>
            <w:tcW w:w="1222" w:type="dxa"/>
            <w:tcBorders>
              <w:top w:val="nil"/>
              <w:left w:val="nil"/>
              <w:bottom w:val="single" w:sz="4" w:space="0" w:color="auto"/>
              <w:right w:val="single" w:sz="4" w:space="0" w:color="auto"/>
            </w:tcBorders>
            <w:shd w:val="clear" w:color="000000" w:fill="D9D9D9"/>
            <w:noWrap/>
            <w:vAlign w:val="bottom"/>
            <w:hideMark/>
          </w:tcPr>
          <w:p w14:paraId="2F642D08" w14:textId="77777777" w:rsidR="001F66D5" w:rsidRPr="00223C1B" w:rsidRDefault="001F66D5" w:rsidP="00201ED1">
            <w:pPr>
              <w:jc w:val="center"/>
              <w:rPr>
                <w:b/>
                <w:bCs/>
                <w:sz w:val="18"/>
                <w:szCs w:val="18"/>
              </w:rPr>
            </w:pPr>
            <w:r w:rsidRPr="00223C1B">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14:paraId="31204E25" w14:textId="77777777" w:rsidR="001F66D5" w:rsidRPr="00223C1B" w:rsidRDefault="001F66D5" w:rsidP="00201ED1">
            <w:pPr>
              <w:jc w:val="center"/>
              <w:rPr>
                <w:b/>
                <w:bCs/>
                <w:sz w:val="18"/>
                <w:szCs w:val="18"/>
              </w:rPr>
            </w:pPr>
            <w:r w:rsidRPr="00223C1B">
              <w:rPr>
                <w:b/>
                <w:bCs/>
                <w:sz w:val="18"/>
                <w:szCs w:val="18"/>
              </w:rPr>
              <w:t>Европейски средства</w:t>
            </w:r>
          </w:p>
        </w:tc>
        <w:tc>
          <w:tcPr>
            <w:tcW w:w="1209" w:type="dxa"/>
            <w:tcBorders>
              <w:top w:val="nil"/>
              <w:left w:val="nil"/>
              <w:bottom w:val="single" w:sz="4" w:space="0" w:color="auto"/>
              <w:right w:val="single" w:sz="8" w:space="0" w:color="auto"/>
            </w:tcBorders>
            <w:shd w:val="clear" w:color="000000" w:fill="D9D9D9"/>
            <w:noWrap/>
            <w:vAlign w:val="bottom"/>
            <w:hideMark/>
          </w:tcPr>
          <w:p w14:paraId="3F62AACC" w14:textId="77777777" w:rsidR="001F66D5" w:rsidRPr="00223C1B" w:rsidRDefault="001F66D5" w:rsidP="00201ED1">
            <w:pPr>
              <w:jc w:val="center"/>
              <w:rPr>
                <w:b/>
                <w:bCs/>
                <w:sz w:val="18"/>
                <w:szCs w:val="18"/>
              </w:rPr>
            </w:pPr>
            <w:r w:rsidRPr="00223C1B">
              <w:rPr>
                <w:b/>
                <w:bCs/>
                <w:sz w:val="18"/>
                <w:szCs w:val="18"/>
              </w:rPr>
              <w:t>спрямо разчет</w:t>
            </w:r>
          </w:p>
        </w:tc>
      </w:tr>
      <w:tr w:rsidR="001F66D5" w:rsidRPr="00793C4E" w14:paraId="7D59D12E" w14:textId="77777777" w:rsidTr="00201ED1">
        <w:trPr>
          <w:trHeight w:val="265"/>
        </w:trPr>
        <w:tc>
          <w:tcPr>
            <w:tcW w:w="4250" w:type="dxa"/>
            <w:tcBorders>
              <w:top w:val="nil"/>
              <w:left w:val="single" w:sz="8" w:space="0" w:color="auto"/>
              <w:bottom w:val="single" w:sz="8" w:space="0" w:color="auto"/>
              <w:right w:val="nil"/>
            </w:tcBorders>
            <w:shd w:val="clear" w:color="000000" w:fill="D9D9D9"/>
            <w:noWrap/>
            <w:vAlign w:val="bottom"/>
            <w:hideMark/>
          </w:tcPr>
          <w:p w14:paraId="5CD2C075" w14:textId="77777777" w:rsidR="001F66D5" w:rsidRPr="00223C1B" w:rsidRDefault="001F66D5" w:rsidP="00201ED1">
            <w:pPr>
              <w:jc w:val="center"/>
              <w:rPr>
                <w:sz w:val="18"/>
                <w:szCs w:val="18"/>
              </w:rPr>
            </w:pPr>
            <w:r w:rsidRPr="00223C1B">
              <w:rPr>
                <w:sz w:val="18"/>
                <w:szCs w:val="18"/>
              </w:rPr>
              <w:t>к.1</w:t>
            </w:r>
          </w:p>
        </w:tc>
        <w:tc>
          <w:tcPr>
            <w:tcW w:w="1147" w:type="dxa"/>
            <w:tcBorders>
              <w:top w:val="nil"/>
              <w:left w:val="single" w:sz="4" w:space="0" w:color="auto"/>
              <w:bottom w:val="single" w:sz="8" w:space="0" w:color="auto"/>
              <w:right w:val="single" w:sz="4" w:space="0" w:color="auto"/>
            </w:tcBorders>
            <w:shd w:val="clear" w:color="000000" w:fill="D9D9D9"/>
            <w:noWrap/>
            <w:vAlign w:val="bottom"/>
            <w:hideMark/>
          </w:tcPr>
          <w:p w14:paraId="1C2E3766" w14:textId="77777777" w:rsidR="001F66D5" w:rsidRPr="00223C1B" w:rsidRDefault="001F66D5" w:rsidP="00201ED1">
            <w:pPr>
              <w:jc w:val="center"/>
              <w:rPr>
                <w:bCs/>
                <w:sz w:val="18"/>
                <w:szCs w:val="18"/>
              </w:rPr>
            </w:pPr>
            <w:r w:rsidRPr="00223C1B">
              <w:rPr>
                <w:bCs/>
                <w:sz w:val="18"/>
                <w:szCs w:val="18"/>
              </w:rPr>
              <w:t>к.2</w:t>
            </w:r>
          </w:p>
        </w:tc>
        <w:tc>
          <w:tcPr>
            <w:tcW w:w="1227" w:type="dxa"/>
            <w:tcBorders>
              <w:top w:val="nil"/>
              <w:left w:val="nil"/>
              <w:bottom w:val="single" w:sz="8" w:space="0" w:color="auto"/>
              <w:right w:val="single" w:sz="4" w:space="0" w:color="auto"/>
            </w:tcBorders>
            <w:shd w:val="clear" w:color="000000" w:fill="D9D9D9"/>
            <w:noWrap/>
            <w:vAlign w:val="bottom"/>
            <w:hideMark/>
          </w:tcPr>
          <w:p w14:paraId="3410174D" w14:textId="77777777" w:rsidR="001F66D5" w:rsidRPr="00223C1B" w:rsidRDefault="001F66D5" w:rsidP="00201ED1">
            <w:pPr>
              <w:jc w:val="center"/>
              <w:rPr>
                <w:sz w:val="18"/>
                <w:szCs w:val="18"/>
              </w:rPr>
            </w:pPr>
            <w:r w:rsidRPr="00223C1B">
              <w:rPr>
                <w:sz w:val="18"/>
                <w:szCs w:val="18"/>
              </w:rPr>
              <w:t>к.3=к.4+к.5</w:t>
            </w:r>
          </w:p>
        </w:tc>
        <w:tc>
          <w:tcPr>
            <w:tcW w:w="1222" w:type="dxa"/>
            <w:tcBorders>
              <w:top w:val="nil"/>
              <w:left w:val="nil"/>
              <w:bottom w:val="single" w:sz="8" w:space="0" w:color="auto"/>
              <w:right w:val="single" w:sz="4" w:space="0" w:color="auto"/>
            </w:tcBorders>
            <w:shd w:val="clear" w:color="000000" w:fill="D9D9D9"/>
            <w:noWrap/>
            <w:vAlign w:val="bottom"/>
            <w:hideMark/>
          </w:tcPr>
          <w:p w14:paraId="685AB73E" w14:textId="77777777" w:rsidR="001F66D5" w:rsidRPr="00223C1B" w:rsidRDefault="001F66D5" w:rsidP="00201ED1">
            <w:pPr>
              <w:jc w:val="center"/>
              <w:rPr>
                <w:sz w:val="18"/>
                <w:szCs w:val="18"/>
              </w:rPr>
            </w:pPr>
            <w:r w:rsidRPr="00223C1B">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14:paraId="7B34B04B" w14:textId="77777777" w:rsidR="001F66D5" w:rsidRPr="00223C1B" w:rsidRDefault="001F66D5" w:rsidP="00201ED1">
            <w:pPr>
              <w:jc w:val="center"/>
              <w:rPr>
                <w:sz w:val="18"/>
                <w:szCs w:val="18"/>
              </w:rPr>
            </w:pPr>
            <w:r w:rsidRPr="00223C1B">
              <w:rPr>
                <w:sz w:val="18"/>
                <w:szCs w:val="18"/>
              </w:rPr>
              <w:t>к.5</w:t>
            </w:r>
          </w:p>
        </w:tc>
        <w:tc>
          <w:tcPr>
            <w:tcW w:w="1209" w:type="dxa"/>
            <w:tcBorders>
              <w:top w:val="nil"/>
              <w:left w:val="nil"/>
              <w:bottom w:val="single" w:sz="8" w:space="0" w:color="auto"/>
              <w:right w:val="single" w:sz="8" w:space="0" w:color="auto"/>
            </w:tcBorders>
            <w:shd w:val="clear" w:color="000000" w:fill="D9D9D9"/>
            <w:noWrap/>
            <w:vAlign w:val="bottom"/>
            <w:hideMark/>
          </w:tcPr>
          <w:p w14:paraId="2F5C273B" w14:textId="77777777" w:rsidR="001F66D5" w:rsidRPr="00223C1B" w:rsidRDefault="001F66D5" w:rsidP="00201ED1">
            <w:pPr>
              <w:jc w:val="center"/>
              <w:rPr>
                <w:bCs/>
                <w:sz w:val="18"/>
                <w:szCs w:val="18"/>
              </w:rPr>
            </w:pPr>
            <w:r w:rsidRPr="00223C1B">
              <w:rPr>
                <w:bCs/>
                <w:sz w:val="18"/>
                <w:szCs w:val="18"/>
              </w:rPr>
              <w:t>к.6=к.3:к.2</w:t>
            </w:r>
          </w:p>
        </w:tc>
      </w:tr>
      <w:tr w:rsidR="001F66D5" w:rsidRPr="00793C4E" w14:paraId="68A63DB5" w14:textId="77777777" w:rsidTr="00201ED1">
        <w:trPr>
          <w:trHeight w:val="250"/>
        </w:trPr>
        <w:tc>
          <w:tcPr>
            <w:tcW w:w="4250" w:type="dxa"/>
            <w:tcBorders>
              <w:top w:val="single" w:sz="8" w:space="0" w:color="auto"/>
              <w:left w:val="single" w:sz="8" w:space="0" w:color="auto"/>
              <w:bottom w:val="nil"/>
              <w:right w:val="single" w:sz="4" w:space="0" w:color="auto"/>
            </w:tcBorders>
            <w:shd w:val="clear" w:color="auto" w:fill="auto"/>
            <w:noWrap/>
            <w:vAlign w:val="bottom"/>
            <w:hideMark/>
          </w:tcPr>
          <w:p w14:paraId="79BACE3D" w14:textId="77777777" w:rsidR="001F66D5" w:rsidRPr="00223C1B" w:rsidRDefault="001F66D5" w:rsidP="00201ED1">
            <w:pPr>
              <w:rPr>
                <w:b/>
                <w:bCs/>
                <w:sz w:val="18"/>
                <w:szCs w:val="18"/>
              </w:rPr>
            </w:pPr>
            <w:r w:rsidRPr="00223C1B">
              <w:rPr>
                <w:b/>
                <w:bCs/>
                <w:sz w:val="18"/>
                <w:szCs w:val="18"/>
              </w:rPr>
              <w:t>ПРИХОДИ, ПОМОЩИ И ДАРЕНИЯ</w:t>
            </w:r>
          </w:p>
        </w:tc>
        <w:tc>
          <w:tcPr>
            <w:tcW w:w="1147" w:type="dxa"/>
            <w:tcBorders>
              <w:top w:val="nil"/>
              <w:left w:val="nil"/>
              <w:bottom w:val="nil"/>
              <w:right w:val="nil"/>
            </w:tcBorders>
            <w:shd w:val="clear" w:color="auto" w:fill="auto"/>
            <w:noWrap/>
            <w:vAlign w:val="bottom"/>
            <w:hideMark/>
          </w:tcPr>
          <w:p w14:paraId="0E86F62B" w14:textId="77777777" w:rsidR="001F66D5" w:rsidRPr="00413C7D" w:rsidRDefault="001F66D5" w:rsidP="00201ED1">
            <w:pPr>
              <w:jc w:val="right"/>
              <w:rPr>
                <w:b/>
                <w:bCs/>
                <w:sz w:val="18"/>
                <w:szCs w:val="18"/>
              </w:rPr>
            </w:pPr>
            <w:r w:rsidRPr="00413C7D">
              <w:rPr>
                <w:b/>
                <w:bCs/>
                <w:sz w:val="18"/>
                <w:szCs w:val="18"/>
              </w:rPr>
              <w:t>75 289,7</w:t>
            </w:r>
          </w:p>
        </w:tc>
        <w:tc>
          <w:tcPr>
            <w:tcW w:w="1227" w:type="dxa"/>
            <w:tcBorders>
              <w:top w:val="nil"/>
              <w:left w:val="nil"/>
              <w:bottom w:val="nil"/>
              <w:right w:val="nil"/>
            </w:tcBorders>
            <w:shd w:val="clear" w:color="auto" w:fill="auto"/>
            <w:noWrap/>
            <w:vAlign w:val="bottom"/>
            <w:hideMark/>
          </w:tcPr>
          <w:p w14:paraId="6A9E9AC6" w14:textId="77777777" w:rsidR="001F66D5" w:rsidRDefault="001F66D5" w:rsidP="00201ED1">
            <w:pPr>
              <w:jc w:val="right"/>
              <w:rPr>
                <w:b/>
                <w:bCs/>
                <w:sz w:val="18"/>
                <w:szCs w:val="18"/>
              </w:rPr>
            </w:pPr>
            <w:r>
              <w:rPr>
                <w:b/>
                <w:bCs/>
                <w:sz w:val="18"/>
                <w:szCs w:val="18"/>
              </w:rPr>
              <w:t>34 493,6</w:t>
            </w:r>
          </w:p>
        </w:tc>
        <w:tc>
          <w:tcPr>
            <w:tcW w:w="1222" w:type="dxa"/>
            <w:tcBorders>
              <w:top w:val="nil"/>
              <w:left w:val="nil"/>
              <w:bottom w:val="nil"/>
              <w:right w:val="nil"/>
            </w:tcBorders>
            <w:shd w:val="clear" w:color="auto" w:fill="auto"/>
            <w:noWrap/>
            <w:vAlign w:val="bottom"/>
            <w:hideMark/>
          </w:tcPr>
          <w:p w14:paraId="61A47EE3" w14:textId="77777777" w:rsidR="001F66D5" w:rsidRDefault="001F66D5" w:rsidP="00201ED1">
            <w:pPr>
              <w:jc w:val="right"/>
              <w:rPr>
                <w:b/>
                <w:bCs/>
                <w:color w:val="000000"/>
                <w:sz w:val="18"/>
                <w:szCs w:val="18"/>
              </w:rPr>
            </w:pPr>
            <w:r>
              <w:rPr>
                <w:b/>
                <w:bCs/>
                <w:color w:val="000000"/>
                <w:sz w:val="18"/>
                <w:szCs w:val="18"/>
              </w:rPr>
              <w:t>32 623,3</w:t>
            </w:r>
          </w:p>
        </w:tc>
        <w:tc>
          <w:tcPr>
            <w:tcW w:w="1199" w:type="dxa"/>
            <w:tcBorders>
              <w:top w:val="nil"/>
              <w:left w:val="nil"/>
              <w:bottom w:val="nil"/>
              <w:right w:val="nil"/>
            </w:tcBorders>
            <w:shd w:val="clear" w:color="auto" w:fill="auto"/>
            <w:noWrap/>
            <w:vAlign w:val="bottom"/>
            <w:hideMark/>
          </w:tcPr>
          <w:p w14:paraId="7EA4A5F3" w14:textId="77777777" w:rsidR="001F66D5" w:rsidRDefault="001F66D5" w:rsidP="00201ED1">
            <w:pPr>
              <w:jc w:val="right"/>
              <w:rPr>
                <w:b/>
                <w:bCs/>
                <w:color w:val="000000"/>
                <w:sz w:val="18"/>
                <w:szCs w:val="18"/>
              </w:rPr>
            </w:pPr>
            <w:r>
              <w:rPr>
                <w:b/>
                <w:bCs/>
                <w:color w:val="000000"/>
                <w:sz w:val="18"/>
                <w:szCs w:val="18"/>
              </w:rPr>
              <w:t>1 870,3</w:t>
            </w:r>
          </w:p>
        </w:tc>
        <w:tc>
          <w:tcPr>
            <w:tcW w:w="1209" w:type="dxa"/>
            <w:tcBorders>
              <w:top w:val="single" w:sz="8" w:space="0" w:color="auto"/>
              <w:left w:val="nil"/>
              <w:bottom w:val="nil"/>
              <w:right w:val="single" w:sz="8" w:space="0" w:color="auto"/>
            </w:tcBorders>
            <w:shd w:val="clear" w:color="auto" w:fill="auto"/>
            <w:noWrap/>
            <w:vAlign w:val="bottom"/>
            <w:hideMark/>
          </w:tcPr>
          <w:p w14:paraId="0D7F532B" w14:textId="77777777" w:rsidR="001F66D5" w:rsidRDefault="001F66D5" w:rsidP="00201ED1">
            <w:pPr>
              <w:jc w:val="right"/>
              <w:rPr>
                <w:b/>
                <w:bCs/>
                <w:sz w:val="18"/>
                <w:szCs w:val="18"/>
              </w:rPr>
            </w:pPr>
            <w:r>
              <w:rPr>
                <w:b/>
                <w:bCs/>
                <w:sz w:val="18"/>
                <w:szCs w:val="18"/>
              </w:rPr>
              <w:t>45,8%</w:t>
            </w:r>
          </w:p>
        </w:tc>
      </w:tr>
      <w:tr w:rsidR="001F66D5" w:rsidRPr="00793C4E" w14:paraId="02CE713A" w14:textId="77777777"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4C9A4596" w14:textId="77777777" w:rsidR="001F66D5" w:rsidRPr="00223C1B" w:rsidRDefault="001F66D5" w:rsidP="00201ED1">
            <w:pPr>
              <w:rPr>
                <w:sz w:val="18"/>
                <w:szCs w:val="18"/>
              </w:rPr>
            </w:pPr>
            <w:r w:rsidRPr="00223C1B">
              <w:rPr>
                <w:sz w:val="18"/>
                <w:szCs w:val="18"/>
              </w:rPr>
              <w:t xml:space="preserve">  Данъчни приходи</w:t>
            </w:r>
          </w:p>
        </w:tc>
        <w:tc>
          <w:tcPr>
            <w:tcW w:w="1147" w:type="dxa"/>
            <w:tcBorders>
              <w:top w:val="nil"/>
              <w:left w:val="nil"/>
              <w:bottom w:val="nil"/>
              <w:right w:val="nil"/>
            </w:tcBorders>
            <w:shd w:val="clear" w:color="auto" w:fill="auto"/>
            <w:noWrap/>
            <w:vAlign w:val="bottom"/>
            <w:hideMark/>
          </w:tcPr>
          <w:p w14:paraId="556C567F" w14:textId="77777777" w:rsidR="001F66D5" w:rsidRPr="00413C7D" w:rsidRDefault="001F66D5" w:rsidP="00201ED1">
            <w:pPr>
              <w:jc w:val="right"/>
              <w:rPr>
                <w:sz w:val="18"/>
                <w:szCs w:val="18"/>
              </w:rPr>
            </w:pPr>
            <w:r w:rsidRPr="00413C7D">
              <w:rPr>
                <w:sz w:val="18"/>
                <w:szCs w:val="18"/>
              </w:rPr>
              <w:t>57 950,8</w:t>
            </w:r>
          </w:p>
        </w:tc>
        <w:tc>
          <w:tcPr>
            <w:tcW w:w="1227" w:type="dxa"/>
            <w:tcBorders>
              <w:top w:val="nil"/>
              <w:left w:val="nil"/>
              <w:bottom w:val="nil"/>
              <w:right w:val="nil"/>
            </w:tcBorders>
            <w:shd w:val="clear" w:color="auto" w:fill="auto"/>
            <w:noWrap/>
            <w:vAlign w:val="bottom"/>
            <w:hideMark/>
          </w:tcPr>
          <w:p w14:paraId="383F1928" w14:textId="77777777" w:rsidR="001F66D5" w:rsidRDefault="001F66D5" w:rsidP="00201ED1">
            <w:pPr>
              <w:jc w:val="right"/>
              <w:rPr>
                <w:sz w:val="18"/>
                <w:szCs w:val="18"/>
              </w:rPr>
            </w:pPr>
            <w:r>
              <w:rPr>
                <w:sz w:val="18"/>
                <w:szCs w:val="18"/>
              </w:rPr>
              <w:t>27 204,1</w:t>
            </w:r>
          </w:p>
        </w:tc>
        <w:tc>
          <w:tcPr>
            <w:tcW w:w="1222" w:type="dxa"/>
            <w:tcBorders>
              <w:top w:val="nil"/>
              <w:left w:val="nil"/>
              <w:bottom w:val="nil"/>
              <w:right w:val="nil"/>
            </w:tcBorders>
            <w:shd w:val="clear" w:color="auto" w:fill="auto"/>
            <w:noWrap/>
            <w:vAlign w:val="bottom"/>
            <w:hideMark/>
          </w:tcPr>
          <w:p w14:paraId="67B4F742" w14:textId="77777777" w:rsidR="001F66D5" w:rsidRDefault="001F66D5" w:rsidP="00201ED1">
            <w:pPr>
              <w:jc w:val="right"/>
              <w:rPr>
                <w:color w:val="000000"/>
                <w:sz w:val="18"/>
                <w:szCs w:val="18"/>
              </w:rPr>
            </w:pPr>
            <w:r>
              <w:rPr>
                <w:color w:val="000000"/>
                <w:sz w:val="18"/>
                <w:szCs w:val="18"/>
              </w:rPr>
              <w:t>27 204,1</w:t>
            </w:r>
          </w:p>
        </w:tc>
        <w:tc>
          <w:tcPr>
            <w:tcW w:w="1199" w:type="dxa"/>
            <w:tcBorders>
              <w:top w:val="nil"/>
              <w:left w:val="nil"/>
              <w:bottom w:val="nil"/>
              <w:right w:val="nil"/>
            </w:tcBorders>
            <w:shd w:val="clear" w:color="auto" w:fill="auto"/>
            <w:noWrap/>
            <w:vAlign w:val="bottom"/>
            <w:hideMark/>
          </w:tcPr>
          <w:p w14:paraId="247E961D" w14:textId="77777777" w:rsidR="001F66D5" w:rsidRDefault="001F66D5" w:rsidP="00201ED1">
            <w:pPr>
              <w:jc w:val="right"/>
              <w:rPr>
                <w:color w:val="000000"/>
                <w:sz w:val="18"/>
                <w:szCs w:val="18"/>
              </w:rPr>
            </w:pPr>
          </w:p>
        </w:tc>
        <w:tc>
          <w:tcPr>
            <w:tcW w:w="1209" w:type="dxa"/>
            <w:tcBorders>
              <w:top w:val="nil"/>
              <w:left w:val="nil"/>
              <w:bottom w:val="nil"/>
              <w:right w:val="single" w:sz="8" w:space="0" w:color="auto"/>
            </w:tcBorders>
            <w:shd w:val="clear" w:color="auto" w:fill="auto"/>
            <w:noWrap/>
            <w:vAlign w:val="bottom"/>
            <w:hideMark/>
          </w:tcPr>
          <w:p w14:paraId="2751A908" w14:textId="77777777" w:rsidR="001F66D5" w:rsidRDefault="001F66D5" w:rsidP="00201ED1">
            <w:pPr>
              <w:jc w:val="right"/>
              <w:rPr>
                <w:sz w:val="18"/>
                <w:szCs w:val="18"/>
              </w:rPr>
            </w:pPr>
            <w:r>
              <w:rPr>
                <w:sz w:val="18"/>
                <w:szCs w:val="18"/>
              </w:rPr>
              <w:t>46,9%</w:t>
            </w:r>
          </w:p>
        </w:tc>
      </w:tr>
      <w:tr w:rsidR="001F66D5" w:rsidRPr="00793C4E" w14:paraId="25EDFEE5" w14:textId="77777777"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44DA5EF7" w14:textId="77777777" w:rsidR="001F66D5" w:rsidRPr="00223C1B" w:rsidRDefault="001F66D5" w:rsidP="00201ED1">
            <w:pPr>
              <w:rPr>
                <w:sz w:val="18"/>
                <w:szCs w:val="18"/>
              </w:rPr>
            </w:pPr>
            <w:r w:rsidRPr="00223C1B">
              <w:rPr>
                <w:sz w:val="18"/>
                <w:szCs w:val="18"/>
              </w:rPr>
              <w:t xml:space="preserve">  Неданъчни приходи</w:t>
            </w:r>
          </w:p>
        </w:tc>
        <w:tc>
          <w:tcPr>
            <w:tcW w:w="1147" w:type="dxa"/>
            <w:tcBorders>
              <w:top w:val="nil"/>
              <w:left w:val="nil"/>
              <w:bottom w:val="nil"/>
              <w:right w:val="nil"/>
            </w:tcBorders>
            <w:shd w:val="clear" w:color="auto" w:fill="auto"/>
            <w:noWrap/>
            <w:vAlign w:val="bottom"/>
            <w:hideMark/>
          </w:tcPr>
          <w:p w14:paraId="0879F99C" w14:textId="77777777" w:rsidR="001F66D5" w:rsidRPr="00413C7D" w:rsidRDefault="001F66D5" w:rsidP="00201ED1">
            <w:pPr>
              <w:jc w:val="right"/>
              <w:rPr>
                <w:sz w:val="18"/>
                <w:szCs w:val="18"/>
              </w:rPr>
            </w:pPr>
            <w:r w:rsidRPr="00413C7D">
              <w:rPr>
                <w:sz w:val="18"/>
                <w:szCs w:val="18"/>
              </w:rPr>
              <w:t>10 258,2</w:t>
            </w:r>
          </w:p>
        </w:tc>
        <w:tc>
          <w:tcPr>
            <w:tcW w:w="1227" w:type="dxa"/>
            <w:tcBorders>
              <w:top w:val="nil"/>
              <w:left w:val="nil"/>
              <w:right w:val="nil"/>
            </w:tcBorders>
            <w:shd w:val="clear" w:color="auto" w:fill="auto"/>
            <w:noWrap/>
            <w:vAlign w:val="bottom"/>
            <w:hideMark/>
          </w:tcPr>
          <w:p w14:paraId="4A6991EA" w14:textId="77777777" w:rsidR="001F66D5" w:rsidRDefault="001F66D5" w:rsidP="00201ED1">
            <w:pPr>
              <w:jc w:val="right"/>
              <w:rPr>
                <w:sz w:val="18"/>
                <w:szCs w:val="18"/>
              </w:rPr>
            </w:pPr>
            <w:r>
              <w:rPr>
                <w:sz w:val="18"/>
                <w:szCs w:val="18"/>
              </w:rPr>
              <w:t>5 290,0</w:t>
            </w:r>
          </w:p>
        </w:tc>
        <w:tc>
          <w:tcPr>
            <w:tcW w:w="1222" w:type="dxa"/>
            <w:tcBorders>
              <w:top w:val="nil"/>
              <w:left w:val="nil"/>
              <w:right w:val="nil"/>
            </w:tcBorders>
            <w:shd w:val="clear" w:color="auto" w:fill="auto"/>
            <w:noWrap/>
            <w:vAlign w:val="bottom"/>
            <w:hideMark/>
          </w:tcPr>
          <w:p w14:paraId="4F0F9958" w14:textId="77777777" w:rsidR="001F66D5" w:rsidRDefault="001F66D5" w:rsidP="00201ED1">
            <w:pPr>
              <w:jc w:val="right"/>
              <w:rPr>
                <w:color w:val="000000"/>
                <w:sz w:val="18"/>
                <w:szCs w:val="18"/>
              </w:rPr>
            </w:pPr>
            <w:r>
              <w:rPr>
                <w:color w:val="000000"/>
                <w:sz w:val="18"/>
                <w:szCs w:val="18"/>
              </w:rPr>
              <w:t>5 294,1</w:t>
            </w:r>
          </w:p>
        </w:tc>
        <w:tc>
          <w:tcPr>
            <w:tcW w:w="1199" w:type="dxa"/>
            <w:tcBorders>
              <w:top w:val="nil"/>
              <w:left w:val="nil"/>
              <w:right w:val="nil"/>
            </w:tcBorders>
            <w:shd w:val="clear" w:color="auto" w:fill="auto"/>
            <w:noWrap/>
            <w:vAlign w:val="bottom"/>
            <w:hideMark/>
          </w:tcPr>
          <w:p w14:paraId="247AAEEB" w14:textId="77777777" w:rsidR="001F66D5" w:rsidRDefault="001F66D5" w:rsidP="00201ED1">
            <w:pPr>
              <w:jc w:val="right"/>
              <w:rPr>
                <w:color w:val="000000"/>
                <w:sz w:val="18"/>
                <w:szCs w:val="18"/>
              </w:rPr>
            </w:pPr>
            <w:r>
              <w:rPr>
                <w:color w:val="000000"/>
                <w:sz w:val="18"/>
                <w:szCs w:val="18"/>
              </w:rPr>
              <w:t>-4,1</w:t>
            </w:r>
          </w:p>
        </w:tc>
        <w:tc>
          <w:tcPr>
            <w:tcW w:w="1209" w:type="dxa"/>
            <w:tcBorders>
              <w:top w:val="nil"/>
              <w:left w:val="nil"/>
              <w:right w:val="single" w:sz="8" w:space="0" w:color="auto"/>
            </w:tcBorders>
            <w:shd w:val="clear" w:color="auto" w:fill="auto"/>
            <w:noWrap/>
            <w:vAlign w:val="bottom"/>
            <w:hideMark/>
          </w:tcPr>
          <w:p w14:paraId="11954112" w14:textId="77777777" w:rsidR="001F66D5" w:rsidRDefault="001F66D5" w:rsidP="00201ED1">
            <w:pPr>
              <w:jc w:val="right"/>
              <w:rPr>
                <w:sz w:val="18"/>
                <w:szCs w:val="18"/>
              </w:rPr>
            </w:pPr>
            <w:r>
              <w:rPr>
                <w:sz w:val="18"/>
                <w:szCs w:val="18"/>
              </w:rPr>
              <w:t>51,6%</w:t>
            </w:r>
          </w:p>
        </w:tc>
      </w:tr>
      <w:tr w:rsidR="001F66D5" w:rsidRPr="00793C4E" w14:paraId="60993C0E" w14:textId="77777777" w:rsidTr="00201ED1">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3658693D" w14:textId="77777777" w:rsidR="001F66D5" w:rsidRPr="00223C1B" w:rsidRDefault="001F66D5" w:rsidP="00201ED1">
            <w:pPr>
              <w:rPr>
                <w:sz w:val="18"/>
                <w:szCs w:val="18"/>
              </w:rPr>
            </w:pPr>
            <w:r w:rsidRPr="00223C1B">
              <w:rPr>
                <w:sz w:val="18"/>
                <w:szCs w:val="18"/>
              </w:rPr>
              <w:t xml:space="preserve">  Помощи и дарения</w:t>
            </w:r>
          </w:p>
        </w:tc>
        <w:tc>
          <w:tcPr>
            <w:tcW w:w="1147" w:type="dxa"/>
            <w:tcBorders>
              <w:top w:val="nil"/>
              <w:left w:val="nil"/>
              <w:bottom w:val="single" w:sz="4" w:space="0" w:color="auto"/>
              <w:right w:val="nil"/>
            </w:tcBorders>
            <w:shd w:val="clear" w:color="auto" w:fill="auto"/>
            <w:noWrap/>
            <w:vAlign w:val="bottom"/>
            <w:hideMark/>
          </w:tcPr>
          <w:p w14:paraId="78CA1F06" w14:textId="77777777" w:rsidR="001F66D5" w:rsidRPr="00413C7D" w:rsidRDefault="001F66D5" w:rsidP="00201ED1">
            <w:pPr>
              <w:jc w:val="right"/>
              <w:rPr>
                <w:sz w:val="18"/>
                <w:szCs w:val="18"/>
              </w:rPr>
            </w:pPr>
            <w:r w:rsidRPr="00413C7D">
              <w:rPr>
                <w:sz w:val="18"/>
                <w:szCs w:val="18"/>
              </w:rPr>
              <w:t>7 080,7</w:t>
            </w:r>
          </w:p>
        </w:tc>
        <w:tc>
          <w:tcPr>
            <w:tcW w:w="1227" w:type="dxa"/>
            <w:tcBorders>
              <w:top w:val="nil"/>
              <w:left w:val="nil"/>
              <w:bottom w:val="single" w:sz="4" w:space="0" w:color="auto"/>
              <w:right w:val="nil"/>
            </w:tcBorders>
            <w:shd w:val="clear" w:color="auto" w:fill="auto"/>
            <w:noWrap/>
            <w:vAlign w:val="bottom"/>
            <w:hideMark/>
          </w:tcPr>
          <w:p w14:paraId="7D152F86" w14:textId="77777777" w:rsidR="001F66D5" w:rsidRDefault="001F66D5" w:rsidP="00201ED1">
            <w:pPr>
              <w:jc w:val="right"/>
              <w:rPr>
                <w:sz w:val="18"/>
                <w:szCs w:val="18"/>
              </w:rPr>
            </w:pPr>
            <w:r>
              <w:rPr>
                <w:sz w:val="18"/>
                <w:szCs w:val="18"/>
              </w:rPr>
              <w:t>1 999,5</w:t>
            </w:r>
          </w:p>
        </w:tc>
        <w:tc>
          <w:tcPr>
            <w:tcW w:w="1222" w:type="dxa"/>
            <w:tcBorders>
              <w:top w:val="nil"/>
              <w:left w:val="nil"/>
              <w:bottom w:val="single" w:sz="4" w:space="0" w:color="auto"/>
              <w:right w:val="nil"/>
            </w:tcBorders>
            <w:shd w:val="clear" w:color="auto" w:fill="auto"/>
            <w:noWrap/>
            <w:vAlign w:val="bottom"/>
            <w:hideMark/>
          </w:tcPr>
          <w:p w14:paraId="30CD1BBF" w14:textId="77777777" w:rsidR="001F66D5" w:rsidRDefault="001F66D5" w:rsidP="00201ED1">
            <w:pPr>
              <w:jc w:val="right"/>
              <w:rPr>
                <w:color w:val="000000"/>
                <w:sz w:val="18"/>
                <w:szCs w:val="18"/>
              </w:rPr>
            </w:pPr>
            <w:r>
              <w:rPr>
                <w:color w:val="000000"/>
                <w:sz w:val="18"/>
                <w:szCs w:val="18"/>
              </w:rPr>
              <w:t>125,1</w:t>
            </w:r>
          </w:p>
        </w:tc>
        <w:tc>
          <w:tcPr>
            <w:tcW w:w="1199" w:type="dxa"/>
            <w:tcBorders>
              <w:top w:val="nil"/>
              <w:left w:val="nil"/>
              <w:bottom w:val="single" w:sz="4" w:space="0" w:color="auto"/>
              <w:right w:val="nil"/>
            </w:tcBorders>
            <w:shd w:val="clear" w:color="auto" w:fill="auto"/>
            <w:noWrap/>
            <w:vAlign w:val="bottom"/>
            <w:hideMark/>
          </w:tcPr>
          <w:p w14:paraId="47AE2FCD" w14:textId="77777777" w:rsidR="001F66D5" w:rsidRDefault="001F66D5" w:rsidP="00201ED1">
            <w:pPr>
              <w:jc w:val="right"/>
              <w:rPr>
                <w:color w:val="000000"/>
                <w:sz w:val="18"/>
                <w:szCs w:val="18"/>
              </w:rPr>
            </w:pPr>
            <w:r>
              <w:rPr>
                <w:color w:val="000000"/>
                <w:sz w:val="18"/>
                <w:szCs w:val="18"/>
              </w:rPr>
              <w:t>1 874,4</w:t>
            </w:r>
          </w:p>
        </w:tc>
        <w:tc>
          <w:tcPr>
            <w:tcW w:w="1209" w:type="dxa"/>
            <w:tcBorders>
              <w:top w:val="nil"/>
              <w:left w:val="nil"/>
              <w:bottom w:val="single" w:sz="4" w:space="0" w:color="auto"/>
              <w:right w:val="single" w:sz="8" w:space="0" w:color="auto"/>
            </w:tcBorders>
            <w:shd w:val="clear" w:color="auto" w:fill="auto"/>
            <w:noWrap/>
            <w:vAlign w:val="bottom"/>
            <w:hideMark/>
          </w:tcPr>
          <w:p w14:paraId="006C94E8" w14:textId="77777777" w:rsidR="001F66D5" w:rsidRDefault="001F66D5" w:rsidP="00201ED1">
            <w:pPr>
              <w:jc w:val="right"/>
              <w:rPr>
                <w:sz w:val="18"/>
                <w:szCs w:val="18"/>
              </w:rPr>
            </w:pPr>
            <w:r>
              <w:rPr>
                <w:sz w:val="18"/>
                <w:szCs w:val="18"/>
              </w:rPr>
              <w:t>28,2%</w:t>
            </w:r>
          </w:p>
        </w:tc>
      </w:tr>
      <w:tr w:rsidR="001F66D5" w:rsidRPr="00793C4E" w14:paraId="01915171" w14:textId="77777777" w:rsidTr="00201ED1">
        <w:trPr>
          <w:trHeight w:val="472"/>
        </w:trPr>
        <w:tc>
          <w:tcPr>
            <w:tcW w:w="4250" w:type="dxa"/>
            <w:tcBorders>
              <w:top w:val="single" w:sz="4" w:space="0" w:color="auto"/>
              <w:left w:val="single" w:sz="8" w:space="0" w:color="auto"/>
              <w:bottom w:val="nil"/>
              <w:right w:val="single" w:sz="4" w:space="0" w:color="auto"/>
            </w:tcBorders>
            <w:shd w:val="clear" w:color="auto" w:fill="auto"/>
            <w:vAlign w:val="bottom"/>
            <w:hideMark/>
          </w:tcPr>
          <w:p w14:paraId="71A1D2A1" w14:textId="77777777" w:rsidR="001F66D5" w:rsidRPr="00223C1B" w:rsidRDefault="001F66D5" w:rsidP="00201ED1">
            <w:pPr>
              <w:rPr>
                <w:b/>
                <w:bCs/>
                <w:sz w:val="18"/>
                <w:szCs w:val="18"/>
              </w:rPr>
            </w:pPr>
            <w:r w:rsidRPr="00223C1B">
              <w:rPr>
                <w:b/>
                <w:bCs/>
                <w:sz w:val="18"/>
                <w:szCs w:val="18"/>
              </w:rPr>
              <w:t>РАЗХОДИ И ВНОСКА ЗА ОБЩИЯ БЮДЖЕТ НА ЕС</w:t>
            </w:r>
          </w:p>
        </w:tc>
        <w:tc>
          <w:tcPr>
            <w:tcW w:w="1147" w:type="dxa"/>
            <w:tcBorders>
              <w:top w:val="single" w:sz="4" w:space="0" w:color="auto"/>
              <w:left w:val="nil"/>
              <w:bottom w:val="nil"/>
              <w:right w:val="nil"/>
            </w:tcBorders>
            <w:shd w:val="clear" w:color="auto" w:fill="auto"/>
            <w:noWrap/>
            <w:vAlign w:val="bottom"/>
            <w:hideMark/>
          </w:tcPr>
          <w:p w14:paraId="681A6538" w14:textId="77777777" w:rsidR="001F66D5" w:rsidRPr="00413C7D" w:rsidRDefault="001F66D5" w:rsidP="00201ED1">
            <w:pPr>
              <w:jc w:val="right"/>
              <w:rPr>
                <w:b/>
                <w:bCs/>
                <w:sz w:val="18"/>
                <w:szCs w:val="18"/>
              </w:rPr>
            </w:pPr>
            <w:r w:rsidRPr="00413C7D">
              <w:rPr>
                <w:b/>
                <w:bCs/>
                <w:sz w:val="18"/>
                <w:szCs w:val="18"/>
              </w:rPr>
              <w:t>81 509,0</w:t>
            </w:r>
          </w:p>
        </w:tc>
        <w:tc>
          <w:tcPr>
            <w:tcW w:w="1227" w:type="dxa"/>
            <w:tcBorders>
              <w:top w:val="single" w:sz="4" w:space="0" w:color="auto"/>
              <w:left w:val="nil"/>
              <w:bottom w:val="nil"/>
              <w:right w:val="nil"/>
            </w:tcBorders>
            <w:shd w:val="clear" w:color="auto" w:fill="auto"/>
            <w:noWrap/>
            <w:vAlign w:val="bottom"/>
            <w:hideMark/>
          </w:tcPr>
          <w:p w14:paraId="57AA0390" w14:textId="77777777" w:rsidR="001F66D5" w:rsidRDefault="001F66D5" w:rsidP="00201ED1">
            <w:pPr>
              <w:jc w:val="right"/>
              <w:rPr>
                <w:b/>
                <w:bCs/>
                <w:sz w:val="18"/>
                <w:szCs w:val="18"/>
              </w:rPr>
            </w:pPr>
            <w:r>
              <w:rPr>
                <w:b/>
                <w:bCs/>
                <w:sz w:val="18"/>
                <w:szCs w:val="18"/>
              </w:rPr>
              <w:t>35 129,6</w:t>
            </w:r>
          </w:p>
        </w:tc>
        <w:tc>
          <w:tcPr>
            <w:tcW w:w="1222" w:type="dxa"/>
            <w:tcBorders>
              <w:top w:val="single" w:sz="4" w:space="0" w:color="auto"/>
              <w:left w:val="nil"/>
              <w:bottom w:val="nil"/>
              <w:right w:val="nil"/>
            </w:tcBorders>
            <w:shd w:val="clear" w:color="auto" w:fill="auto"/>
            <w:noWrap/>
            <w:vAlign w:val="bottom"/>
            <w:hideMark/>
          </w:tcPr>
          <w:p w14:paraId="30578C92" w14:textId="77777777" w:rsidR="001F66D5" w:rsidRDefault="001F66D5" w:rsidP="00201ED1">
            <w:pPr>
              <w:jc w:val="right"/>
              <w:rPr>
                <w:b/>
                <w:bCs/>
                <w:color w:val="000000"/>
                <w:sz w:val="18"/>
                <w:szCs w:val="18"/>
              </w:rPr>
            </w:pPr>
            <w:r>
              <w:rPr>
                <w:b/>
                <w:bCs/>
                <w:color w:val="000000"/>
                <w:sz w:val="18"/>
                <w:szCs w:val="18"/>
              </w:rPr>
              <w:t>33 653,6</w:t>
            </w:r>
          </w:p>
        </w:tc>
        <w:tc>
          <w:tcPr>
            <w:tcW w:w="1199" w:type="dxa"/>
            <w:tcBorders>
              <w:top w:val="single" w:sz="4" w:space="0" w:color="auto"/>
              <w:left w:val="nil"/>
              <w:bottom w:val="nil"/>
              <w:right w:val="nil"/>
            </w:tcBorders>
            <w:shd w:val="clear" w:color="auto" w:fill="auto"/>
            <w:noWrap/>
            <w:vAlign w:val="bottom"/>
            <w:hideMark/>
          </w:tcPr>
          <w:p w14:paraId="29B88E0A" w14:textId="77777777" w:rsidR="001F66D5" w:rsidRDefault="001F66D5" w:rsidP="00201ED1">
            <w:pPr>
              <w:jc w:val="right"/>
              <w:rPr>
                <w:b/>
                <w:bCs/>
                <w:color w:val="000000"/>
                <w:sz w:val="18"/>
                <w:szCs w:val="18"/>
              </w:rPr>
            </w:pPr>
            <w:r>
              <w:rPr>
                <w:b/>
                <w:bCs/>
                <w:color w:val="000000"/>
                <w:sz w:val="18"/>
                <w:szCs w:val="18"/>
              </w:rPr>
              <w:t>1 476,0</w:t>
            </w:r>
          </w:p>
        </w:tc>
        <w:tc>
          <w:tcPr>
            <w:tcW w:w="1209" w:type="dxa"/>
            <w:tcBorders>
              <w:top w:val="nil"/>
              <w:left w:val="nil"/>
              <w:bottom w:val="nil"/>
              <w:right w:val="single" w:sz="8" w:space="0" w:color="auto"/>
            </w:tcBorders>
            <w:shd w:val="clear" w:color="auto" w:fill="auto"/>
            <w:noWrap/>
            <w:vAlign w:val="bottom"/>
            <w:hideMark/>
          </w:tcPr>
          <w:p w14:paraId="282DD6AC" w14:textId="77777777" w:rsidR="001F66D5" w:rsidRDefault="001F66D5" w:rsidP="00201ED1">
            <w:pPr>
              <w:jc w:val="right"/>
              <w:rPr>
                <w:b/>
                <w:bCs/>
                <w:sz w:val="18"/>
                <w:szCs w:val="18"/>
              </w:rPr>
            </w:pPr>
            <w:r>
              <w:rPr>
                <w:b/>
                <w:bCs/>
                <w:sz w:val="18"/>
                <w:szCs w:val="18"/>
              </w:rPr>
              <w:t>43,1%</w:t>
            </w:r>
          </w:p>
        </w:tc>
      </w:tr>
      <w:tr w:rsidR="001F66D5" w:rsidRPr="00793C4E" w14:paraId="53110FE5" w14:textId="77777777"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3EEDFE12" w14:textId="49ED63A3" w:rsidR="001F66D5" w:rsidRPr="00223C1B" w:rsidRDefault="001F66D5" w:rsidP="003D491B">
            <w:pPr>
              <w:rPr>
                <w:sz w:val="18"/>
                <w:szCs w:val="18"/>
              </w:rPr>
            </w:pPr>
            <w:r w:rsidRPr="00223C1B">
              <w:rPr>
                <w:sz w:val="18"/>
                <w:szCs w:val="18"/>
              </w:rPr>
              <w:t xml:space="preserve">  Нелихвени</w:t>
            </w:r>
          </w:p>
        </w:tc>
        <w:tc>
          <w:tcPr>
            <w:tcW w:w="1147" w:type="dxa"/>
            <w:tcBorders>
              <w:top w:val="nil"/>
              <w:left w:val="nil"/>
              <w:bottom w:val="nil"/>
              <w:right w:val="nil"/>
            </w:tcBorders>
            <w:shd w:val="clear" w:color="auto" w:fill="auto"/>
            <w:noWrap/>
            <w:vAlign w:val="bottom"/>
            <w:hideMark/>
          </w:tcPr>
          <w:p w14:paraId="4B38BDD9" w14:textId="77777777" w:rsidR="001F66D5" w:rsidRPr="00413C7D" w:rsidRDefault="001F66D5" w:rsidP="00201ED1">
            <w:pPr>
              <w:jc w:val="right"/>
              <w:rPr>
                <w:sz w:val="18"/>
                <w:szCs w:val="18"/>
              </w:rPr>
            </w:pPr>
            <w:r w:rsidRPr="00413C7D">
              <w:rPr>
                <w:sz w:val="18"/>
                <w:szCs w:val="18"/>
              </w:rPr>
              <w:t>77 857,2</w:t>
            </w:r>
          </w:p>
        </w:tc>
        <w:tc>
          <w:tcPr>
            <w:tcW w:w="1227" w:type="dxa"/>
            <w:tcBorders>
              <w:top w:val="nil"/>
              <w:left w:val="nil"/>
              <w:bottom w:val="nil"/>
              <w:right w:val="nil"/>
            </w:tcBorders>
            <w:shd w:val="clear" w:color="auto" w:fill="auto"/>
            <w:noWrap/>
            <w:vAlign w:val="bottom"/>
            <w:hideMark/>
          </w:tcPr>
          <w:p w14:paraId="5AD813CF" w14:textId="77777777" w:rsidR="001F66D5" w:rsidRDefault="001F66D5" w:rsidP="00201ED1">
            <w:pPr>
              <w:jc w:val="right"/>
              <w:rPr>
                <w:sz w:val="18"/>
                <w:szCs w:val="18"/>
              </w:rPr>
            </w:pPr>
            <w:r>
              <w:rPr>
                <w:sz w:val="18"/>
                <w:szCs w:val="18"/>
              </w:rPr>
              <w:t>33 918,8</w:t>
            </w:r>
          </w:p>
        </w:tc>
        <w:tc>
          <w:tcPr>
            <w:tcW w:w="1222" w:type="dxa"/>
            <w:tcBorders>
              <w:top w:val="nil"/>
              <w:left w:val="nil"/>
              <w:bottom w:val="nil"/>
              <w:right w:val="nil"/>
            </w:tcBorders>
            <w:shd w:val="clear" w:color="auto" w:fill="auto"/>
            <w:noWrap/>
            <w:vAlign w:val="bottom"/>
            <w:hideMark/>
          </w:tcPr>
          <w:p w14:paraId="2E7CCE35" w14:textId="77777777" w:rsidR="001F66D5" w:rsidRDefault="001F66D5" w:rsidP="00201ED1">
            <w:pPr>
              <w:jc w:val="right"/>
              <w:rPr>
                <w:sz w:val="18"/>
                <w:szCs w:val="18"/>
              </w:rPr>
            </w:pPr>
            <w:r>
              <w:rPr>
                <w:sz w:val="18"/>
                <w:szCs w:val="18"/>
              </w:rPr>
              <w:t>32 442,9</w:t>
            </w:r>
          </w:p>
        </w:tc>
        <w:tc>
          <w:tcPr>
            <w:tcW w:w="1199" w:type="dxa"/>
            <w:tcBorders>
              <w:top w:val="nil"/>
              <w:left w:val="nil"/>
              <w:bottom w:val="nil"/>
              <w:right w:val="nil"/>
            </w:tcBorders>
            <w:shd w:val="clear" w:color="auto" w:fill="auto"/>
            <w:noWrap/>
            <w:vAlign w:val="bottom"/>
            <w:hideMark/>
          </w:tcPr>
          <w:p w14:paraId="04FF9136" w14:textId="77777777" w:rsidR="001F66D5" w:rsidRDefault="001F66D5" w:rsidP="00201ED1">
            <w:pPr>
              <w:jc w:val="right"/>
              <w:rPr>
                <w:sz w:val="18"/>
                <w:szCs w:val="18"/>
              </w:rPr>
            </w:pPr>
            <w:r>
              <w:rPr>
                <w:sz w:val="18"/>
                <w:szCs w:val="18"/>
              </w:rPr>
              <w:t>1 475,9</w:t>
            </w:r>
          </w:p>
        </w:tc>
        <w:tc>
          <w:tcPr>
            <w:tcW w:w="1209" w:type="dxa"/>
            <w:tcBorders>
              <w:top w:val="nil"/>
              <w:left w:val="nil"/>
              <w:bottom w:val="nil"/>
              <w:right w:val="single" w:sz="8" w:space="0" w:color="auto"/>
            </w:tcBorders>
            <w:shd w:val="clear" w:color="auto" w:fill="auto"/>
            <w:noWrap/>
            <w:vAlign w:val="bottom"/>
            <w:hideMark/>
          </w:tcPr>
          <w:p w14:paraId="5B7282CE" w14:textId="77777777" w:rsidR="001F66D5" w:rsidRDefault="001F66D5" w:rsidP="00201ED1">
            <w:pPr>
              <w:jc w:val="right"/>
              <w:rPr>
                <w:sz w:val="18"/>
                <w:szCs w:val="18"/>
              </w:rPr>
            </w:pPr>
            <w:r>
              <w:rPr>
                <w:sz w:val="18"/>
                <w:szCs w:val="18"/>
              </w:rPr>
              <w:t>43,6%</w:t>
            </w:r>
          </w:p>
        </w:tc>
      </w:tr>
      <w:tr w:rsidR="001F66D5" w:rsidRPr="00793C4E" w14:paraId="32AE31E1" w14:textId="77777777"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509BB615" w14:textId="77777777" w:rsidR="001F66D5" w:rsidRPr="00223C1B" w:rsidRDefault="001F66D5" w:rsidP="00201ED1">
            <w:pPr>
              <w:rPr>
                <w:sz w:val="18"/>
                <w:szCs w:val="18"/>
              </w:rPr>
            </w:pPr>
            <w:r w:rsidRPr="00223C1B">
              <w:rPr>
                <w:sz w:val="18"/>
                <w:szCs w:val="18"/>
              </w:rPr>
              <w:t xml:space="preserve">  Лихвени</w:t>
            </w:r>
          </w:p>
        </w:tc>
        <w:tc>
          <w:tcPr>
            <w:tcW w:w="1147" w:type="dxa"/>
            <w:tcBorders>
              <w:top w:val="nil"/>
              <w:left w:val="nil"/>
              <w:bottom w:val="nil"/>
              <w:right w:val="nil"/>
            </w:tcBorders>
            <w:shd w:val="clear" w:color="auto" w:fill="auto"/>
            <w:noWrap/>
            <w:vAlign w:val="bottom"/>
            <w:hideMark/>
          </w:tcPr>
          <w:p w14:paraId="00A52112" w14:textId="77777777" w:rsidR="001F66D5" w:rsidRPr="00413C7D" w:rsidRDefault="001F66D5" w:rsidP="00201ED1">
            <w:pPr>
              <w:jc w:val="right"/>
              <w:rPr>
                <w:sz w:val="18"/>
                <w:szCs w:val="18"/>
              </w:rPr>
            </w:pPr>
            <w:r w:rsidRPr="00413C7D">
              <w:rPr>
                <w:sz w:val="18"/>
                <w:szCs w:val="18"/>
              </w:rPr>
              <w:t>1 010,6</w:t>
            </w:r>
          </w:p>
        </w:tc>
        <w:tc>
          <w:tcPr>
            <w:tcW w:w="1227" w:type="dxa"/>
            <w:tcBorders>
              <w:top w:val="nil"/>
              <w:left w:val="nil"/>
              <w:bottom w:val="nil"/>
              <w:right w:val="nil"/>
            </w:tcBorders>
            <w:shd w:val="clear" w:color="auto" w:fill="auto"/>
            <w:noWrap/>
            <w:vAlign w:val="bottom"/>
            <w:hideMark/>
          </w:tcPr>
          <w:p w14:paraId="59F2500F" w14:textId="77777777" w:rsidR="001F66D5" w:rsidRDefault="001F66D5" w:rsidP="00201ED1">
            <w:pPr>
              <w:jc w:val="right"/>
              <w:rPr>
                <w:sz w:val="18"/>
                <w:szCs w:val="18"/>
              </w:rPr>
            </w:pPr>
            <w:r>
              <w:rPr>
                <w:sz w:val="18"/>
                <w:szCs w:val="18"/>
              </w:rPr>
              <w:t>497,2</w:t>
            </w:r>
          </w:p>
        </w:tc>
        <w:tc>
          <w:tcPr>
            <w:tcW w:w="1222" w:type="dxa"/>
            <w:tcBorders>
              <w:top w:val="nil"/>
              <w:left w:val="nil"/>
              <w:bottom w:val="nil"/>
              <w:right w:val="nil"/>
            </w:tcBorders>
            <w:shd w:val="clear" w:color="auto" w:fill="auto"/>
            <w:noWrap/>
            <w:vAlign w:val="bottom"/>
            <w:hideMark/>
          </w:tcPr>
          <w:p w14:paraId="3FF622D9" w14:textId="77777777" w:rsidR="001F66D5" w:rsidRDefault="001F66D5" w:rsidP="00201ED1">
            <w:pPr>
              <w:jc w:val="right"/>
              <w:rPr>
                <w:color w:val="000000"/>
                <w:sz w:val="18"/>
                <w:szCs w:val="18"/>
              </w:rPr>
            </w:pPr>
            <w:r>
              <w:rPr>
                <w:color w:val="000000"/>
                <w:sz w:val="18"/>
                <w:szCs w:val="18"/>
              </w:rPr>
              <w:t>497,2</w:t>
            </w:r>
          </w:p>
        </w:tc>
        <w:tc>
          <w:tcPr>
            <w:tcW w:w="1199" w:type="dxa"/>
            <w:tcBorders>
              <w:top w:val="nil"/>
              <w:left w:val="nil"/>
              <w:bottom w:val="nil"/>
              <w:right w:val="nil"/>
            </w:tcBorders>
            <w:shd w:val="clear" w:color="auto" w:fill="auto"/>
            <w:noWrap/>
            <w:vAlign w:val="bottom"/>
          </w:tcPr>
          <w:p w14:paraId="60A3A424" w14:textId="77777777" w:rsidR="001F66D5" w:rsidRDefault="001F66D5" w:rsidP="00201ED1">
            <w:pPr>
              <w:jc w:val="right"/>
              <w:rPr>
                <w:color w:val="000000"/>
                <w:sz w:val="18"/>
                <w:szCs w:val="18"/>
              </w:rPr>
            </w:pPr>
          </w:p>
        </w:tc>
        <w:tc>
          <w:tcPr>
            <w:tcW w:w="1209" w:type="dxa"/>
            <w:tcBorders>
              <w:top w:val="nil"/>
              <w:left w:val="nil"/>
              <w:bottom w:val="nil"/>
              <w:right w:val="single" w:sz="4" w:space="0" w:color="auto"/>
            </w:tcBorders>
            <w:shd w:val="clear" w:color="auto" w:fill="auto"/>
            <w:noWrap/>
            <w:vAlign w:val="bottom"/>
            <w:hideMark/>
          </w:tcPr>
          <w:p w14:paraId="00DCD398" w14:textId="77777777" w:rsidR="001F66D5" w:rsidRDefault="001F66D5" w:rsidP="00201ED1">
            <w:pPr>
              <w:jc w:val="right"/>
              <w:rPr>
                <w:sz w:val="18"/>
                <w:szCs w:val="18"/>
              </w:rPr>
            </w:pPr>
            <w:r>
              <w:rPr>
                <w:sz w:val="18"/>
                <w:szCs w:val="18"/>
              </w:rPr>
              <w:t>49,2%</w:t>
            </w:r>
          </w:p>
        </w:tc>
      </w:tr>
      <w:tr w:rsidR="001F66D5" w:rsidRPr="00793C4E" w14:paraId="5B7A5038" w14:textId="77777777" w:rsidTr="00201ED1">
        <w:trPr>
          <w:trHeight w:val="250"/>
        </w:trPr>
        <w:tc>
          <w:tcPr>
            <w:tcW w:w="4250" w:type="dxa"/>
            <w:tcBorders>
              <w:top w:val="nil"/>
              <w:left w:val="single" w:sz="8" w:space="0" w:color="auto"/>
              <w:bottom w:val="nil"/>
              <w:right w:val="single" w:sz="4" w:space="0" w:color="auto"/>
            </w:tcBorders>
            <w:noWrap/>
            <w:vAlign w:val="bottom"/>
          </w:tcPr>
          <w:p w14:paraId="5FBC5F67" w14:textId="77777777" w:rsidR="001F66D5" w:rsidRPr="00223C1B" w:rsidRDefault="001F66D5" w:rsidP="00201ED1">
            <w:pPr>
              <w:rPr>
                <w:sz w:val="18"/>
                <w:szCs w:val="18"/>
              </w:rPr>
            </w:pPr>
            <w:r w:rsidRPr="00223C1B">
              <w:rPr>
                <w:sz w:val="18"/>
                <w:szCs w:val="18"/>
                <w:lang w:val="ru-RU"/>
              </w:rPr>
              <w:t xml:space="preserve">  </w:t>
            </w:r>
            <w:r w:rsidRPr="00223C1B">
              <w:rPr>
                <w:sz w:val="18"/>
                <w:szCs w:val="18"/>
              </w:rPr>
              <w:t>Резерв за неотложни и непредвидени разходи</w:t>
            </w:r>
          </w:p>
        </w:tc>
        <w:tc>
          <w:tcPr>
            <w:tcW w:w="1147" w:type="dxa"/>
            <w:tcBorders>
              <w:top w:val="nil"/>
              <w:left w:val="nil"/>
              <w:right w:val="nil"/>
            </w:tcBorders>
            <w:shd w:val="clear" w:color="auto" w:fill="auto"/>
            <w:noWrap/>
            <w:vAlign w:val="bottom"/>
          </w:tcPr>
          <w:p w14:paraId="58A4CF84" w14:textId="77777777" w:rsidR="001F66D5" w:rsidRPr="00413C7D" w:rsidRDefault="001F66D5" w:rsidP="00201ED1">
            <w:pPr>
              <w:jc w:val="right"/>
              <w:rPr>
                <w:sz w:val="18"/>
                <w:szCs w:val="18"/>
              </w:rPr>
            </w:pPr>
            <w:r w:rsidRPr="00413C7D">
              <w:rPr>
                <w:sz w:val="18"/>
                <w:szCs w:val="18"/>
              </w:rPr>
              <w:t>370,2</w:t>
            </w:r>
          </w:p>
        </w:tc>
        <w:tc>
          <w:tcPr>
            <w:tcW w:w="1227" w:type="dxa"/>
            <w:tcBorders>
              <w:top w:val="nil"/>
              <w:left w:val="nil"/>
              <w:bottom w:val="nil"/>
              <w:right w:val="nil"/>
            </w:tcBorders>
            <w:shd w:val="clear" w:color="auto" w:fill="auto"/>
            <w:noWrap/>
            <w:vAlign w:val="bottom"/>
          </w:tcPr>
          <w:p w14:paraId="45B9DC0F" w14:textId="77777777" w:rsidR="001F66D5" w:rsidRDefault="001F66D5" w:rsidP="00201ED1">
            <w:pPr>
              <w:jc w:val="right"/>
              <w:rPr>
                <w:sz w:val="18"/>
                <w:szCs w:val="18"/>
              </w:rPr>
            </w:pPr>
          </w:p>
        </w:tc>
        <w:tc>
          <w:tcPr>
            <w:tcW w:w="1222" w:type="dxa"/>
            <w:tcBorders>
              <w:top w:val="nil"/>
              <w:left w:val="nil"/>
              <w:bottom w:val="nil"/>
              <w:right w:val="nil"/>
            </w:tcBorders>
            <w:shd w:val="clear" w:color="auto" w:fill="auto"/>
            <w:noWrap/>
            <w:vAlign w:val="bottom"/>
          </w:tcPr>
          <w:p w14:paraId="063C14E1" w14:textId="77777777" w:rsidR="001F66D5" w:rsidRDefault="001F66D5" w:rsidP="00201ED1">
            <w:pPr>
              <w:rPr>
                <w:sz w:val="20"/>
                <w:szCs w:val="20"/>
              </w:rPr>
            </w:pPr>
          </w:p>
        </w:tc>
        <w:tc>
          <w:tcPr>
            <w:tcW w:w="1199" w:type="dxa"/>
            <w:tcBorders>
              <w:top w:val="nil"/>
              <w:left w:val="nil"/>
              <w:bottom w:val="nil"/>
              <w:right w:val="nil"/>
            </w:tcBorders>
            <w:shd w:val="clear" w:color="auto" w:fill="auto"/>
            <w:noWrap/>
            <w:vAlign w:val="bottom"/>
          </w:tcPr>
          <w:p w14:paraId="49F99EA8" w14:textId="77777777" w:rsidR="001F66D5" w:rsidRDefault="001F66D5" w:rsidP="00201ED1">
            <w:pPr>
              <w:rPr>
                <w:sz w:val="20"/>
                <w:szCs w:val="20"/>
              </w:rPr>
            </w:pPr>
          </w:p>
        </w:tc>
        <w:tc>
          <w:tcPr>
            <w:tcW w:w="1209" w:type="dxa"/>
            <w:tcBorders>
              <w:top w:val="nil"/>
              <w:left w:val="nil"/>
              <w:bottom w:val="nil"/>
              <w:right w:val="single" w:sz="4" w:space="0" w:color="auto"/>
            </w:tcBorders>
            <w:shd w:val="clear" w:color="auto" w:fill="auto"/>
            <w:noWrap/>
            <w:vAlign w:val="bottom"/>
          </w:tcPr>
          <w:p w14:paraId="08485F3D" w14:textId="77777777" w:rsidR="001F66D5" w:rsidRDefault="001F66D5" w:rsidP="00201ED1">
            <w:pPr>
              <w:rPr>
                <w:sz w:val="18"/>
                <w:szCs w:val="18"/>
              </w:rPr>
            </w:pPr>
            <w:r>
              <w:rPr>
                <w:sz w:val="18"/>
                <w:szCs w:val="18"/>
              </w:rPr>
              <w:t> </w:t>
            </w:r>
          </w:p>
        </w:tc>
      </w:tr>
      <w:tr w:rsidR="001F66D5" w:rsidRPr="00793C4E" w14:paraId="587D047B" w14:textId="77777777" w:rsidTr="00201ED1">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7E6462DC" w14:textId="77777777" w:rsidR="001F66D5" w:rsidRPr="00223C1B" w:rsidRDefault="001F66D5" w:rsidP="00201ED1">
            <w:pPr>
              <w:rPr>
                <w:sz w:val="18"/>
                <w:szCs w:val="18"/>
              </w:rPr>
            </w:pPr>
            <w:r w:rsidRPr="00223C1B">
              <w:rPr>
                <w:sz w:val="18"/>
                <w:szCs w:val="18"/>
              </w:rPr>
              <w:t xml:space="preserve">  Вноска за общия бюджет на ЕС</w:t>
            </w:r>
          </w:p>
        </w:tc>
        <w:tc>
          <w:tcPr>
            <w:tcW w:w="1147" w:type="dxa"/>
            <w:tcBorders>
              <w:top w:val="nil"/>
              <w:left w:val="nil"/>
              <w:bottom w:val="single" w:sz="4" w:space="0" w:color="auto"/>
              <w:right w:val="nil"/>
            </w:tcBorders>
            <w:shd w:val="clear" w:color="auto" w:fill="auto"/>
            <w:noWrap/>
            <w:vAlign w:val="bottom"/>
            <w:hideMark/>
          </w:tcPr>
          <w:p w14:paraId="6C318F0D" w14:textId="77777777" w:rsidR="001F66D5" w:rsidRPr="00413C7D" w:rsidRDefault="001F66D5" w:rsidP="00201ED1">
            <w:pPr>
              <w:jc w:val="right"/>
              <w:rPr>
                <w:sz w:val="18"/>
                <w:szCs w:val="18"/>
              </w:rPr>
            </w:pPr>
            <w:r w:rsidRPr="00413C7D">
              <w:rPr>
                <w:sz w:val="18"/>
                <w:szCs w:val="18"/>
              </w:rPr>
              <w:t>2 271,1</w:t>
            </w:r>
          </w:p>
        </w:tc>
        <w:tc>
          <w:tcPr>
            <w:tcW w:w="1227" w:type="dxa"/>
            <w:tcBorders>
              <w:top w:val="nil"/>
              <w:left w:val="nil"/>
              <w:bottom w:val="single" w:sz="4" w:space="0" w:color="auto"/>
              <w:right w:val="nil"/>
            </w:tcBorders>
            <w:shd w:val="clear" w:color="auto" w:fill="auto"/>
            <w:noWrap/>
            <w:vAlign w:val="bottom"/>
            <w:hideMark/>
          </w:tcPr>
          <w:p w14:paraId="4449CCC0" w14:textId="77777777" w:rsidR="001F66D5" w:rsidRDefault="001F66D5" w:rsidP="00201ED1">
            <w:pPr>
              <w:jc w:val="right"/>
              <w:rPr>
                <w:sz w:val="18"/>
                <w:szCs w:val="18"/>
              </w:rPr>
            </w:pPr>
            <w:r>
              <w:rPr>
                <w:sz w:val="18"/>
                <w:szCs w:val="18"/>
              </w:rPr>
              <w:t>713,5</w:t>
            </w:r>
          </w:p>
        </w:tc>
        <w:tc>
          <w:tcPr>
            <w:tcW w:w="1222" w:type="dxa"/>
            <w:tcBorders>
              <w:top w:val="nil"/>
              <w:left w:val="nil"/>
              <w:bottom w:val="single" w:sz="4" w:space="0" w:color="auto"/>
              <w:right w:val="nil"/>
            </w:tcBorders>
            <w:shd w:val="clear" w:color="auto" w:fill="auto"/>
            <w:noWrap/>
            <w:vAlign w:val="bottom"/>
            <w:hideMark/>
          </w:tcPr>
          <w:p w14:paraId="5E40B24C" w14:textId="77777777" w:rsidR="001F66D5" w:rsidRDefault="001F66D5" w:rsidP="00201ED1">
            <w:pPr>
              <w:jc w:val="right"/>
              <w:rPr>
                <w:color w:val="000000"/>
                <w:sz w:val="18"/>
                <w:szCs w:val="18"/>
              </w:rPr>
            </w:pPr>
            <w:r>
              <w:rPr>
                <w:color w:val="000000"/>
                <w:sz w:val="18"/>
                <w:szCs w:val="18"/>
              </w:rPr>
              <w:t>713,5</w:t>
            </w:r>
          </w:p>
        </w:tc>
        <w:tc>
          <w:tcPr>
            <w:tcW w:w="1199" w:type="dxa"/>
            <w:tcBorders>
              <w:top w:val="nil"/>
              <w:left w:val="nil"/>
              <w:bottom w:val="single" w:sz="4" w:space="0" w:color="auto"/>
              <w:right w:val="nil"/>
            </w:tcBorders>
            <w:shd w:val="clear" w:color="auto" w:fill="auto"/>
            <w:noWrap/>
            <w:vAlign w:val="bottom"/>
          </w:tcPr>
          <w:p w14:paraId="7304F190" w14:textId="77777777" w:rsidR="001F66D5" w:rsidRDefault="001F66D5" w:rsidP="00201ED1">
            <w:pPr>
              <w:jc w:val="right"/>
              <w:rPr>
                <w:color w:val="000000"/>
                <w:sz w:val="18"/>
                <w:szCs w:val="18"/>
              </w:rPr>
            </w:pPr>
          </w:p>
        </w:tc>
        <w:tc>
          <w:tcPr>
            <w:tcW w:w="1209" w:type="dxa"/>
            <w:tcBorders>
              <w:top w:val="nil"/>
              <w:left w:val="nil"/>
              <w:bottom w:val="single" w:sz="4" w:space="0" w:color="auto"/>
              <w:right w:val="single" w:sz="4" w:space="0" w:color="auto"/>
            </w:tcBorders>
            <w:shd w:val="clear" w:color="auto" w:fill="auto"/>
            <w:noWrap/>
            <w:vAlign w:val="bottom"/>
            <w:hideMark/>
          </w:tcPr>
          <w:p w14:paraId="1FB406FE" w14:textId="77777777" w:rsidR="001F66D5" w:rsidRDefault="001F66D5" w:rsidP="00201ED1">
            <w:pPr>
              <w:jc w:val="right"/>
              <w:rPr>
                <w:sz w:val="18"/>
                <w:szCs w:val="18"/>
              </w:rPr>
            </w:pPr>
            <w:r>
              <w:rPr>
                <w:sz w:val="18"/>
                <w:szCs w:val="18"/>
              </w:rPr>
              <w:t>31,4%</w:t>
            </w:r>
          </w:p>
        </w:tc>
      </w:tr>
      <w:tr w:rsidR="001F66D5" w:rsidRPr="00793C4E" w14:paraId="181920EF" w14:textId="77777777" w:rsidTr="00201ED1">
        <w:trPr>
          <w:trHeight w:val="250"/>
        </w:trPr>
        <w:tc>
          <w:tcPr>
            <w:tcW w:w="42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21C417" w14:textId="77777777" w:rsidR="001F66D5" w:rsidRPr="00223C1B" w:rsidRDefault="001F66D5" w:rsidP="00201ED1">
            <w:pPr>
              <w:rPr>
                <w:sz w:val="18"/>
                <w:szCs w:val="18"/>
              </w:rPr>
            </w:pPr>
            <w:r w:rsidRPr="00223C1B">
              <w:rPr>
                <w:sz w:val="18"/>
                <w:szCs w:val="18"/>
              </w:rPr>
              <w:t>Трансфери</w:t>
            </w:r>
            <w:r w:rsidRPr="00223C1B">
              <w:rPr>
                <w:sz w:val="18"/>
                <w:szCs w:val="18"/>
                <w:lang w:val="en-US"/>
              </w:rPr>
              <w:t xml:space="preserve"> </w:t>
            </w:r>
            <w:r w:rsidRPr="00223C1B">
              <w:rPr>
                <w:sz w:val="18"/>
                <w:szCs w:val="18"/>
              </w:rPr>
              <w:t>-</w:t>
            </w:r>
            <w:r w:rsidRPr="00223C1B">
              <w:rPr>
                <w:sz w:val="18"/>
                <w:szCs w:val="18"/>
                <w:lang w:val="en-US"/>
              </w:rPr>
              <w:t xml:space="preserve"> </w:t>
            </w:r>
            <w:r w:rsidRPr="00223C1B">
              <w:rPr>
                <w:sz w:val="18"/>
                <w:szCs w:val="18"/>
              </w:rPr>
              <w:t>нето</w:t>
            </w:r>
          </w:p>
        </w:tc>
        <w:tc>
          <w:tcPr>
            <w:tcW w:w="1147" w:type="dxa"/>
            <w:tcBorders>
              <w:top w:val="single" w:sz="4" w:space="0" w:color="auto"/>
              <w:left w:val="nil"/>
              <w:bottom w:val="single" w:sz="4" w:space="0" w:color="auto"/>
              <w:right w:val="nil"/>
            </w:tcBorders>
            <w:shd w:val="clear" w:color="auto" w:fill="auto"/>
            <w:noWrap/>
            <w:vAlign w:val="bottom"/>
            <w:hideMark/>
          </w:tcPr>
          <w:p w14:paraId="5D6C854A" w14:textId="77777777" w:rsidR="001F66D5" w:rsidRPr="00413C7D" w:rsidRDefault="001F66D5" w:rsidP="00201ED1">
            <w:pPr>
              <w:jc w:val="right"/>
              <w:rPr>
                <w:sz w:val="18"/>
                <w:szCs w:val="18"/>
              </w:rPr>
            </w:pPr>
          </w:p>
        </w:tc>
        <w:tc>
          <w:tcPr>
            <w:tcW w:w="1227" w:type="dxa"/>
            <w:tcBorders>
              <w:top w:val="single" w:sz="4" w:space="0" w:color="auto"/>
              <w:left w:val="nil"/>
              <w:bottom w:val="single" w:sz="4" w:space="0" w:color="auto"/>
              <w:right w:val="nil"/>
            </w:tcBorders>
            <w:shd w:val="clear" w:color="auto" w:fill="auto"/>
            <w:noWrap/>
            <w:vAlign w:val="bottom"/>
            <w:hideMark/>
          </w:tcPr>
          <w:p w14:paraId="2742470B" w14:textId="77777777" w:rsidR="001F66D5" w:rsidRDefault="001F66D5" w:rsidP="00201ED1">
            <w:pPr>
              <w:jc w:val="right"/>
              <w:rPr>
                <w:sz w:val="18"/>
                <w:szCs w:val="18"/>
              </w:rPr>
            </w:pPr>
          </w:p>
        </w:tc>
        <w:tc>
          <w:tcPr>
            <w:tcW w:w="1222" w:type="dxa"/>
            <w:tcBorders>
              <w:top w:val="single" w:sz="4" w:space="0" w:color="auto"/>
              <w:left w:val="nil"/>
              <w:bottom w:val="single" w:sz="4" w:space="0" w:color="auto"/>
              <w:right w:val="nil"/>
            </w:tcBorders>
            <w:shd w:val="clear" w:color="auto" w:fill="auto"/>
            <w:noWrap/>
            <w:vAlign w:val="bottom"/>
            <w:hideMark/>
          </w:tcPr>
          <w:p w14:paraId="34AC3EB3" w14:textId="77777777" w:rsidR="001F66D5" w:rsidRDefault="001F66D5" w:rsidP="00201ED1">
            <w:pPr>
              <w:jc w:val="right"/>
              <w:rPr>
                <w:color w:val="000000"/>
                <w:sz w:val="18"/>
                <w:szCs w:val="18"/>
              </w:rPr>
            </w:pPr>
            <w:r>
              <w:rPr>
                <w:color w:val="000000"/>
                <w:sz w:val="18"/>
                <w:szCs w:val="18"/>
              </w:rPr>
              <w:t>-340,4</w:t>
            </w:r>
          </w:p>
        </w:tc>
        <w:tc>
          <w:tcPr>
            <w:tcW w:w="1199" w:type="dxa"/>
            <w:tcBorders>
              <w:top w:val="single" w:sz="4" w:space="0" w:color="auto"/>
              <w:left w:val="nil"/>
              <w:bottom w:val="single" w:sz="4" w:space="0" w:color="auto"/>
              <w:right w:val="nil"/>
            </w:tcBorders>
            <w:shd w:val="clear" w:color="auto" w:fill="auto"/>
            <w:noWrap/>
            <w:vAlign w:val="bottom"/>
            <w:hideMark/>
          </w:tcPr>
          <w:p w14:paraId="4EEE1A5D" w14:textId="77777777" w:rsidR="001F66D5" w:rsidRDefault="001F66D5" w:rsidP="00201ED1">
            <w:pPr>
              <w:jc w:val="right"/>
              <w:rPr>
                <w:color w:val="000000"/>
                <w:sz w:val="18"/>
                <w:szCs w:val="18"/>
              </w:rPr>
            </w:pPr>
            <w:r>
              <w:rPr>
                <w:color w:val="000000"/>
                <w:sz w:val="18"/>
                <w:szCs w:val="18"/>
              </w:rPr>
              <w:t>340,4</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1F764A9D" w14:textId="77777777" w:rsidR="001F66D5" w:rsidRDefault="001F66D5" w:rsidP="00201ED1">
            <w:pPr>
              <w:rPr>
                <w:b/>
                <w:bCs/>
                <w:sz w:val="18"/>
                <w:szCs w:val="18"/>
              </w:rPr>
            </w:pPr>
            <w:r>
              <w:rPr>
                <w:b/>
                <w:bCs/>
                <w:sz w:val="18"/>
                <w:szCs w:val="18"/>
              </w:rPr>
              <w:t> </w:t>
            </w:r>
          </w:p>
        </w:tc>
      </w:tr>
      <w:tr w:rsidR="001F66D5" w:rsidRPr="00793C4E" w14:paraId="1CE8CB9E" w14:textId="77777777" w:rsidTr="00201ED1">
        <w:trPr>
          <w:trHeight w:val="265"/>
        </w:trPr>
        <w:tc>
          <w:tcPr>
            <w:tcW w:w="4250" w:type="dxa"/>
            <w:tcBorders>
              <w:top w:val="single" w:sz="4" w:space="0" w:color="auto"/>
              <w:left w:val="single" w:sz="8" w:space="0" w:color="auto"/>
              <w:bottom w:val="single" w:sz="8" w:space="0" w:color="auto"/>
              <w:right w:val="single" w:sz="4" w:space="0" w:color="auto"/>
            </w:tcBorders>
            <w:shd w:val="clear" w:color="000000" w:fill="FFFFFF" w:themeFill="background1"/>
            <w:noWrap/>
            <w:vAlign w:val="bottom"/>
            <w:hideMark/>
          </w:tcPr>
          <w:p w14:paraId="171137A2" w14:textId="77777777" w:rsidR="001F66D5" w:rsidRPr="00223C1B" w:rsidRDefault="001F66D5" w:rsidP="00201ED1">
            <w:pPr>
              <w:rPr>
                <w:b/>
                <w:bCs/>
                <w:sz w:val="18"/>
                <w:szCs w:val="18"/>
              </w:rPr>
            </w:pPr>
            <w:r w:rsidRPr="00223C1B">
              <w:rPr>
                <w:b/>
                <w:bCs/>
                <w:sz w:val="18"/>
                <w:szCs w:val="18"/>
              </w:rPr>
              <w:t>БЮДЖЕТНО САЛДО</w:t>
            </w:r>
          </w:p>
        </w:tc>
        <w:tc>
          <w:tcPr>
            <w:tcW w:w="1147" w:type="dxa"/>
            <w:tcBorders>
              <w:top w:val="single" w:sz="4" w:space="0" w:color="auto"/>
              <w:left w:val="single" w:sz="4" w:space="0" w:color="auto"/>
              <w:bottom w:val="single" w:sz="8" w:space="0" w:color="auto"/>
              <w:right w:val="nil"/>
            </w:tcBorders>
            <w:shd w:val="clear" w:color="auto" w:fill="auto"/>
            <w:noWrap/>
            <w:vAlign w:val="bottom"/>
            <w:hideMark/>
          </w:tcPr>
          <w:p w14:paraId="0A900E48" w14:textId="77777777" w:rsidR="001F66D5" w:rsidRPr="00413C7D" w:rsidRDefault="001F66D5" w:rsidP="00201ED1">
            <w:pPr>
              <w:jc w:val="right"/>
              <w:rPr>
                <w:b/>
                <w:bCs/>
                <w:sz w:val="18"/>
                <w:szCs w:val="18"/>
              </w:rPr>
            </w:pPr>
            <w:r w:rsidRPr="00413C7D">
              <w:rPr>
                <w:b/>
                <w:bCs/>
                <w:sz w:val="18"/>
                <w:szCs w:val="18"/>
              </w:rPr>
              <w:t>-6 219,3</w:t>
            </w:r>
          </w:p>
        </w:tc>
        <w:tc>
          <w:tcPr>
            <w:tcW w:w="1227" w:type="dxa"/>
            <w:tcBorders>
              <w:top w:val="single" w:sz="4" w:space="0" w:color="auto"/>
              <w:left w:val="nil"/>
              <w:bottom w:val="single" w:sz="4" w:space="0" w:color="auto"/>
              <w:right w:val="nil"/>
            </w:tcBorders>
            <w:shd w:val="clear" w:color="auto" w:fill="auto"/>
            <w:noWrap/>
            <w:vAlign w:val="bottom"/>
            <w:hideMark/>
          </w:tcPr>
          <w:p w14:paraId="53809E1F" w14:textId="77777777" w:rsidR="001F66D5" w:rsidRDefault="001F66D5" w:rsidP="00201ED1">
            <w:pPr>
              <w:jc w:val="right"/>
              <w:rPr>
                <w:b/>
                <w:bCs/>
                <w:sz w:val="18"/>
                <w:szCs w:val="18"/>
              </w:rPr>
            </w:pPr>
            <w:r>
              <w:rPr>
                <w:b/>
                <w:bCs/>
                <w:sz w:val="18"/>
                <w:szCs w:val="18"/>
              </w:rPr>
              <w:t>-636,0</w:t>
            </w:r>
          </w:p>
        </w:tc>
        <w:tc>
          <w:tcPr>
            <w:tcW w:w="1222" w:type="dxa"/>
            <w:tcBorders>
              <w:top w:val="single" w:sz="4" w:space="0" w:color="auto"/>
              <w:left w:val="nil"/>
              <w:bottom w:val="single" w:sz="4" w:space="0" w:color="auto"/>
              <w:right w:val="nil"/>
            </w:tcBorders>
            <w:shd w:val="clear" w:color="auto" w:fill="auto"/>
            <w:noWrap/>
            <w:vAlign w:val="bottom"/>
            <w:hideMark/>
          </w:tcPr>
          <w:p w14:paraId="083EED6C" w14:textId="77777777" w:rsidR="001F66D5" w:rsidRDefault="001F66D5" w:rsidP="00201ED1">
            <w:pPr>
              <w:jc w:val="right"/>
              <w:rPr>
                <w:b/>
                <w:bCs/>
                <w:color w:val="000000"/>
                <w:sz w:val="18"/>
                <w:szCs w:val="18"/>
              </w:rPr>
            </w:pPr>
            <w:r>
              <w:rPr>
                <w:b/>
                <w:bCs/>
                <w:color w:val="000000"/>
                <w:sz w:val="18"/>
                <w:szCs w:val="18"/>
              </w:rPr>
              <w:t>-1 370,7</w:t>
            </w:r>
          </w:p>
        </w:tc>
        <w:tc>
          <w:tcPr>
            <w:tcW w:w="1199" w:type="dxa"/>
            <w:tcBorders>
              <w:top w:val="single" w:sz="4" w:space="0" w:color="auto"/>
              <w:left w:val="nil"/>
              <w:bottom w:val="single" w:sz="4" w:space="0" w:color="auto"/>
              <w:right w:val="nil"/>
            </w:tcBorders>
            <w:shd w:val="clear" w:color="auto" w:fill="auto"/>
            <w:noWrap/>
            <w:vAlign w:val="bottom"/>
            <w:hideMark/>
          </w:tcPr>
          <w:p w14:paraId="7126F9C2" w14:textId="77777777" w:rsidR="001F66D5" w:rsidRDefault="001F66D5" w:rsidP="00201ED1">
            <w:pPr>
              <w:jc w:val="right"/>
              <w:rPr>
                <w:b/>
                <w:bCs/>
                <w:color w:val="000000"/>
                <w:sz w:val="18"/>
                <w:szCs w:val="18"/>
              </w:rPr>
            </w:pPr>
            <w:r>
              <w:rPr>
                <w:b/>
                <w:bCs/>
                <w:color w:val="000000"/>
                <w:sz w:val="18"/>
                <w:szCs w:val="18"/>
              </w:rPr>
              <w:t>734,7</w:t>
            </w:r>
          </w:p>
        </w:tc>
        <w:tc>
          <w:tcPr>
            <w:tcW w:w="1209" w:type="dxa"/>
            <w:tcBorders>
              <w:top w:val="single" w:sz="4" w:space="0" w:color="auto"/>
              <w:left w:val="nil"/>
              <w:bottom w:val="single" w:sz="4" w:space="0" w:color="auto"/>
              <w:right w:val="single" w:sz="4" w:space="0" w:color="auto"/>
            </w:tcBorders>
            <w:shd w:val="clear" w:color="auto" w:fill="auto"/>
            <w:noWrap/>
            <w:vAlign w:val="bottom"/>
          </w:tcPr>
          <w:p w14:paraId="7F488A26" w14:textId="77777777" w:rsidR="001F66D5" w:rsidRDefault="001F66D5" w:rsidP="00201ED1">
            <w:pPr>
              <w:rPr>
                <w:b/>
                <w:bCs/>
                <w:sz w:val="18"/>
                <w:szCs w:val="18"/>
              </w:rPr>
            </w:pPr>
            <w:r>
              <w:rPr>
                <w:b/>
                <w:bCs/>
                <w:sz w:val="18"/>
                <w:szCs w:val="18"/>
              </w:rPr>
              <w:t> </w:t>
            </w:r>
          </w:p>
        </w:tc>
      </w:tr>
    </w:tbl>
    <w:p w14:paraId="29D830F6" w14:textId="77777777" w:rsidR="001F66D5" w:rsidRPr="00793C4E" w:rsidRDefault="001F66D5" w:rsidP="001F66D5">
      <w:pPr>
        <w:ind w:left="360"/>
        <w:jc w:val="both"/>
        <w:rPr>
          <w:color w:val="0070C0"/>
          <w:sz w:val="22"/>
        </w:rPr>
      </w:pPr>
    </w:p>
    <w:p w14:paraId="65DB088F" w14:textId="77777777" w:rsidR="001F66D5" w:rsidRPr="00793C4E" w:rsidRDefault="001F66D5" w:rsidP="001F66D5">
      <w:pPr>
        <w:tabs>
          <w:tab w:val="num" w:pos="2880"/>
        </w:tabs>
        <w:jc w:val="both"/>
        <w:rPr>
          <w:rFonts w:eastAsia="Calibri"/>
          <w:color w:val="0070C0"/>
        </w:rPr>
      </w:pPr>
    </w:p>
    <w:p w14:paraId="1EE442D3" w14:textId="63BB64B4" w:rsidR="001F66D5" w:rsidRPr="00793C4E" w:rsidRDefault="001F66D5" w:rsidP="001F66D5">
      <w:pPr>
        <w:numPr>
          <w:ilvl w:val="1"/>
          <w:numId w:val="10"/>
        </w:numPr>
        <w:tabs>
          <w:tab w:val="num" w:pos="426"/>
        </w:tabs>
        <w:ind w:left="0" w:firstLine="0"/>
        <w:jc w:val="both"/>
        <w:rPr>
          <w:rFonts w:eastAsia="Calibri"/>
          <w:color w:val="0070C0"/>
        </w:rPr>
      </w:pPr>
      <w:r w:rsidRPr="00D52311">
        <w:rPr>
          <w:b/>
        </w:rPr>
        <w:t>Приходите, помощите и даренията по консолидираната фискална програма</w:t>
      </w:r>
      <w:r w:rsidRPr="00D52311">
        <w:t xml:space="preserve"> (КФП) за</w:t>
      </w:r>
      <w:r w:rsidRPr="00D52311">
        <w:rPr>
          <w:b/>
        </w:rPr>
        <w:t xml:space="preserve"> </w:t>
      </w:r>
      <w:r w:rsidRPr="00D52311">
        <w:t xml:space="preserve">първото полугодие на 2024 г. </w:t>
      </w:r>
      <w:r w:rsidRPr="00D52311">
        <w:rPr>
          <w:bCs/>
        </w:rPr>
        <w:t xml:space="preserve">са в размер на </w:t>
      </w:r>
      <w:r w:rsidRPr="00D52311">
        <w:rPr>
          <w:b/>
          <w:bCs/>
          <w:lang w:val="ru-RU"/>
        </w:rPr>
        <w:t>34 493,6 </w:t>
      </w:r>
      <w:r w:rsidRPr="00D52311">
        <w:rPr>
          <w:b/>
          <w:bCs/>
        </w:rPr>
        <w:t xml:space="preserve">млн. лв., което представлява 45,8 % от </w:t>
      </w:r>
      <w:r w:rsidRPr="00121E00">
        <w:rPr>
          <w:b/>
          <w:bCs/>
        </w:rPr>
        <w:t xml:space="preserve">разчетите към ЗДБРБ за 2024 година. </w:t>
      </w:r>
      <w:r w:rsidRPr="00121E00">
        <w:rPr>
          <w:rFonts w:eastAsia="Calibri"/>
        </w:rPr>
        <w:t>Постъпленията нарастват с 3 088,6 млн. лв. (9,8 %) спрямо отчетените към юни 2023 г.</w:t>
      </w:r>
      <w:r w:rsidRPr="00121E00">
        <w:t xml:space="preserve"> </w:t>
      </w:r>
      <w:r w:rsidRPr="00703DA4">
        <w:rPr>
          <w:rFonts w:eastAsia="Calibri"/>
        </w:rPr>
        <w:t>Сравнени със същия период на 2023 г. данъчните приходи нарастват номинално с 2 623,5 млн. лв. (10,7 %), неданъчните приходи намаляват с 331,0 млн. лв. (5,9 %), а постъпленията в частта на помощите и даренията (</w:t>
      </w:r>
      <w:r w:rsidRPr="007F0C06">
        <w:rPr>
          <w:rFonts w:eastAsia="Calibri"/>
        </w:rPr>
        <w:t>основно грантове по програмите и фондовете на ЕС) са повече със 796,1 млн. лева</w:t>
      </w:r>
      <w:r w:rsidRPr="00793C4E">
        <w:rPr>
          <w:rFonts w:eastAsia="Calibri"/>
          <w:color w:val="0070C0"/>
        </w:rPr>
        <w:t>.</w:t>
      </w:r>
    </w:p>
    <w:p w14:paraId="35E44935" w14:textId="77777777" w:rsidR="001F66D5" w:rsidRPr="0084247F" w:rsidRDefault="001F66D5" w:rsidP="001F66D5">
      <w:pPr>
        <w:spacing w:before="120"/>
        <w:jc w:val="both"/>
      </w:pPr>
      <w:r w:rsidRPr="0084247F">
        <w:t>Общата сума</w:t>
      </w:r>
      <w:r w:rsidRPr="0084247F">
        <w:rPr>
          <w:b/>
        </w:rPr>
        <w:t xml:space="preserve"> </w:t>
      </w:r>
      <w:r w:rsidRPr="0084247F">
        <w:t>на</w:t>
      </w:r>
      <w:r w:rsidRPr="0084247F">
        <w:rPr>
          <w:b/>
        </w:rPr>
        <w:t xml:space="preserve"> </w:t>
      </w:r>
      <w:r w:rsidRPr="0084247F">
        <w:rPr>
          <w:b/>
          <w:i/>
        </w:rPr>
        <w:t>данъчните постъпления</w:t>
      </w:r>
      <w:r w:rsidRPr="0084247F">
        <w:t xml:space="preserve"> (вкл. приходите от осигурителни вноски) е в размер на </w:t>
      </w:r>
      <w:r w:rsidRPr="0084247F">
        <w:rPr>
          <w:b/>
          <w:bCs/>
          <w:i/>
        </w:rPr>
        <w:t>27 204,1</w:t>
      </w:r>
      <w:r w:rsidRPr="0084247F">
        <w:rPr>
          <w:b/>
          <w:bCs/>
          <w:i/>
          <w:lang w:val="en-US"/>
        </w:rPr>
        <w:t> </w:t>
      </w:r>
      <w:r w:rsidRPr="0084247F">
        <w:rPr>
          <w:b/>
          <w:i/>
        </w:rPr>
        <w:t>млн. лв.</w:t>
      </w:r>
      <w:r w:rsidRPr="00153C68">
        <w:rPr>
          <w:b/>
          <w:i/>
          <w:lang w:val="ru-RU"/>
        </w:rPr>
        <w:t>,</w:t>
      </w:r>
      <w:r w:rsidRPr="0084247F">
        <w:rPr>
          <w:b/>
          <w:i/>
        </w:rPr>
        <w:t xml:space="preserve"> </w:t>
      </w:r>
      <w:r w:rsidRPr="0084247F">
        <w:t xml:space="preserve">което представлява 46,9 % от разчетените за годината и формират 78,9 % от общите постъпления по КФП за периода. </w:t>
      </w:r>
      <w:r w:rsidR="00F35CC0">
        <w:t>За сравнение изпълнението на разчетите за годината при данъчните приходи към полугодието на 2023 г. бе 46,2 на сто.</w:t>
      </w:r>
    </w:p>
    <w:p w14:paraId="11D944B5" w14:textId="77777777" w:rsidR="001F66D5" w:rsidRPr="00793C4E" w:rsidRDefault="001F66D5" w:rsidP="00CB73F9">
      <w:pPr>
        <w:spacing w:before="120"/>
        <w:jc w:val="both"/>
        <w:rPr>
          <w:color w:val="0070C0"/>
        </w:rPr>
      </w:pPr>
      <w:r w:rsidRPr="007723B6">
        <w:t xml:space="preserve">Приходите в частта </w:t>
      </w:r>
      <w:r w:rsidRPr="00F4382E">
        <w:t xml:space="preserve">на </w:t>
      </w:r>
      <w:r w:rsidRPr="00F4382E">
        <w:rPr>
          <w:i/>
        </w:rPr>
        <w:t xml:space="preserve">преките данъци </w:t>
      </w:r>
      <w:r w:rsidRPr="00F4382E">
        <w:t xml:space="preserve">възлизат на 5 418,9 млн. лв., което представлява 42,1 % от разчета за 2024 г. и ръст от </w:t>
      </w:r>
      <w:r w:rsidRPr="00F4382E">
        <w:rPr>
          <w:rFonts w:eastAsia="Calibri"/>
        </w:rPr>
        <w:t xml:space="preserve">472,8 млн. лв. </w:t>
      </w:r>
      <w:r w:rsidRPr="00F4382E">
        <w:rPr>
          <w:rFonts w:eastAsia="Calibri"/>
          <w:lang w:val="ru-RU"/>
        </w:rPr>
        <w:t>(</w:t>
      </w:r>
      <w:r w:rsidRPr="00F4382E">
        <w:rPr>
          <w:rFonts w:eastAsia="Calibri"/>
        </w:rPr>
        <w:t>9,6 %</w:t>
      </w:r>
      <w:r w:rsidRPr="00F4382E">
        <w:rPr>
          <w:rFonts w:eastAsia="Calibri"/>
          <w:lang w:val="ru-RU"/>
        </w:rPr>
        <w:t xml:space="preserve">) спрямо </w:t>
      </w:r>
      <w:r w:rsidRPr="00F4382E">
        <w:t xml:space="preserve">отчетените към юни 2023 г. Приходите от </w:t>
      </w:r>
      <w:r w:rsidRPr="00F4382E">
        <w:rPr>
          <w:i/>
        </w:rPr>
        <w:t>косвени данъци</w:t>
      </w:r>
      <w:r w:rsidRPr="00F4382E">
        <w:t xml:space="preserve"> са в размер на 11 810,8 </w:t>
      </w:r>
      <w:r w:rsidRPr="00F4382E">
        <w:rPr>
          <w:rFonts w:eastAsia="Calibri"/>
          <w:bCs/>
          <w:iCs/>
        </w:rPr>
        <w:t>млн. лв.</w:t>
      </w:r>
      <w:r w:rsidRPr="00F4382E">
        <w:rPr>
          <w:rFonts w:eastAsia="Calibri"/>
        </w:rPr>
        <w:t xml:space="preserve">, което представлява 46,3 % от предвидените в ЗДБРБ за 2024 г. </w:t>
      </w:r>
      <w:r w:rsidRPr="00F4382E">
        <w:t>и</w:t>
      </w:r>
      <w:r w:rsidRPr="00F4382E">
        <w:rPr>
          <w:bCs/>
        </w:rPr>
        <w:t xml:space="preserve"> ръст от</w:t>
      </w:r>
      <w:r w:rsidRPr="00F4382E">
        <w:t xml:space="preserve"> 1 356,4 млн. лв. </w:t>
      </w:r>
      <w:r w:rsidRPr="00153C68">
        <w:rPr>
          <w:lang w:val="ru-RU"/>
        </w:rPr>
        <w:t>(</w:t>
      </w:r>
      <w:r w:rsidRPr="00F4382E">
        <w:t>13,0 %</w:t>
      </w:r>
      <w:r w:rsidRPr="00153C68">
        <w:rPr>
          <w:lang w:val="ru-RU"/>
        </w:rPr>
        <w:t>)</w:t>
      </w:r>
      <w:r w:rsidRPr="00F4382E">
        <w:t xml:space="preserve"> спрямо отчетените към юни 2023 г. Постъпленията от </w:t>
      </w:r>
      <w:r w:rsidRPr="00F4382E">
        <w:rPr>
          <w:i/>
        </w:rPr>
        <w:t>други данъци</w:t>
      </w:r>
      <w:r w:rsidRPr="00F4382E">
        <w:t xml:space="preserve"> (включват други данъци по ЗКПО, имуществени и др. данъци) са в размер на </w:t>
      </w:r>
      <w:r w:rsidRPr="00153C68">
        <w:rPr>
          <w:lang w:val="ru-RU"/>
        </w:rPr>
        <w:t>1 276</w:t>
      </w:r>
      <w:r w:rsidRPr="00F4382E">
        <w:t>,</w:t>
      </w:r>
      <w:r w:rsidRPr="00153C68">
        <w:rPr>
          <w:lang w:val="ru-RU"/>
        </w:rPr>
        <w:t>5</w:t>
      </w:r>
      <w:r w:rsidRPr="00F4382E">
        <w:rPr>
          <w:lang w:val="ru-RU"/>
        </w:rPr>
        <w:t xml:space="preserve"> </w:t>
      </w:r>
      <w:r w:rsidRPr="00F4382E">
        <w:t>млн. лв. (в т. ч. 229</w:t>
      </w:r>
      <w:r w:rsidRPr="007723B6">
        <w:t>,3 млн. лв. по бюджета на Фонд "Сигурност на електроенергийната система" при 676,6 млн. лв. към юни 2023 г</w:t>
      </w:r>
      <w:r w:rsidRPr="00386889">
        <w:t>.), което представлява 68,9 % от годишния разчет и спад от 444,0 млн. лв. спрямо отчетените към юни 2023 г</w:t>
      </w:r>
      <w:r w:rsidRPr="0000083C">
        <w:t>. Отчита се базов ефект в частта на другите данъци основно</w:t>
      </w:r>
      <w:r w:rsidRPr="00153C68">
        <w:rPr>
          <w:lang w:val="ru-RU"/>
        </w:rPr>
        <w:t xml:space="preserve"> </w:t>
      </w:r>
      <w:r w:rsidRPr="0000083C">
        <w:t>в две направления. Първо, целевите вноски от производителите на електрическа енергия</w:t>
      </w:r>
      <w:r w:rsidRPr="00153C68">
        <w:rPr>
          <w:lang w:val="ru-RU"/>
        </w:rPr>
        <w:t xml:space="preserve"> </w:t>
      </w:r>
      <w:r w:rsidRPr="0000083C">
        <w:t xml:space="preserve">по бюджета на ФСЕС намаляват във връзка с нормализирането на цените на електрическата енергия на Българската независима енергийна борса. Второ, </w:t>
      </w:r>
      <w:r w:rsidR="00201ED1">
        <w:t xml:space="preserve">няма </w:t>
      </w:r>
      <w:r w:rsidRPr="0000083C">
        <w:t>постъпления от временната солидарна вноска</w:t>
      </w:r>
      <w:r w:rsidR="00201ED1">
        <w:t>,</w:t>
      </w:r>
      <w:r w:rsidRPr="0000083C">
        <w:t xml:space="preserve"> която е с изтекъл срок на действие и не се прилага през 2024 г</w:t>
      </w:r>
      <w:r w:rsidR="00201ED1">
        <w:t>.</w:t>
      </w:r>
      <w:r w:rsidRPr="00153C68">
        <w:rPr>
          <w:lang w:val="ru-RU"/>
        </w:rPr>
        <w:t xml:space="preserve"> </w:t>
      </w:r>
      <w:r w:rsidRPr="0000083C">
        <w:t xml:space="preserve">за дружествата и местата на стопанска дейност от Съюза, извършващи дейност в отраслите на суровия нефт, природния газ, въглищата и нефтопреработването, за генерираните свръхпечалби съгласно член 14 от Регламент (ЕС) 2022/1854 на Съвета от 6 октомври 2022 г. относно спешна намеса за справяне с високите цени на енергията. Приходите от </w:t>
      </w:r>
      <w:r w:rsidRPr="0000083C">
        <w:rPr>
          <w:i/>
        </w:rPr>
        <w:t>социални и здравноосигурителни вноски</w:t>
      </w:r>
      <w:r w:rsidRPr="0000083C">
        <w:t xml:space="preserve"> са в размер на 8 697,9</w:t>
      </w:r>
      <w:r w:rsidRPr="00386889">
        <w:t xml:space="preserve"> млн. лв. или 49,1 % от разчета за 2024 година и </w:t>
      </w:r>
      <w:r w:rsidRPr="00386889">
        <w:rPr>
          <w:rFonts w:eastAsia="Calibri"/>
        </w:rPr>
        <w:t xml:space="preserve">ръст от 1 </w:t>
      </w:r>
      <w:r w:rsidRPr="00153C68">
        <w:rPr>
          <w:rFonts w:eastAsia="Calibri"/>
          <w:lang w:val="ru-RU"/>
        </w:rPr>
        <w:t>238</w:t>
      </w:r>
      <w:r w:rsidRPr="00386889">
        <w:rPr>
          <w:rFonts w:eastAsia="Calibri"/>
        </w:rPr>
        <w:t xml:space="preserve">,3 млн. лв. </w:t>
      </w:r>
      <w:r w:rsidRPr="00386889">
        <w:rPr>
          <w:rFonts w:eastAsia="Calibri"/>
          <w:lang w:val="ru-RU"/>
        </w:rPr>
        <w:t>(</w:t>
      </w:r>
      <w:r w:rsidRPr="00386889">
        <w:rPr>
          <w:rFonts w:eastAsia="Calibri"/>
        </w:rPr>
        <w:t>16,6 %</w:t>
      </w:r>
      <w:r w:rsidRPr="00386889">
        <w:rPr>
          <w:rFonts w:eastAsia="Calibri"/>
          <w:lang w:val="ru-RU"/>
        </w:rPr>
        <w:t>)</w:t>
      </w:r>
      <w:r w:rsidRPr="00386889">
        <w:rPr>
          <w:rFonts w:eastAsia="Calibri"/>
        </w:rPr>
        <w:t xml:space="preserve"> спрямо отчетените за същия период на</w:t>
      </w:r>
      <w:r w:rsidRPr="00386889">
        <w:t xml:space="preserve"> 2023 година</w:t>
      </w:r>
      <w:r w:rsidRPr="00793C4E">
        <w:rPr>
          <w:color w:val="0070C0"/>
        </w:rPr>
        <w:t xml:space="preserve">. </w:t>
      </w:r>
    </w:p>
    <w:p w14:paraId="572D8E0C" w14:textId="77777777" w:rsidR="001F66D5" w:rsidRPr="00793C4E" w:rsidRDefault="00C73121" w:rsidP="001F66D5">
      <w:pPr>
        <w:spacing w:before="120"/>
        <w:jc w:val="both"/>
        <w:rPr>
          <w:color w:val="0070C0"/>
        </w:rPr>
      </w:pPr>
      <w:r w:rsidRPr="00386889">
        <w:rPr>
          <w:b/>
          <w:bCs/>
          <w:i/>
          <w:iCs/>
        </w:rPr>
        <w:t>Неданъчните приходи</w:t>
      </w:r>
      <w:r w:rsidRPr="00386889">
        <w:rPr>
          <w:b/>
          <w:bCs/>
          <w:iCs/>
        </w:rPr>
        <w:t xml:space="preserve"> </w:t>
      </w:r>
      <w:r w:rsidRPr="00386889">
        <w:t xml:space="preserve">са в размер на </w:t>
      </w:r>
      <w:r w:rsidRPr="00386889">
        <w:rPr>
          <w:b/>
          <w:i/>
        </w:rPr>
        <w:t xml:space="preserve">5 290,0 </w:t>
      </w:r>
      <w:r w:rsidRPr="00386889">
        <w:rPr>
          <w:b/>
          <w:bCs/>
          <w:i/>
        </w:rPr>
        <w:t xml:space="preserve">млн. лв., </w:t>
      </w:r>
      <w:r w:rsidRPr="00386889">
        <w:t>което представлява</w:t>
      </w:r>
      <w:r w:rsidRPr="00386889">
        <w:rPr>
          <w:i/>
        </w:rPr>
        <w:t xml:space="preserve"> </w:t>
      </w:r>
      <w:r w:rsidRPr="00386889">
        <w:t>51,6 %</w:t>
      </w:r>
      <w:r w:rsidRPr="00386889">
        <w:rPr>
          <w:b/>
          <w:i/>
        </w:rPr>
        <w:t xml:space="preserve"> </w:t>
      </w:r>
      <w:r w:rsidRPr="00386889">
        <w:t>от</w:t>
      </w:r>
      <w:r w:rsidRPr="00386889">
        <w:rPr>
          <w:b/>
          <w:i/>
        </w:rPr>
        <w:t xml:space="preserve"> </w:t>
      </w:r>
      <w:r w:rsidRPr="00386889">
        <w:t>годишните разчети.</w:t>
      </w:r>
      <w:r w:rsidRPr="00386889">
        <w:rPr>
          <w:rFonts w:eastAsia="Calibri"/>
        </w:rPr>
        <w:t xml:space="preserve"> </w:t>
      </w:r>
      <w:r w:rsidRPr="00386889">
        <w:rPr>
          <w:rFonts w:eastAsia="Calibri"/>
          <w:bCs/>
        </w:rPr>
        <w:t>Неданъчните приходи 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w:t>
      </w:r>
      <w:r w:rsidRPr="00386889">
        <w:rPr>
          <w:rFonts w:eastAsia="Calibri"/>
        </w:rPr>
        <w:t>.</w:t>
      </w:r>
      <w:r>
        <w:rPr>
          <w:rFonts w:eastAsia="Calibri"/>
        </w:rPr>
        <w:t xml:space="preserve"> </w:t>
      </w:r>
      <w:r w:rsidRPr="00386889">
        <w:rPr>
          <w:rFonts w:eastAsia="Calibri"/>
        </w:rPr>
        <w:t xml:space="preserve">В сравнение с предходната година тези приходи намаляват с 331,0 млн. лв. (5,9 %) </w:t>
      </w:r>
      <w:r w:rsidRPr="00386889">
        <w:t>основно поради спад при постъпленията от продажба на квоти за емисии на парникови газове по бюджета на ФСЕС и приходи от дивидент за държавата от държавни предприятия.</w:t>
      </w:r>
      <w:r w:rsidRPr="00386889">
        <w:rPr>
          <w:rFonts w:eastAsia="Calibri"/>
        </w:rPr>
        <w:t xml:space="preserve"> </w:t>
      </w:r>
      <w:r>
        <w:rPr>
          <w:rFonts w:eastAsia="Calibri"/>
        </w:rPr>
        <w:t>За разлика от предходната година, когато към полугодието в държавния бюджет бяха постъпили 727,8 млн. лв. от дивидент за държавата от държавни предприятия, през първите шест месеца на 2024 г. приходите от дивидент са едва 78,5 млн. л</w:t>
      </w:r>
      <w:r w:rsidR="003768F5">
        <w:rPr>
          <w:rFonts w:eastAsia="Calibri"/>
        </w:rPr>
        <w:t>е</w:t>
      </w:r>
      <w:r>
        <w:rPr>
          <w:rFonts w:eastAsia="Calibri"/>
        </w:rPr>
        <w:t>в</w:t>
      </w:r>
      <w:r w:rsidR="003768F5">
        <w:rPr>
          <w:rFonts w:eastAsia="Calibri"/>
        </w:rPr>
        <w:t>а</w:t>
      </w:r>
      <w:r>
        <w:rPr>
          <w:rFonts w:eastAsia="Calibri"/>
        </w:rPr>
        <w:t>.</w:t>
      </w:r>
      <w:r w:rsidR="001F66D5" w:rsidRPr="00793C4E">
        <w:rPr>
          <w:color w:val="0070C0"/>
        </w:rPr>
        <w:t xml:space="preserve"> </w:t>
      </w:r>
    </w:p>
    <w:p w14:paraId="09AF4857" w14:textId="77777777" w:rsidR="001F66D5" w:rsidRDefault="001F66D5" w:rsidP="001F66D5">
      <w:pPr>
        <w:spacing w:before="120" w:after="120"/>
        <w:jc w:val="both"/>
      </w:pPr>
      <w:r w:rsidRPr="00C50D12">
        <w:t xml:space="preserve">Постъпленията от </w:t>
      </w:r>
      <w:r w:rsidRPr="00C50D12">
        <w:rPr>
          <w:b/>
          <w:i/>
        </w:rPr>
        <w:t>помощи</w:t>
      </w:r>
      <w:r w:rsidRPr="00C50D12">
        <w:t xml:space="preserve"> </w:t>
      </w:r>
      <w:r w:rsidRPr="00C50D12">
        <w:rPr>
          <w:b/>
          <w:i/>
        </w:rPr>
        <w:t>и дарения</w:t>
      </w:r>
      <w:r w:rsidRPr="00C50D12">
        <w:t xml:space="preserve"> към юни 2024 г. са в размер на </w:t>
      </w:r>
      <w:r w:rsidRPr="00C50D12">
        <w:rPr>
          <w:b/>
          <w:i/>
        </w:rPr>
        <w:t xml:space="preserve">1 999,5 млн. лв. </w:t>
      </w:r>
      <w:r w:rsidRPr="00C50D12">
        <w:t xml:space="preserve"> </w:t>
      </w:r>
    </w:p>
    <w:p w14:paraId="2476ED40" w14:textId="77777777" w:rsidR="001F66D5" w:rsidRDefault="001F66D5" w:rsidP="001F66D5">
      <w:pPr>
        <w:spacing w:before="120" w:after="120"/>
        <w:jc w:val="both"/>
        <w:rPr>
          <w:color w:val="0070C0"/>
        </w:rPr>
      </w:pPr>
    </w:p>
    <w:p w14:paraId="01787A35" w14:textId="77777777" w:rsidR="00326593" w:rsidRPr="00F21EC6" w:rsidRDefault="00326593" w:rsidP="001F66D5">
      <w:pPr>
        <w:spacing w:before="120" w:after="120"/>
        <w:jc w:val="both"/>
        <w:rPr>
          <w:color w:val="0070C0"/>
        </w:rPr>
      </w:pPr>
      <w:r>
        <w:rPr>
          <w:noProof/>
          <w:color w:val="0070C0"/>
          <w:lang w:eastAsia="bg-BG"/>
        </w:rPr>
        <w:drawing>
          <wp:inline distT="0" distB="0" distL="0" distR="0" wp14:anchorId="5FF58420" wp14:editId="68DA9F75">
            <wp:extent cx="5846445" cy="23653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2365375"/>
                    </a:xfrm>
                    <a:prstGeom prst="rect">
                      <a:avLst/>
                    </a:prstGeom>
                    <a:noFill/>
                  </pic:spPr>
                </pic:pic>
              </a:graphicData>
            </a:graphic>
          </wp:inline>
        </w:drawing>
      </w:r>
    </w:p>
    <w:p w14:paraId="05F50173" w14:textId="77777777" w:rsidR="001F66D5" w:rsidRPr="00E73C68" w:rsidRDefault="001F66D5" w:rsidP="001F66D5">
      <w:pPr>
        <w:spacing w:before="120" w:after="120"/>
        <w:jc w:val="both"/>
        <w:rPr>
          <w:sz w:val="14"/>
        </w:rPr>
      </w:pPr>
    </w:p>
    <w:p w14:paraId="2345431D" w14:textId="77777777" w:rsidR="001F66D5" w:rsidRPr="00CA6EDD" w:rsidRDefault="001F66D5" w:rsidP="001F66D5">
      <w:pPr>
        <w:pStyle w:val="ListParagraph"/>
        <w:numPr>
          <w:ilvl w:val="0"/>
          <w:numId w:val="24"/>
        </w:numPr>
        <w:tabs>
          <w:tab w:val="left" w:pos="426"/>
        </w:tabs>
        <w:spacing w:line="240" w:lineRule="auto"/>
        <w:ind w:left="0" w:firstLine="0"/>
        <w:rPr>
          <w:rFonts w:ascii="Times New Roman" w:eastAsia="Calibri" w:hAnsi="Times New Roman"/>
        </w:rPr>
      </w:pPr>
      <w:r w:rsidRPr="00E73C68">
        <w:rPr>
          <w:rFonts w:ascii="Times New Roman" w:eastAsia="Calibri" w:hAnsi="Times New Roman"/>
          <w:b/>
        </w:rPr>
        <w:t xml:space="preserve">Разходите </w:t>
      </w:r>
      <w:r w:rsidRPr="00E73C68">
        <w:rPr>
          <w:rFonts w:ascii="Times New Roman" w:eastAsia="Calibri" w:hAnsi="Times New Roman"/>
        </w:rPr>
        <w:t xml:space="preserve">по КФП (вкл. вноската на Република България в бюджета на ЕС) </w:t>
      </w:r>
      <w:r w:rsidRPr="00E73C68">
        <w:rPr>
          <w:rFonts w:ascii="Times New Roman" w:hAnsi="Times New Roman"/>
        </w:rPr>
        <w:t>за</w:t>
      </w:r>
      <w:r w:rsidRPr="00E73C68">
        <w:rPr>
          <w:rFonts w:ascii="Times New Roman" w:hAnsi="Times New Roman"/>
          <w:b/>
        </w:rPr>
        <w:t xml:space="preserve"> </w:t>
      </w:r>
      <w:r w:rsidRPr="00E73C68">
        <w:rPr>
          <w:rFonts w:ascii="Times New Roman" w:hAnsi="Times New Roman"/>
        </w:rPr>
        <w:t>първото полугодие на</w:t>
      </w:r>
      <w:r w:rsidRPr="00E73C68">
        <w:rPr>
          <w:rFonts w:ascii="Times New Roman" w:eastAsia="Calibri" w:hAnsi="Times New Roman"/>
        </w:rPr>
        <w:t xml:space="preserve"> 2024 г. възлизат на 35 </w:t>
      </w:r>
      <w:r w:rsidRPr="00153C68">
        <w:rPr>
          <w:rFonts w:ascii="Times New Roman" w:eastAsia="Calibri" w:hAnsi="Times New Roman"/>
          <w:lang w:val="ru-RU"/>
        </w:rPr>
        <w:t>129</w:t>
      </w:r>
      <w:r w:rsidRPr="00E73C68">
        <w:rPr>
          <w:rFonts w:ascii="Times New Roman" w:eastAsia="Calibri" w:hAnsi="Times New Roman"/>
        </w:rPr>
        <w:t xml:space="preserve">,6 млн. лв., което е 43,1 % от годишните разчети. </w:t>
      </w:r>
      <w:r w:rsidRPr="00E73C68">
        <w:rPr>
          <w:rFonts w:ascii="Times New Roman" w:eastAsia="Calibri" w:hAnsi="Times New Roman"/>
          <w:lang w:val="ru-RU"/>
        </w:rPr>
        <w:t>През м</w:t>
      </w:r>
      <w:r w:rsidR="00F077B6">
        <w:rPr>
          <w:rFonts w:ascii="Times New Roman" w:eastAsia="Calibri" w:hAnsi="Times New Roman"/>
          <w:lang w:val="ru-RU"/>
        </w:rPr>
        <w:t>есец</w:t>
      </w:r>
      <w:r w:rsidRPr="00E73C68">
        <w:rPr>
          <w:rFonts w:ascii="Times New Roman" w:eastAsia="Calibri" w:hAnsi="Times New Roman"/>
          <w:lang w:val="ru-RU"/>
        </w:rPr>
        <w:t xml:space="preserve"> февруари 2024 г. в изпълнение на чл. 71, ал.1 от Постановление № 13 на Министерския съвет от 2024 г. от сметката за чужди средства по бюджета на Министерството на регионалното развитие и благоустройството </w:t>
      </w:r>
      <w:r w:rsidRPr="00153C68">
        <w:rPr>
          <w:rFonts w:ascii="Times New Roman" w:eastAsia="Calibri" w:hAnsi="Times New Roman"/>
          <w:lang w:val="ru-RU"/>
        </w:rPr>
        <w:t>(</w:t>
      </w:r>
      <w:r w:rsidRPr="00E73C68">
        <w:rPr>
          <w:rFonts w:ascii="Times New Roman" w:eastAsia="Calibri" w:hAnsi="Times New Roman"/>
        </w:rPr>
        <w:t>МРРБ</w:t>
      </w:r>
      <w:r w:rsidRPr="00153C68">
        <w:rPr>
          <w:rFonts w:ascii="Times New Roman" w:eastAsia="Calibri" w:hAnsi="Times New Roman"/>
          <w:lang w:val="ru-RU"/>
        </w:rPr>
        <w:t xml:space="preserve">) </w:t>
      </w:r>
      <w:r w:rsidRPr="00E73C68">
        <w:rPr>
          <w:rFonts w:ascii="Times New Roman" w:eastAsia="Calibri" w:hAnsi="Times New Roman"/>
          <w:lang w:val="ru-RU"/>
        </w:rPr>
        <w:t xml:space="preserve">бяха възстановени средства в общ размер на 1 200,0 млн. лв. В хода на изпълнението на бюджета за 2024 г. тези средства ще бъдат предоставяни с акт на Министерския съвет на базата на подписани споразумения с МРРБ като трансфери за общините за финансиране на Инвестиционната програма за общински проекти по реда на чл. 107 от Закона за държавния бюджет на Република България за 2024 г. и </w:t>
      </w:r>
      <w:r w:rsidR="008F27F3">
        <w:rPr>
          <w:rFonts w:ascii="Times New Roman" w:eastAsia="Calibri" w:hAnsi="Times New Roman"/>
          <w:lang w:val="ru-RU"/>
        </w:rPr>
        <w:t xml:space="preserve">за </w:t>
      </w:r>
      <w:r w:rsidRPr="00E73C68">
        <w:rPr>
          <w:rFonts w:ascii="Times New Roman" w:eastAsia="Calibri" w:hAnsi="Times New Roman"/>
          <w:lang w:val="ru-RU"/>
        </w:rPr>
        <w:t>други</w:t>
      </w:r>
      <w:r w:rsidR="00F077B6">
        <w:rPr>
          <w:rFonts w:ascii="Times New Roman" w:eastAsia="Calibri" w:hAnsi="Times New Roman"/>
          <w:lang w:val="ru-RU"/>
        </w:rPr>
        <w:t xml:space="preserve"> проекти</w:t>
      </w:r>
      <w:r w:rsidRPr="00E73C68">
        <w:rPr>
          <w:rFonts w:ascii="Times New Roman" w:eastAsia="Calibri" w:hAnsi="Times New Roman"/>
          <w:lang w:val="ru-RU"/>
        </w:rPr>
        <w:t>. При елиминирането на тази трансакция, с оглед съпоставимост с предходната година, разходите към края на юни 2024 г. са 36 329,6 млн. лв. при 31 230,</w:t>
      </w:r>
      <w:r w:rsidRPr="00153C68">
        <w:rPr>
          <w:rFonts w:ascii="Times New Roman" w:eastAsia="Calibri" w:hAnsi="Times New Roman"/>
          <w:lang w:val="ru-RU"/>
        </w:rPr>
        <w:t>6</w:t>
      </w:r>
      <w:r w:rsidRPr="00E73C68">
        <w:rPr>
          <w:rFonts w:ascii="Times New Roman" w:eastAsia="Calibri" w:hAnsi="Times New Roman"/>
          <w:lang w:val="ru-RU"/>
        </w:rPr>
        <w:t xml:space="preserve"> млн. лв. за първите шест месеца на 2023 г. В отделните разходни показатели нарастване има при социалните разходи, вследствие на изплатените по-високи пенсии след влязлото в сила увеличение от юли 2023 г., както и при разходите за персонал, след увеличението на възнагражденията на педагогическия персонал и при други </w:t>
      </w:r>
      <w:r w:rsidRPr="00CA6EDD">
        <w:rPr>
          <w:rFonts w:ascii="Times New Roman" w:eastAsia="Calibri" w:hAnsi="Times New Roman"/>
          <w:lang w:val="ru-RU"/>
        </w:rPr>
        <w:t>администрации с</w:t>
      </w:r>
      <w:r w:rsidRPr="00CA6EDD">
        <w:rPr>
          <w:rFonts w:ascii="Times New Roman" w:eastAsia="Calibri" w:hAnsi="Times New Roman"/>
        </w:rPr>
        <w:t>ъс</w:t>
      </w:r>
      <w:r w:rsidRPr="00CA6EDD">
        <w:rPr>
          <w:rFonts w:ascii="Times New Roman" w:eastAsia="Calibri" w:hAnsi="Times New Roman"/>
          <w:lang w:val="ru-RU"/>
        </w:rPr>
        <w:t xml:space="preserve"> ЗДБРБ за 2023 г. и ЗДБРБ за 2024 г., и други</w:t>
      </w:r>
      <w:r w:rsidRPr="00CA6EDD">
        <w:rPr>
          <w:rFonts w:ascii="Times New Roman" w:eastAsia="Calibri" w:hAnsi="Times New Roman"/>
        </w:rPr>
        <w:t>.</w:t>
      </w:r>
    </w:p>
    <w:p w14:paraId="332C8690" w14:textId="77777777" w:rsidR="001F66D5" w:rsidRPr="00CA6EDD" w:rsidRDefault="001F66D5" w:rsidP="001F66D5">
      <w:pPr>
        <w:spacing w:before="120" w:after="120"/>
        <w:jc w:val="both"/>
        <w:rPr>
          <w:rFonts w:eastAsia="Calibri"/>
          <w:bCs/>
        </w:rPr>
      </w:pPr>
      <w:r w:rsidRPr="00CA6EDD">
        <w:rPr>
          <w:b/>
          <w:i/>
        </w:rPr>
        <w:t xml:space="preserve">Нелихвените </w:t>
      </w:r>
      <w:r w:rsidRPr="00CA6EDD">
        <w:rPr>
          <w:rFonts w:eastAsia="Calibri"/>
          <w:b/>
          <w:bCs/>
          <w:i/>
        </w:rPr>
        <w:t>разходи</w:t>
      </w:r>
      <w:r w:rsidRPr="00CA6EDD">
        <w:rPr>
          <w:rFonts w:eastAsia="Calibri"/>
          <w:bCs/>
        </w:rPr>
        <w:t xml:space="preserve"> към юни 2024 г. </w:t>
      </w:r>
      <w:r w:rsidRPr="00153C68">
        <w:rPr>
          <w:rFonts w:eastAsia="Calibri"/>
          <w:bCs/>
          <w:lang w:val="ru-RU"/>
        </w:rPr>
        <w:t>(</w:t>
      </w:r>
      <w:r w:rsidRPr="00CA6EDD">
        <w:rPr>
          <w:rFonts w:eastAsia="Calibri"/>
          <w:bCs/>
        </w:rPr>
        <w:t>на съпоставима база</w:t>
      </w:r>
      <w:r w:rsidRPr="00153C68">
        <w:rPr>
          <w:rFonts w:eastAsia="Calibri"/>
          <w:bCs/>
          <w:lang w:val="ru-RU"/>
        </w:rPr>
        <w:t xml:space="preserve">) </w:t>
      </w:r>
      <w:r w:rsidRPr="00CA6EDD">
        <w:rPr>
          <w:rFonts w:eastAsia="Calibri"/>
          <w:bCs/>
        </w:rPr>
        <w:t xml:space="preserve">са в размер на </w:t>
      </w:r>
      <w:r w:rsidRPr="00153C68">
        <w:rPr>
          <w:rFonts w:eastAsia="Calibri"/>
          <w:bCs/>
          <w:lang w:val="ru-RU"/>
        </w:rPr>
        <w:t>35 118</w:t>
      </w:r>
      <w:r w:rsidRPr="00CA6EDD">
        <w:rPr>
          <w:rFonts w:eastAsia="Calibri"/>
          <w:bCs/>
        </w:rPr>
        <w:t xml:space="preserve">,8 млн. лв., което представлява 45,1 % от годишния разчет. </w:t>
      </w:r>
      <w:r w:rsidRPr="00CA6EDD">
        <w:rPr>
          <w:rFonts w:eastAsia="Calibri"/>
          <w:bCs/>
          <w:i/>
        </w:rPr>
        <w:t>Текущите нелихвени разходи</w:t>
      </w:r>
      <w:r w:rsidRPr="00CA6EDD">
        <w:rPr>
          <w:rFonts w:eastAsia="Calibri"/>
          <w:bCs/>
        </w:rPr>
        <w:t xml:space="preserve"> са в размер на 32 023,3 млн. лв. </w:t>
      </w:r>
      <w:r w:rsidRPr="00CA6EDD">
        <w:rPr>
          <w:rFonts w:eastAsia="Calibri"/>
          <w:bCs/>
          <w:i/>
        </w:rPr>
        <w:t>Капиталовите разходи</w:t>
      </w:r>
      <w:r w:rsidRPr="00CA6EDD">
        <w:rPr>
          <w:rFonts w:eastAsia="Calibri"/>
          <w:bCs/>
        </w:rPr>
        <w:t xml:space="preserve"> (вкл. нетния прираст на държавния резерв и </w:t>
      </w:r>
      <w:r w:rsidR="00F72109">
        <w:rPr>
          <w:rFonts w:eastAsia="Calibri"/>
          <w:bCs/>
        </w:rPr>
        <w:t xml:space="preserve">елиминиране на </w:t>
      </w:r>
      <w:r w:rsidRPr="00CA6EDD">
        <w:rPr>
          <w:rFonts w:eastAsia="Calibri"/>
          <w:bCs/>
        </w:rPr>
        <w:t xml:space="preserve">1 200 млн. лв. възстановен разход в изпълнение на ПМС №13/2024 г.) възлизат на </w:t>
      </w:r>
      <w:r w:rsidRPr="00153C68">
        <w:rPr>
          <w:rFonts w:eastAsia="Calibri"/>
          <w:bCs/>
          <w:lang w:val="ru-RU"/>
        </w:rPr>
        <w:t>3 076</w:t>
      </w:r>
      <w:r w:rsidRPr="00CA6EDD">
        <w:rPr>
          <w:rFonts w:eastAsia="Calibri"/>
          <w:bCs/>
        </w:rPr>
        <w:t xml:space="preserve">,3 млн. лв. </w:t>
      </w:r>
      <w:r w:rsidRPr="00CA6EDD">
        <w:rPr>
          <w:rFonts w:eastAsia="Calibri"/>
          <w:bCs/>
          <w:i/>
        </w:rPr>
        <w:t>Предоставените текущи и капиталови трансфери за чужбина</w:t>
      </w:r>
      <w:r w:rsidRPr="00CA6EDD">
        <w:rPr>
          <w:rFonts w:eastAsia="Calibri"/>
          <w:bCs/>
        </w:rPr>
        <w:t xml:space="preserve"> са в размер на 19,3 млн. лв. </w:t>
      </w:r>
      <w:r w:rsidRPr="00CA6EDD">
        <w:rPr>
          <w:rFonts w:eastAsia="Calibri"/>
          <w:b/>
          <w:bCs/>
          <w:i/>
        </w:rPr>
        <w:t>Лихвените плащания</w:t>
      </w:r>
      <w:r w:rsidRPr="00CA6EDD">
        <w:rPr>
          <w:rFonts w:eastAsia="Calibri"/>
          <w:bCs/>
        </w:rPr>
        <w:t xml:space="preserve"> са в размер на 497,2 млн. лв. (49,2 % от планираните за годината и ръст от 147,6 млн. лв. спрямо същия период на 2023 г.).</w:t>
      </w:r>
    </w:p>
    <w:p w14:paraId="4E330064" w14:textId="77777777" w:rsidR="001F66D5" w:rsidRDefault="001F66D5" w:rsidP="001F66D5">
      <w:pPr>
        <w:spacing w:before="120" w:after="120"/>
        <w:jc w:val="both"/>
      </w:pPr>
      <w:r w:rsidRPr="001B51F9">
        <w:t>Разходите по КФП по основните разходни групи към юни 2023 г. и 2024 г. на съпоставима база са представени на следната графика:</w:t>
      </w:r>
    </w:p>
    <w:p w14:paraId="15A2D5C2" w14:textId="77777777" w:rsidR="000148E4" w:rsidRPr="001B51F9" w:rsidRDefault="000148E4" w:rsidP="001F66D5">
      <w:pPr>
        <w:spacing w:before="120" w:after="120"/>
        <w:jc w:val="both"/>
      </w:pPr>
      <w:r>
        <w:rPr>
          <w:noProof/>
          <w:lang w:eastAsia="bg-BG"/>
        </w:rPr>
        <w:drawing>
          <wp:inline distT="0" distB="0" distL="0" distR="0" wp14:anchorId="2624318F" wp14:editId="558DFD8F">
            <wp:extent cx="6059805" cy="2670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670175"/>
                    </a:xfrm>
                    <a:prstGeom prst="rect">
                      <a:avLst/>
                    </a:prstGeom>
                    <a:noFill/>
                  </pic:spPr>
                </pic:pic>
              </a:graphicData>
            </a:graphic>
          </wp:inline>
        </w:drawing>
      </w:r>
    </w:p>
    <w:p w14:paraId="22EF31F8" w14:textId="77777777" w:rsidR="001F66D5" w:rsidRPr="001B51F9" w:rsidRDefault="001F66D5" w:rsidP="001F66D5">
      <w:pPr>
        <w:ind w:left="360"/>
        <w:jc w:val="both"/>
        <w:rPr>
          <w:sz w:val="18"/>
          <w:szCs w:val="16"/>
        </w:rPr>
      </w:pPr>
      <w:r w:rsidRPr="001B51F9">
        <w:rPr>
          <w:sz w:val="18"/>
          <w:szCs w:val="16"/>
          <w:lang w:val="ru-RU"/>
        </w:rPr>
        <w:t>*</w:t>
      </w:r>
      <w:r w:rsidRPr="001B51F9">
        <w:rPr>
          <w:sz w:val="16"/>
          <w:szCs w:val="16"/>
          <w:lang w:val="ru-RU"/>
        </w:rPr>
        <w:t xml:space="preserve">  </w:t>
      </w:r>
      <w:r w:rsidRPr="001B51F9">
        <w:rPr>
          <w:sz w:val="18"/>
          <w:szCs w:val="16"/>
        </w:rPr>
        <w:t xml:space="preserve">Вкл. нетния прираст на държавния резерв </w:t>
      </w:r>
    </w:p>
    <w:p w14:paraId="4D5CBD4D" w14:textId="77777777" w:rsidR="001F66D5" w:rsidRPr="00793C4E" w:rsidRDefault="001F66D5" w:rsidP="001F66D5">
      <w:pPr>
        <w:spacing w:after="120"/>
        <w:jc w:val="both"/>
        <w:rPr>
          <w:color w:val="0070C0"/>
          <w:sz w:val="2"/>
        </w:rPr>
      </w:pPr>
    </w:p>
    <w:p w14:paraId="79D71460" w14:textId="77777777" w:rsidR="001F66D5" w:rsidRPr="00793C4E" w:rsidRDefault="001F66D5" w:rsidP="001F66D5">
      <w:pPr>
        <w:spacing w:after="120"/>
        <w:jc w:val="both"/>
        <w:rPr>
          <w:color w:val="0070C0"/>
          <w:sz w:val="2"/>
        </w:rPr>
      </w:pPr>
    </w:p>
    <w:p w14:paraId="4B35AC2C" w14:textId="77777777" w:rsidR="001F66D5" w:rsidRPr="007F0F5F" w:rsidRDefault="001F66D5" w:rsidP="001F66D5">
      <w:pPr>
        <w:pStyle w:val="ListParagraph"/>
        <w:numPr>
          <w:ilvl w:val="0"/>
          <w:numId w:val="24"/>
        </w:numPr>
        <w:tabs>
          <w:tab w:val="left" w:pos="426"/>
        </w:tabs>
        <w:spacing w:before="240" w:line="240" w:lineRule="auto"/>
        <w:ind w:left="0" w:firstLine="0"/>
        <w:contextualSpacing w:val="0"/>
        <w:rPr>
          <w:rFonts w:ascii="Times New Roman" w:hAnsi="Times New Roman"/>
        </w:rPr>
      </w:pPr>
      <w:r w:rsidRPr="007F0F5F">
        <w:rPr>
          <w:rFonts w:ascii="Times New Roman" w:hAnsi="Times New Roman"/>
          <w:b/>
        </w:rPr>
        <w:t>Частта от вноската на Република България в общия бюджет на ЕС</w:t>
      </w:r>
      <w:r w:rsidRPr="007F0F5F">
        <w:rPr>
          <w:rFonts w:ascii="Times New Roman" w:hAnsi="Times New Roman"/>
        </w:rPr>
        <w:t xml:space="preserve">, изплатена </w:t>
      </w:r>
      <w:r w:rsidR="00A76E0F">
        <w:rPr>
          <w:rFonts w:ascii="Times New Roman" w:hAnsi="Times New Roman"/>
        </w:rPr>
        <w:t xml:space="preserve">към </w:t>
      </w:r>
      <w:r w:rsidRPr="007F0F5F">
        <w:rPr>
          <w:rFonts w:ascii="Times New Roman" w:hAnsi="Times New Roman"/>
        </w:rPr>
        <w:t>30.06.2024</w:t>
      </w:r>
      <w:r w:rsidRPr="007F0F5F">
        <w:rPr>
          <w:rFonts w:ascii="Times New Roman" w:hAnsi="Times New Roman"/>
          <w:lang w:val="en-US"/>
        </w:rPr>
        <w:t> </w:t>
      </w:r>
      <w:r w:rsidRPr="007F0F5F">
        <w:rPr>
          <w:rFonts w:ascii="Times New Roman" w:hAnsi="Times New Roman"/>
        </w:rPr>
        <w:t xml:space="preserve">г. </w:t>
      </w:r>
      <w:r w:rsidRPr="007F0F5F">
        <w:rPr>
          <w:rFonts w:ascii="Times New Roman" w:hAnsi="Times New Roman"/>
          <w:bCs/>
        </w:rPr>
        <w:t xml:space="preserve">от централния бюджет, възлиза на </w:t>
      </w:r>
      <w:r w:rsidRPr="007F0F5F">
        <w:rPr>
          <w:rFonts w:ascii="Times New Roman" w:hAnsi="Times New Roman"/>
          <w:b/>
          <w:bCs/>
          <w:lang w:val="ru-RU"/>
        </w:rPr>
        <w:t xml:space="preserve">713,5 </w:t>
      </w:r>
      <w:r w:rsidRPr="007F0F5F">
        <w:rPr>
          <w:rFonts w:ascii="Times New Roman" w:hAnsi="Times New Roman"/>
          <w:b/>
          <w:bCs/>
        </w:rPr>
        <w:t>млн. лв.</w:t>
      </w:r>
      <w:r w:rsidRPr="007F0F5F">
        <w:rPr>
          <w:rFonts w:ascii="Times New Roman" w:hAnsi="Times New Roman"/>
          <w:bCs/>
        </w:rPr>
        <w:t>, което е в изпълнение на действащото към момента законодателство в областта на собствените ресурси на ЕС</w:t>
      </w:r>
      <w:r w:rsidRPr="007F0F5F">
        <w:rPr>
          <w:rFonts w:ascii="Times New Roman" w:hAnsi="Times New Roman"/>
        </w:rPr>
        <w:t xml:space="preserve">. </w:t>
      </w:r>
    </w:p>
    <w:p w14:paraId="651AF337" w14:textId="77777777" w:rsidR="001F66D5" w:rsidRPr="009A7964" w:rsidRDefault="001F66D5" w:rsidP="001F66D5">
      <w:pPr>
        <w:pStyle w:val="ListParagraph"/>
        <w:numPr>
          <w:ilvl w:val="0"/>
          <w:numId w:val="24"/>
        </w:numPr>
        <w:tabs>
          <w:tab w:val="left" w:pos="426"/>
        </w:tabs>
        <w:spacing w:line="240" w:lineRule="auto"/>
        <w:ind w:left="0" w:firstLine="0"/>
        <w:rPr>
          <w:rFonts w:ascii="Times New Roman" w:hAnsi="Times New Roman"/>
        </w:rPr>
      </w:pPr>
      <w:r w:rsidRPr="009A7964">
        <w:rPr>
          <w:rFonts w:ascii="Times New Roman" w:hAnsi="Times New Roman"/>
          <w:b/>
        </w:rPr>
        <w:t xml:space="preserve">Бюджетното салдо </w:t>
      </w:r>
      <w:r w:rsidRPr="009A7964">
        <w:rPr>
          <w:rFonts w:ascii="Times New Roman" w:hAnsi="Times New Roman"/>
          <w:bCs/>
        </w:rPr>
        <w:t xml:space="preserve">по консолидираната фискална програма </w:t>
      </w:r>
      <w:r w:rsidRPr="009A7964">
        <w:rPr>
          <w:rFonts w:ascii="Times New Roman" w:hAnsi="Times New Roman"/>
        </w:rPr>
        <w:t>към юни 2024 г.</w:t>
      </w:r>
      <w:r w:rsidRPr="009A7964">
        <w:rPr>
          <w:rFonts w:ascii="Times New Roman" w:hAnsi="Times New Roman"/>
          <w:bCs/>
        </w:rPr>
        <w:t xml:space="preserve"> е отрицателно в размер на 636,0 млн. лв. (0,3 % от прогнозния БВП).</w:t>
      </w:r>
    </w:p>
    <w:p w14:paraId="55F18003" w14:textId="77777777" w:rsidR="001F66D5" w:rsidRPr="00793C4E" w:rsidRDefault="001F66D5" w:rsidP="001F66D5">
      <w:pPr>
        <w:numPr>
          <w:ilvl w:val="0"/>
          <w:numId w:val="8"/>
        </w:numPr>
        <w:tabs>
          <w:tab w:val="num" w:pos="0"/>
          <w:tab w:val="left" w:pos="426"/>
          <w:tab w:val="left" w:pos="720"/>
        </w:tabs>
        <w:spacing w:before="120" w:after="60"/>
        <w:ind w:left="0" w:firstLine="0"/>
        <w:jc w:val="both"/>
        <w:rPr>
          <w:color w:val="0070C0"/>
          <w:sz w:val="22"/>
        </w:rPr>
      </w:pPr>
      <w:r w:rsidRPr="00662B46">
        <w:rPr>
          <w:b/>
          <w:szCs w:val="28"/>
        </w:rPr>
        <w:t>Общият размер</w:t>
      </w:r>
      <w:r w:rsidRPr="00662B46">
        <w:rPr>
          <w:bCs/>
          <w:sz w:val="22"/>
        </w:rPr>
        <w:t xml:space="preserve"> </w:t>
      </w:r>
      <w:r w:rsidRPr="00662B46">
        <w:rPr>
          <w:b/>
          <w:bCs/>
          <w:szCs w:val="28"/>
        </w:rPr>
        <w:t>на касовите постъпления от ЕС</w:t>
      </w:r>
      <w:r w:rsidRPr="00662B46">
        <w:rPr>
          <w:bCs/>
          <w:szCs w:val="28"/>
        </w:rPr>
        <w:t xml:space="preserve"> (от Структурните и Кохезионния фондове, от</w:t>
      </w:r>
      <w:r w:rsidRPr="00662B46">
        <w:rPr>
          <w:szCs w:val="28"/>
        </w:rPr>
        <w:t xml:space="preserve"> ЕЗФРСР и ЕФМДР</w:t>
      </w:r>
      <w:r w:rsidRPr="00662B46">
        <w:rPr>
          <w:bCs/>
          <w:szCs w:val="28"/>
        </w:rPr>
        <w:t xml:space="preserve">, от средства за директни плащания към земеделските производители и плащания по пазарни мерки и др.) за </w:t>
      </w:r>
      <w:r w:rsidRPr="00662B46">
        <w:t>първото полугодие на 2024 </w:t>
      </w:r>
      <w:r w:rsidRPr="00662B46">
        <w:rPr>
          <w:bCs/>
          <w:szCs w:val="28"/>
        </w:rPr>
        <w:t xml:space="preserve"> г. е </w:t>
      </w:r>
      <w:r w:rsidRPr="00662B46">
        <w:rPr>
          <w:b/>
          <w:bCs/>
          <w:szCs w:val="28"/>
        </w:rPr>
        <w:t>2 781,0 млн. лв.</w:t>
      </w:r>
      <w:r w:rsidRPr="00662B46">
        <w:rPr>
          <w:b/>
          <w:szCs w:val="28"/>
        </w:rPr>
        <w:t xml:space="preserve"> </w:t>
      </w:r>
      <w:r w:rsidRPr="00662B46">
        <w:rPr>
          <w:b/>
          <w:bCs/>
          <w:szCs w:val="28"/>
        </w:rPr>
        <w:t xml:space="preserve">Нетните постъпления от ЕС към 30.06.2024 г. </w:t>
      </w:r>
      <w:r w:rsidRPr="00662B46">
        <w:rPr>
          <w:bCs/>
          <w:szCs w:val="28"/>
        </w:rPr>
        <w:t xml:space="preserve">(касови постъпления от ЕС, намалени с вноската в общия бюджет на ЕС) са положителни в размер на </w:t>
      </w:r>
      <w:r w:rsidRPr="00662B46">
        <w:rPr>
          <w:b/>
          <w:bCs/>
          <w:szCs w:val="28"/>
        </w:rPr>
        <w:t>2 067,5 млн. лева</w:t>
      </w:r>
      <w:r w:rsidRPr="00662B46">
        <w:rPr>
          <w:sz w:val="22"/>
        </w:rPr>
        <w:t>.</w:t>
      </w:r>
    </w:p>
    <w:p w14:paraId="2CC8D6AC" w14:textId="77777777" w:rsidR="001F66D5" w:rsidRPr="00AD14EF" w:rsidRDefault="001F66D5" w:rsidP="001F66D5">
      <w:pPr>
        <w:numPr>
          <w:ilvl w:val="2"/>
          <w:numId w:val="14"/>
        </w:numPr>
        <w:tabs>
          <w:tab w:val="left" w:pos="426"/>
        </w:tabs>
        <w:spacing w:before="120" w:after="240"/>
        <w:ind w:left="0" w:firstLine="0"/>
        <w:jc w:val="both"/>
        <w:rPr>
          <w:sz w:val="8"/>
          <w:szCs w:val="8"/>
        </w:rPr>
      </w:pPr>
      <w:r w:rsidRPr="00AD14EF">
        <w:rPr>
          <w:b/>
        </w:rPr>
        <w:t>Фискалният резерв</w:t>
      </w:r>
      <w:r w:rsidRPr="00AD14EF">
        <w:rPr>
          <w:b/>
          <w:bCs/>
          <w:vertAlign w:val="superscript"/>
          <w:lang w:eastAsia="bg-BG"/>
        </w:rPr>
        <w:footnoteReference w:id="6"/>
      </w:r>
      <w:r w:rsidRPr="00AD14EF">
        <w:rPr>
          <w:bCs/>
          <w:lang w:eastAsia="bg-BG"/>
        </w:rPr>
        <w:t xml:space="preserve"> </w:t>
      </w:r>
      <w:r w:rsidRPr="00AD14EF">
        <w:rPr>
          <w:bCs/>
        </w:rPr>
        <w:t>към 30.06.2024 г. е 11 303,1 млн. лв., в т. ч. 9 143,3  млн. лв. депозити на фискалния резерв в БНБ и банки и 2 159,8 млн. лв. вземания от фондовете на Европейския съюз за сертифицирани разходи, аванси и други</w:t>
      </w:r>
      <w:r w:rsidRPr="00AD14EF">
        <w:rPr>
          <w:bCs/>
          <w:lang w:eastAsia="bg-BG"/>
        </w:rPr>
        <w:t>.</w:t>
      </w:r>
      <w:r w:rsidRPr="00AD14EF">
        <w:rPr>
          <w:bCs/>
        </w:rPr>
        <w:t xml:space="preserve"> </w:t>
      </w:r>
    </w:p>
    <w:p w14:paraId="2FE04752" w14:textId="77777777" w:rsidR="001F66D5" w:rsidRPr="00793C4E" w:rsidRDefault="001F66D5" w:rsidP="001F66D5">
      <w:pPr>
        <w:tabs>
          <w:tab w:val="left" w:pos="426"/>
        </w:tabs>
        <w:spacing w:before="120" w:after="120"/>
        <w:jc w:val="both"/>
        <w:rPr>
          <w:color w:val="0070C0"/>
          <w:sz w:val="8"/>
          <w:szCs w:val="8"/>
        </w:rPr>
      </w:pPr>
    </w:p>
    <w:p w14:paraId="4A1CEF87" w14:textId="77777777" w:rsidR="001F66D5" w:rsidRPr="00793C4E" w:rsidRDefault="001F66D5" w:rsidP="001F66D5">
      <w:pPr>
        <w:tabs>
          <w:tab w:val="left" w:pos="426"/>
        </w:tabs>
        <w:spacing w:before="120" w:after="120"/>
        <w:jc w:val="both"/>
        <w:rPr>
          <w:color w:val="0070C0"/>
          <w:sz w:val="8"/>
          <w:szCs w:val="8"/>
        </w:rPr>
      </w:pPr>
    </w:p>
    <w:p w14:paraId="531DE69B" w14:textId="77777777" w:rsidR="001F66D5" w:rsidRPr="00793C4E" w:rsidRDefault="001F66D5" w:rsidP="001F66D5">
      <w:pPr>
        <w:rPr>
          <w:color w:val="0070C0"/>
          <w:sz w:val="8"/>
          <w:szCs w:val="8"/>
        </w:rPr>
      </w:pPr>
      <w:r w:rsidRPr="00793C4E">
        <w:rPr>
          <w:color w:val="0070C0"/>
          <w:sz w:val="8"/>
          <w:szCs w:val="8"/>
        </w:rPr>
        <w:br w:type="page"/>
      </w:r>
    </w:p>
    <w:p w14:paraId="3D24BCF9" w14:textId="77777777" w:rsidR="001F66D5" w:rsidRPr="006A5A68" w:rsidRDefault="001F66D5" w:rsidP="001F66D5">
      <w:pPr>
        <w:keepNext/>
        <w:numPr>
          <w:ilvl w:val="0"/>
          <w:numId w:val="9"/>
        </w:numPr>
        <w:spacing w:before="360"/>
        <w:ind w:right="-108"/>
        <w:jc w:val="both"/>
        <w:outlineLvl w:val="0"/>
        <w:rPr>
          <w:b/>
          <w:bCs/>
        </w:rPr>
      </w:pPr>
      <w:r w:rsidRPr="006A5A68">
        <w:rPr>
          <w:b/>
          <w:bCs/>
        </w:rPr>
        <w:t>Изпълнение на държавния бюджет</w:t>
      </w:r>
      <w:r w:rsidRPr="006A5A68">
        <w:rPr>
          <w:b/>
          <w:sz w:val="20"/>
          <w:szCs w:val="20"/>
          <w:vertAlign w:val="superscript"/>
        </w:rPr>
        <w:footnoteReference w:id="7"/>
      </w:r>
      <w:r w:rsidRPr="006A5A68">
        <w:rPr>
          <w:b/>
          <w:bCs/>
        </w:rPr>
        <w:t xml:space="preserve"> за първото полугодие на 2024 г.</w:t>
      </w:r>
    </w:p>
    <w:p w14:paraId="45726F2E" w14:textId="77777777" w:rsidR="001F66D5" w:rsidRPr="00623BBF" w:rsidRDefault="001F66D5" w:rsidP="001F66D5">
      <w:pPr>
        <w:pStyle w:val="BodyTextIndent"/>
        <w:tabs>
          <w:tab w:val="left" w:pos="1080"/>
        </w:tabs>
        <w:spacing w:before="120" w:after="0"/>
        <w:ind w:left="0"/>
        <w:jc w:val="both"/>
      </w:pPr>
      <w:r w:rsidRPr="00623BBF">
        <w:t>Изпълнението на основните показатели по държавния бюджет, на база месечните отчети на първостепенните разпоредители с бюджет е, както следва:</w:t>
      </w:r>
    </w:p>
    <w:p w14:paraId="521FFF91" w14:textId="77777777" w:rsidR="001F66D5" w:rsidRPr="00623BBF" w:rsidRDefault="001F66D5" w:rsidP="001F66D5">
      <w:pPr>
        <w:spacing w:after="120"/>
        <w:ind w:right="-244"/>
        <w:rPr>
          <w:b/>
          <w:bCs/>
          <w:sz w:val="20"/>
          <w:szCs w:val="20"/>
        </w:rPr>
      </w:pPr>
      <w:r w:rsidRPr="00623BBF">
        <w:rPr>
          <w:b/>
          <w:bCs/>
          <w:sz w:val="20"/>
          <w:szCs w:val="20"/>
        </w:rPr>
        <w:t xml:space="preserve">          </w:t>
      </w:r>
    </w:p>
    <w:p w14:paraId="309C3EEF" w14:textId="77777777" w:rsidR="001F66D5" w:rsidRPr="00623BBF" w:rsidRDefault="001F66D5" w:rsidP="001F66D5">
      <w:pPr>
        <w:spacing w:after="120"/>
        <w:ind w:right="-244" w:firstLine="426"/>
        <w:rPr>
          <w:b/>
          <w:bCs/>
          <w:sz w:val="20"/>
          <w:szCs w:val="20"/>
        </w:rPr>
      </w:pPr>
      <w:r w:rsidRPr="00623BBF">
        <w:rPr>
          <w:b/>
          <w:bCs/>
          <w:sz w:val="20"/>
          <w:szCs w:val="20"/>
        </w:rPr>
        <w:t>Таблица</w:t>
      </w:r>
      <w:r w:rsidRPr="00623BBF">
        <w:rPr>
          <w:rStyle w:val="FootnoteReference"/>
        </w:rPr>
        <w:footnoteReference w:id="8"/>
      </w:r>
      <w:r w:rsidRPr="00623BBF">
        <w:rPr>
          <w:b/>
          <w:bCs/>
          <w:sz w:val="20"/>
          <w:szCs w:val="20"/>
        </w:rPr>
        <w:t xml:space="preserve">  №1      </w:t>
      </w:r>
      <w:r w:rsidRPr="00623BBF">
        <w:rPr>
          <w:b/>
          <w:bCs/>
          <w:sz w:val="20"/>
          <w:szCs w:val="20"/>
        </w:rPr>
        <w:tab/>
      </w:r>
      <w:r w:rsidRPr="00623BBF">
        <w:rPr>
          <w:b/>
          <w:bCs/>
          <w:sz w:val="20"/>
          <w:szCs w:val="20"/>
        </w:rPr>
        <w:tab/>
        <w:t xml:space="preserve">                                          </w:t>
      </w:r>
      <w:r w:rsidRPr="00623BBF">
        <w:rPr>
          <w:b/>
          <w:bCs/>
          <w:sz w:val="20"/>
          <w:szCs w:val="20"/>
        </w:rPr>
        <w:tab/>
      </w:r>
      <w:r w:rsidRPr="00623BBF">
        <w:rPr>
          <w:b/>
          <w:bCs/>
          <w:sz w:val="20"/>
          <w:szCs w:val="20"/>
        </w:rPr>
        <w:tab/>
      </w:r>
      <w:r w:rsidRPr="00623BBF">
        <w:rPr>
          <w:b/>
          <w:bCs/>
          <w:sz w:val="20"/>
          <w:szCs w:val="20"/>
        </w:rPr>
        <w:tab/>
      </w:r>
      <w:r w:rsidRPr="00623BBF">
        <w:rPr>
          <w:b/>
          <w:bCs/>
          <w:sz w:val="20"/>
          <w:szCs w:val="20"/>
        </w:rPr>
        <w:tab/>
      </w:r>
      <w:r w:rsidRPr="00623BBF">
        <w:rPr>
          <w:b/>
          <w:bCs/>
          <w:sz w:val="20"/>
          <w:szCs w:val="20"/>
        </w:rPr>
        <w:tab/>
      </w:r>
      <w:r w:rsidRPr="00623BBF">
        <w:rPr>
          <w:b/>
          <w:bCs/>
          <w:sz w:val="20"/>
          <w:szCs w:val="20"/>
        </w:rPr>
        <w:tab/>
        <w:t>(млн. лв.)</w:t>
      </w:r>
    </w:p>
    <w:tbl>
      <w:tblPr>
        <w:tblW w:w="9050" w:type="dxa"/>
        <w:jc w:val="center"/>
        <w:tblCellMar>
          <w:left w:w="70" w:type="dxa"/>
          <w:right w:w="70" w:type="dxa"/>
        </w:tblCellMar>
        <w:tblLook w:val="0000" w:firstRow="0" w:lastRow="0" w:firstColumn="0" w:lastColumn="0" w:noHBand="0" w:noVBand="0"/>
      </w:tblPr>
      <w:tblGrid>
        <w:gridCol w:w="4854"/>
        <w:gridCol w:w="1276"/>
        <w:gridCol w:w="1616"/>
        <w:gridCol w:w="1304"/>
      </w:tblGrid>
      <w:tr w:rsidR="001F66D5" w:rsidRPr="00793C4E" w14:paraId="67106D51" w14:textId="77777777" w:rsidTr="00201ED1">
        <w:trPr>
          <w:trHeight w:val="520"/>
          <w:jc w:val="center"/>
        </w:trPr>
        <w:tc>
          <w:tcPr>
            <w:tcW w:w="4854" w:type="dxa"/>
            <w:tcBorders>
              <w:top w:val="single" w:sz="8" w:space="0" w:color="auto"/>
              <w:left w:val="single" w:sz="8" w:space="0" w:color="auto"/>
              <w:bottom w:val="nil"/>
              <w:right w:val="single" w:sz="8" w:space="0" w:color="auto"/>
            </w:tcBorders>
            <w:shd w:val="clear" w:color="auto" w:fill="auto"/>
            <w:noWrap/>
            <w:vAlign w:val="center"/>
          </w:tcPr>
          <w:p w14:paraId="752727D2" w14:textId="77777777" w:rsidR="001F66D5" w:rsidRPr="008D6D61" w:rsidRDefault="001F66D5" w:rsidP="00201ED1">
            <w:pPr>
              <w:jc w:val="center"/>
              <w:rPr>
                <w:b/>
                <w:bCs/>
                <w:sz w:val="18"/>
                <w:szCs w:val="18"/>
              </w:rPr>
            </w:pPr>
            <w:r w:rsidRPr="008D6D61">
              <w:rPr>
                <w:b/>
                <w:bCs/>
                <w:sz w:val="18"/>
                <w:szCs w:val="18"/>
              </w:rPr>
              <w:t>ПОКАЗАТЕЛИ</w:t>
            </w:r>
          </w:p>
        </w:tc>
        <w:tc>
          <w:tcPr>
            <w:tcW w:w="1276" w:type="dxa"/>
            <w:tcBorders>
              <w:top w:val="single" w:sz="8" w:space="0" w:color="auto"/>
              <w:left w:val="nil"/>
              <w:bottom w:val="single" w:sz="4" w:space="0" w:color="auto"/>
              <w:right w:val="nil"/>
            </w:tcBorders>
            <w:shd w:val="clear" w:color="auto" w:fill="auto"/>
            <w:vAlign w:val="center"/>
          </w:tcPr>
          <w:p w14:paraId="7A2F8AB0" w14:textId="77777777" w:rsidR="001F66D5" w:rsidRPr="00623BBF" w:rsidRDefault="001F66D5" w:rsidP="00201ED1">
            <w:pPr>
              <w:jc w:val="center"/>
              <w:rPr>
                <w:b/>
                <w:bCs/>
                <w:sz w:val="18"/>
                <w:szCs w:val="18"/>
              </w:rPr>
            </w:pPr>
            <w:r w:rsidRPr="00623BBF">
              <w:rPr>
                <w:b/>
                <w:bCs/>
                <w:sz w:val="18"/>
                <w:szCs w:val="18"/>
              </w:rPr>
              <w:t xml:space="preserve">ЗДБРБ    </w:t>
            </w:r>
            <w:r w:rsidRPr="00623BBF">
              <w:rPr>
                <w:b/>
                <w:bCs/>
                <w:sz w:val="18"/>
                <w:szCs w:val="18"/>
                <w:highlight w:val="yellow"/>
              </w:rPr>
              <w:t xml:space="preserve"> </w:t>
            </w:r>
            <w:r w:rsidRPr="00623BBF">
              <w:rPr>
                <w:b/>
                <w:bCs/>
                <w:sz w:val="18"/>
                <w:szCs w:val="18"/>
              </w:rPr>
              <w:t>2024 г.</w:t>
            </w:r>
          </w:p>
        </w:tc>
        <w:tc>
          <w:tcPr>
            <w:tcW w:w="1616" w:type="dxa"/>
            <w:tcBorders>
              <w:top w:val="single" w:sz="8" w:space="0" w:color="auto"/>
              <w:left w:val="nil"/>
              <w:bottom w:val="single" w:sz="4" w:space="0" w:color="auto"/>
              <w:right w:val="nil"/>
            </w:tcBorders>
            <w:shd w:val="clear" w:color="auto" w:fill="auto"/>
            <w:vAlign w:val="center"/>
          </w:tcPr>
          <w:p w14:paraId="0CE87541" w14:textId="77777777" w:rsidR="001F66D5" w:rsidRPr="00623BBF" w:rsidRDefault="001F66D5" w:rsidP="00201ED1">
            <w:pPr>
              <w:jc w:val="center"/>
              <w:rPr>
                <w:b/>
                <w:bCs/>
                <w:sz w:val="18"/>
                <w:szCs w:val="18"/>
              </w:rPr>
            </w:pPr>
            <w:r w:rsidRPr="00623BBF">
              <w:rPr>
                <w:b/>
                <w:bCs/>
                <w:sz w:val="18"/>
                <w:szCs w:val="18"/>
              </w:rPr>
              <w:t xml:space="preserve">Отчет </w:t>
            </w:r>
          </w:p>
          <w:p w14:paraId="4CE70712" w14:textId="77777777" w:rsidR="001F66D5" w:rsidRPr="00623BBF" w:rsidRDefault="001F66D5" w:rsidP="00201ED1">
            <w:pPr>
              <w:jc w:val="center"/>
              <w:rPr>
                <w:b/>
                <w:bCs/>
                <w:sz w:val="18"/>
                <w:szCs w:val="18"/>
              </w:rPr>
            </w:pPr>
            <w:r w:rsidRPr="00623BBF">
              <w:rPr>
                <w:b/>
                <w:bCs/>
                <w:sz w:val="18"/>
                <w:szCs w:val="18"/>
              </w:rPr>
              <w:t>юни 2024 г.</w:t>
            </w:r>
          </w:p>
        </w:tc>
        <w:tc>
          <w:tcPr>
            <w:tcW w:w="1304" w:type="dxa"/>
            <w:tcBorders>
              <w:top w:val="single" w:sz="8" w:space="0" w:color="auto"/>
              <w:left w:val="nil"/>
              <w:bottom w:val="single" w:sz="4" w:space="0" w:color="auto"/>
              <w:right w:val="single" w:sz="8" w:space="0" w:color="auto"/>
            </w:tcBorders>
            <w:shd w:val="clear" w:color="auto" w:fill="auto"/>
            <w:vAlign w:val="center"/>
          </w:tcPr>
          <w:p w14:paraId="560709D1" w14:textId="77777777" w:rsidR="001F66D5" w:rsidRPr="00623BBF" w:rsidRDefault="001F66D5" w:rsidP="00201ED1">
            <w:pPr>
              <w:jc w:val="center"/>
              <w:rPr>
                <w:b/>
                <w:bCs/>
                <w:sz w:val="18"/>
                <w:szCs w:val="18"/>
              </w:rPr>
            </w:pPr>
            <w:r w:rsidRPr="00623BBF">
              <w:rPr>
                <w:b/>
                <w:bCs/>
                <w:sz w:val="18"/>
                <w:szCs w:val="18"/>
              </w:rPr>
              <w:t>Изпълнение спрямо ЗДБРБ 2024 г.</w:t>
            </w:r>
          </w:p>
        </w:tc>
      </w:tr>
      <w:tr w:rsidR="001F66D5" w:rsidRPr="00793C4E" w14:paraId="2F82AEA7" w14:textId="77777777" w:rsidTr="00201ED1">
        <w:trPr>
          <w:trHeight w:val="92"/>
          <w:jc w:val="center"/>
        </w:trPr>
        <w:tc>
          <w:tcPr>
            <w:tcW w:w="485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C3EA6D2" w14:textId="77777777" w:rsidR="001F66D5" w:rsidRPr="008D6D61" w:rsidRDefault="001F66D5" w:rsidP="00201ED1">
            <w:pPr>
              <w:rPr>
                <w:b/>
                <w:bCs/>
                <w:sz w:val="18"/>
                <w:szCs w:val="18"/>
              </w:rPr>
            </w:pPr>
            <w:r w:rsidRPr="008D6D61">
              <w:rPr>
                <w:b/>
                <w:bCs/>
                <w:sz w:val="18"/>
                <w:szCs w:val="18"/>
              </w:rPr>
              <w:t>Общо приходи, помощи и дарения</w:t>
            </w:r>
          </w:p>
        </w:tc>
        <w:tc>
          <w:tcPr>
            <w:tcW w:w="1276" w:type="dxa"/>
            <w:tcBorders>
              <w:top w:val="nil"/>
              <w:left w:val="nil"/>
              <w:bottom w:val="nil"/>
              <w:right w:val="nil"/>
            </w:tcBorders>
            <w:shd w:val="clear" w:color="auto" w:fill="auto"/>
            <w:noWrap/>
            <w:vAlign w:val="bottom"/>
          </w:tcPr>
          <w:p w14:paraId="0A92C3CC" w14:textId="77777777" w:rsidR="001F66D5" w:rsidRPr="00787171" w:rsidRDefault="001F66D5" w:rsidP="00201ED1">
            <w:pPr>
              <w:jc w:val="right"/>
              <w:rPr>
                <w:b/>
                <w:bCs/>
                <w:sz w:val="18"/>
                <w:szCs w:val="18"/>
              </w:rPr>
            </w:pPr>
            <w:r w:rsidRPr="00787171">
              <w:rPr>
                <w:b/>
                <w:bCs/>
                <w:sz w:val="18"/>
                <w:szCs w:val="18"/>
              </w:rPr>
              <w:t>43 406,5</w:t>
            </w:r>
          </w:p>
        </w:tc>
        <w:tc>
          <w:tcPr>
            <w:tcW w:w="1616" w:type="dxa"/>
            <w:tcBorders>
              <w:top w:val="nil"/>
              <w:left w:val="nil"/>
              <w:bottom w:val="nil"/>
              <w:right w:val="nil"/>
            </w:tcBorders>
            <w:shd w:val="clear" w:color="auto" w:fill="auto"/>
            <w:noWrap/>
          </w:tcPr>
          <w:p w14:paraId="3B6E262D" w14:textId="77777777" w:rsidR="001F66D5" w:rsidRPr="0033216D" w:rsidRDefault="001F66D5" w:rsidP="00201ED1">
            <w:pPr>
              <w:jc w:val="right"/>
              <w:rPr>
                <w:b/>
                <w:sz w:val="18"/>
                <w:szCs w:val="18"/>
              </w:rPr>
            </w:pPr>
            <w:r w:rsidRPr="0033216D">
              <w:rPr>
                <w:b/>
                <w:sz w:val="18"/>
                <w:szCs w:val="18"/>
              </w:rPr>
              <w:t>20 375,6</w:t>
            </w:r>
          </w:p>
        </w:tc>
        <w:tc>
          <w:tcPr>
            <w:tcW w:w="1304" w:type="dxa"/>
            <w:tcBorders>
              <w:top w:val="single" w:sz="4" w:space="0" w:color="auto"/>
              <w:left w:val="nil"/>
              <w:bottom w:val="nil"/>
              <w:right w:val="single" w:sz="8" w:space="0" w:color="auto"/>
            </w:tcBorders>
            <w:shd w:val="clear" w:color="auto" w:fill="auto"/>
            <w:noWrap/>
          </w:tcPr>
          <w:p w14:paraId="0BBB679D" w14:textId="77777777" w:rsidR="001F66D5" w:rsidRPr="0033216D" w:rsidRDefault="001F66D5" w:rsidP="00201ED1">
            <w:pPr>
              <w:jc w:val="right"/>
              <w:rPr>
                <w:b/>
                <w:sz w:val="18"/>
                <w:szCs w:val="18"/>
              </w:rPr>
            </w:pPr>
            <w:r w:rsidRPr="0033216D">
              <w:rPr>
                <w:b/>
                <w:sz w:val="18"/>
                <w:szCs w:val="18"/>
              </w:rPr>
              <w:t>46,9%</w:t>
            </w:r>
          </w:p>
        </w:tc>
      </w:tr>
      <w:tr w:rsidR="001F66D5" w:rsidRPr="00793C4E" w14:paraId="0DA145F2" w14:textId="77777777" w:rsidTr="00201ED1">
        <w:trPr>
          <w:trHeight w:val="80"/>
          <w:jc w:val="center"/>
        </w:trPr>
        <w:tc>
          <w:tcPr>
            <w:tcW w:w="4854" w:type="dxa"/>
            <w:tcBorders>
              <w:top w:val="single" w:sz="4" w:space="0" w:color="auto"/>
              <w:left w:val="single" w:sz="8" w:space="0" w:color="auto"/>
              <w:bottom w:val="nil"/>
              <w:right w:val="single" w:sz="8" w:space="0" w:color="auto"/>
            </w:tcBorders>
            <w:shd w:val="clear" w:color="auto" w:fill="auto"/>
            <w:noWrap/>
            <w:vAlign w:val="bottom"/>
          </w:tcPr>
          <w:p w14:paraId="4373147C" w14:textId="77777777" w:rsidR="001F66D5" w:rsidRPr="008D6D61" w:rsidRDefault="001F66D5" w:rsidP="00201ED1">
            <w:pPr>
              <w:rPr>
                <w:sz w:val="18"/>
                <w:szCs w:val="18"/>
              </w:rPr>
            </w:pPr>
            <w:r w:rsidRPr="008D6D61">
              <w:rPr>
                <w:sz w:val="18"/>
                <w:szCs w:val="18"/>
              </w:rPr>
              <w:t xml:space="preserve">   -Данъчни приходи</w:t>
            </w:r>
          </w:p>
        </w:tc>
        <w:tc>
          <w:tcPr>
            <w:tcW w:w="1276" w:type="dxa"/>
            <w:tcBorders>
              <w:top w:val="single" w:sz="4" w:space="0" w:color="auto"/>
              <w:left w:val="nil"/>
              <w:right w:val="nil"/>
            </w:tcBorders>
            <w:shd w:val="clear" w:color="auto" w:fill="auto"/>
            <w:noWrap/>
            <w:vAlign w:val="bottom"/>
          </w:tcPr>
          <w:p w14:paraId="30E5AE64" w14:textId="77777777" w:rsidR="001F66D5" w:rsidRPr="00787171" w:rsidRDefault="001F66D5" w:rsidP="00201ED1">
            <w:pPr>
              <w:jc w:val="right"/>
              <w:rPr>
                <w:sz w:val="18"/>
                <w:szCs w:val="18"/>
              </w:rPr>
            </w:pPr>
            <w:r w:rsidRPr="00787171">
              <w:rPr>
                <w:sz w:val="18"/>
                <w:szCs w:val="18"/>
              </w:rPr>
              <w:t>38 616,0</w:t>
            </w:r>
          </w:p>
        </w:tc>
        <w:tc>
          <w:tcPr>
            <w:tcW w:w="1616" w:type="dxa"/>
            <w:tcBorders>
              <w:top w:val="single" w:sz="4" w:space="0" w:color="auto"/>
              <w:left w:val="nil"/>
              <w:bottom w:val="nil"/>
              <w:right w:val="nil"/>
            </w:tcBorders>
            <w:shd w:val="clear" w:color="auto" w:fill="auto"/>
            <w:noWrap/>
          </w:tcPr>
          <w:p w14:paraId="766007E5" w14:textId="77777777" w:rsidR="001F66D5" w:rsidRPr="0033216D" w:rsidRDefault="001F66D5" w:rsidP="00201ED1">
            <w:pPr>
              <w:jc w:val="right"/>
              <w:rPr>
                <w:sz w:val="18"/>
                <w:szCs w:val="18"/>
              </w:rPr>
            </w:pPr>
            <w:r w:rsidRPr="0033216D">
              <w:rPr>
                <w:sz w:val="18"/>
                <w:szCs w:val="18"/>
              </w:rPr>
              <w:t>17 354,3</w:t>
            </w:r>
          </w:p>
        </w:tc>
        <w:tc>
          <w:tcPr>
            <w:tcW w:w="1304" w:type="dxa"/>
            <w:tcBorders>
              <w:top w:val="single" w:sz="4" w:space="0" w:color="auto"/>
              <w:left w:val="nil"/>
              <w:bottom w:val="nil"/>
              <w:right w:val="single" w:sz="8" w:space="0" w:color="auto"/>
            </w:tcBorders>
            <w:shd w:val="clear" w:color="auto" w:fill="auto"/>
            <w:noWrap/>
          </w:tcPr>
          <w:p w14:paraId="5D1BC6AA" w14:textId="77777777" w:rsidR="001F66D5" w:rsidRPr="0033216D" w:rsidRDefault="001F66D5" w:rsidP="00201ED1">
            <w:pPr>
              <w:jc w:val="right"/>
              <w:rPr>
                <w:sz w:val="18"/>
                <w:szCs w:val="18"/>
              </w:rPr>
            </w:pPr>
            <w:r w:rsidRPr="0033216D">
              <w:rPr>
                <w:sz w:val="18"/>
                <w:szCs w:val="18"/>
              </w:rPr>
              <w:t>44,9%</w:t>
            </w:r>
          </w:p>
        </w:tc>
      </w:tr>
      <w:tr w:rsidR="001F66D5" w:rsidRPr="00793C4E" w14:paraId="2C41A99E" w14:textId="77777777" w:rsidTr="00201ED1">
        <w:trPr>
          <w:trHeight w:val="80"/>
          <w:jc w:val="center"/>
        </w:trPr>
        <w:tc>
          <w:tcPr>
            <w:tcW w:w="4854" w:type="dxa"/>
            <w:tcBorders>
              <w:left w:val="single" w:sz="8" w:space="0" w:color="auto"/>
              <w:right w:val="single" w:sz="8" w:space="0" w:color="auto"/>
            </w:tcBorders>
            <w:shd w:val="clear" w:color="auto" w:fill="auto"/>
            <w:noWrap/>
            <w:vAlign w:val="bottom"/>
          </w:tcPr>
          <w:p w14:paraId="7F0514C0" w14:textId="77777777" w:rsidR="001F66D5" w:rsidRPr="008D6D61" w:rsidRDefault="001F66D5" w:rsidP="00201ED1">
            <w:pPr>
              <w:rPr>
                <w:sz w:val="18"/>
                <w:szCs w:val="18"/>
              </w:rPr>
            </w:pPr>
            <w:r w:rsidRPr="008D6D61">
              <w:rPr>
                <w:sz w:val="18"/>
                <w:szCs w:val="18"/>
              </w:rPr>
              <w:t xml:space="preserve">      Преки </w:t>
            </w:r>
          </w:p>
        </w:tc>
        <w:tc>
          <w:tcPr>
            <w:tcW w:w="1276" w:type="dxa"/>
            <w:tcBorders>
              <w:left w:val="nil"/>
              <w:bottom w:val="nil"/>
              <w:right w:val="nil"/>
            </w:tcBorders>
            <w:shd w:val="clear" w:color="auto" w:fill="auto"/>
            <w:noWrap/>
            <w:vAlign w:val="bottom"/>
          </w:tcPr>
          <w:p w14:paraId="00FA00AA" w14:textId="77777777" w:rsidR="001F66D5" w:rsidRPr="00787171" w:rsidRDefault="001F66D5" w:rsidP="00201ED1">
            <w:pPr>
              <w:jc w:val="right"/>
              <w:rPr>
                <w:sz w:val="18"/>
                <w:szCs w:val="18"/>
              </w:rPr>
            </w:pPr>
            <w:r w:rsidRPr="00787171">
              <w:rPr>
                <w:sz w:val="18"/>
                <w:szCs w:val="18"/>
              </w:rPr>
              <w:t>12 835,0</w:t>
            </w:r>
          </w:p>
        </w:tc>
        <w:tc>
          <w:tcPr>
            <w:tcW w:w="1616" w:type="dxa"/>
            <w:tcBorders>
              <w:left w:val="nil"/>
              <w:bottom w:val="nil"/>
              <w:right w:val="nil"/>
            </w:tcBorders>
            <w:shd w:val="clear" w:color="auto" w:fill="auto"/>
            <w:noWrap/>
          </w:tcPr>
          <w:p w14:paraId="11F8376D" w14:textId="77777777" w:rsidR="001F66D5" w:rsidRPr="0033216D" w:rsidRDefault="001F66D5" w:rsidP="00201ED1">
            <w:pPr>
              <w:jc w:val="right"/>
              <w:rPr>
                <w:sz w:val="18"/>
                <w:szCs w:val="18"/>
              </w:rPr>
            </w:pPr>
            <w:r w:rsidRPr="0033216D">
              <w:rPr>
                <w:sz w:val="18"/>
                <w:szCs w:val="18"/>
              </w:rPr>
              <w:t>5 410,9</w:t>
            </w:r>
          </w:p>
        </w:tc>
        <w:tc>
          <w:tcPr>
            <w:tcW w:w="1304" w:type="dxa"/>
            <w:tcBorders>
              <w:left w:val="nil"/>
              <w:bottom w:val="nil"/>
              <w:right w:val="single" w:sz="8" w:space="0" w:color="auto"/>
            </w:tcBorders>
            <w:shd w:val="clear" w:color="auto" w:fill="auto"/>
            <w:noWrap/>
          </w:tcPr>
          <w:p w14:paraId="7A7316E1" w14:textId="77777777" w:rsidR="001F66D5" w:rsidRPr="0033216D" w:rsidRDefault="001F66D5" w:rsidP="00201ED1">
            <w:pPr>
              <w:jc w:val="right"/>
              <w:rPr>
                <w:sz w:val="18"/>
                <w:szCs w:val="18"/>
              </w:rPr>
            </w:pPr>
            <w:r w:rsidRPr="0033216D">
              <w:rPr>
                <w:sz w:val="18"/>
                <w:szCs w:val="18"/>
              </w:rPr>
              <w:t>42,2%</w:t>
            </w:r>
          </w:p>
        </w:tc>
      </w:tr>
      <w:tr w:rsidR="001F66D5" w:rsidRPr="00793C4E" w14:paraId="76D7A60F" w14:textId="77777777" w:rsidTr="00201ED1">
        <w:trPr>
          <w:trHeight w:val="165"/>
          <w:jc w:val="center"/>
        </w:trPr>
        <w:tc>
          <w:tcPr>
            <w:tcW w:w="4854" w:type="dxa"/>
            <w:tcBorders>
              <w:left w:val="single" w:sz="8" w:space="0" w:color="auto"/>
              <w:right w:val="single" w:sz="8" w:space="0" w:color="auto"/>
            </w:tcBorders>
            <w:shd w:val="clear" w:color="auto" w:fill="auto"/>
            <w:noWrap/>
            <w:vAlign w:val="bottom"/>
          </w:tcPr>
          <w:p w14:paraId="6E14D59B" w14:textId="77777777" w:rsidR="001F66D5" w:rsidRPr="008D6D61" w:rsidRDefault="001F66D5" w:rsidP="00201ED1">
            <w:pPr>
              <w:rPr>
                <w:sz w:val="18"/>
                <w:szCs w:val="18"/>
              </w:rPr>
            </w:pPr>
            <w:r w:rsidRPr="008D6D61">
              <w:rPr>
                <w:sz w:val="18"/>
                <w:szCs w:val="18"/>
              </w:rPr>
              <w:t xml:space="preserve">     </w:t>
            </w:r>
            <w:r w:rsidRPr="008D6D61">
              <w:rPr>
                <w:sz w:val="18"/>
                <w:szCs w:val="18"/>
                <w:lang w:val="en-US"/>
              </w:rPr>
              <w:t xml:space="preserve"> </w:t>
            </w:r>
            <w:r w:rsidRPr="008D6D61">
              <w:rPr>
                <w:sz w:val="18"/>
                <w:szCs w:val="18"/>
              </w:rPr>
              <w:t xml:space="preserve">Косвени </w:t>
            </w:r>
          </w:p>
        </w:tc>
        <w:tc>
          <w:tcPr>
            <w:tcW w:w="1276" w:type="dxa"/>
            <w:tcBorders>
              <w:left w:val="nil"/>
              <w:bottom w:val="nil"/>
              <w:right w:val="nil"/>
            </w:tcBorders>
            <w:shd w:val="clear" w:color="auto" w:fill="auto"/>
            <w:noWrap/>
            <w:vAlign w:val="bottom"/>
          </w:tcPr>
          <w:p w14:paraId="305398E4" w14:textId="77777777" w:rsidR="001F66D5" w:rsidRPr="00787171" w:rsidRDefault="001F66D5" w:rsidP="00201ED1">
            <w:pPr>
              <w:jc w:val="right"/>
              <w:rPr>
                <w:sz w:val="18"/>
                <w:szCs w:val="18"/>
              </w:rPr>
            </w:pPr>
            <w:r w:rsidRPr="00787171">
              <w:rPr>
                <w:sz w:val="18"/>
                <w:szCs w:val="18"/>
              </w:rPr>
              <w:t>25 504,1</w:t>
            </w:r>
          </w:p>
        </w:tc>
        <w:tc>
          <w:tcPr>
            <w:tcW w:w="1616" w:type="dxa"/>
            <w:tcBorders>
              <w:left w:val="nil"/>
              <w:bottom w:val="nil"/>
              <w:right w:val="nil"/>
            </w:tcBorders>
            <w:shd w:val="clear" w:color="auto" w:fill="auto"/>
            <w:noWrap/>
          </w:tcPr>
          <w:p w14:paraId="121D26CB" w14:textId="77777777" w:rsidR="001F66D5" w:rsidRPr="0033216D" w:rsidRDefault="001F66D5" w:rsidP="00201ED1">
            <w:pPr>
              <w:jc w:val="right"/>
              <w:rPr>
                <w:sz w:val="18"/>
                <w:szCs w:val="18"/>
              </w:rPr>
            </w:pPr>
            <w:r w:rsidRPr="0033216D">
              <w:rPr>
                <w:sz w:val="18"/>
                <w:szCs w:val="18"/>
              </w:rPr>
              <w:t>11 810,8</w:t>
            </w:r>
          </w:p>
        </w:tc>
        <w:tc>
          <w:tcPr>
            <w:tcW w:w="1304" w:type="dxa"/>
            <w:tcBorders>
              <w:left w:val="nil"/>
              <w:bottom w:val="nil"/>
              <w:right w:val="single" w:sz="8" w:space="0" w:color="auto"/>
            </w:tcBorders>
            <w:shd w:val="clear" w:color="auto" w:fill="auto"/>
            <w:noWrap/>
          </w:tcPr>
          <w:p w14:paraId="0365E38F" w14:textId="77777777" w:rsidR="001F66D5" w:rsidRPr="0033216D" w:rsidRDefault="001F66D5" w:rsidP="00201ED1">
            <w:pPr>
              <w:jc w:val="right"/>
              <w:rPr>
                <w:sz w:val="18"/>
                <w:szCs w:val="18"/>
              </w:rPr>
            </w:pPr>
            <w:r w:rsidRPr="0033216D">
              <w:rPr>
                <w:sz w:val="18"/>
                <w:szCs w:val="18"/>
              </w:rPr>
              <w:t>46,3%</w:t>
            </w:r>
          </w:p>
        </w:tc>
      </w:tr>
      <w:tr w:rsidR="001F66D5" w:rsidRPr="00793C4E" w14:paraId="76ADAEE2" w14:textId="77777777" w:rsidTr="00201ED1">
        <w:trPr>
          <w:trHeight w:val="165"/>
          <w:jc w:val="center"/>
        </w:trPr>
        <w:tc>
          <w:tcPr>
            <w:tcW w:w="4854" w:type="dxa"/>
            <w:tcBorders>
              <w:left w:val="single" w:sz="8" w:space="0" w:color="auto"/>
              <w:right w:val="single" w:sz="8" w:space="0" w:color="auto"/>
            </w:tcBorders>
            <w:shd w:val="clear" w:color="auto" w:fill="auto"/>
            <w:noWrap/>
            <w:vAlign w:val="bottom"/>
          </w:tcPr>
          <w:p w14:paraId="4A0A87BB" w14:textId="77777777" w:rsidR="001F66D5" w:rsidRPr="008D6D61" w:rsidRDefault="001F66D5" w:rsidP="00201ED1">
            <w:pPr>
              <w:rPr>
                <w:sz w:val="18"/>
                <w:szCs w:val="18"/>
              </w:rPr>
            </w:pPr>
            <w:r w:rsidRPr="008D6D61">
              <w:rPr>
                <w:sz w:val="18"/>
                <w:szCs w:val="18"/>
              </w:rPr>
              <w:t xml:space="preserve">     </w:t>
            </w:r>
            <w:r w:rsidRPr="008D6D61">
              <w:rPr>
                <w:sz w:val="18"/>
                <w:szCs w:val="18"/>
                <w:lang w:val="en-US"/>
              </w:rPr>
              <w:t xml:space="preserve"> </w:t>
            </w:r>
            <w:r w:rsidRPr="008D6D61">
              <w:rPr>
                <w:sz w:val="18"/>
                <w:szCs w:val="18"/>
              </w:rPr>
              <w:t xml:space="preserve">Други </w:t>
            </w:r>
          </w:p>
        </w:tc>
        <w:tc>
          <w:tcPr>
            <w:tcW w:w="1276" w:type="dxa"/>
            <w:tcBorders>
              <w:top w:val="nil"/>
              <w:left w:val="nil"/>
              <w:bottom w:val="nil"/>
              <w:right w:val="nil"/>
            </w:tcBorders>
            <w:shd w:val="clear" w:color="auto" w:fill="auto"/>
            <w:noWrap/>
            <w:vAlign w:val="bottom"/>
          </w:tcPr>
          <w:p w14:paraId="1105FB8F" w14:textId="77777777" w:rsidR="001F66D5" w:rsidRPr="00787171" w:rsidRDefault="001F66D5" w:rsidP="00201ED1">
            <w:pPr>
              <w:jc w:val="right"/>
              <w:rPr>
                <w:sz w:val="18"/>
                <w:szCs w:val="18"/>
              </w:rPr>
            </w:pPr>
            <w:r w:rsidRPr="00787171">
              <w:rPr>
                <w:sz w:val="18"/>
                <w:szCs w:val="18"/>
              </w:rPr>
              <w:t>276,9</w:t>
            </w:r>
          </w:p>
        </w:tc>
        <w:tc>
          <w:tcPr>
            <w:tcW w:w="1616" w:type="dxa"/>
            <w:tcBorders>
              <w:top w:val="nil"/>
              <w:left w:val="nil"/>
              <w:bottom w:val="nil"/>
              <w:right w:val="nil"/>
            </w:tcBorders>
            <w:shd w:val="clear" w:color="auto" w:fill="auto"/>
            <w:noWrap/>
          </w:tcPr>
          <w:p w14:paraId="2D9062A2" w14:textId="77777777" w:rsidR="001F66D5" w:rsidRPr="0033216D" w:rsidRDefault="001F66D5" w:rsidP="00201ED1">
            <w:pPr>
              <w:jc w:val="right"/>
              <w:rPr>
                <w:sz w:val="18"/>
                <w:szCs w:val="18"/>
              </w:rPr>
            </w:pPr>
            <w:r w:rsidRPr="0033216D">
              <w:rPr>
                <w:sz w:val="18"/>
                <w:szCs w:val="18"/>
              </w:rPr>
              <w:t>132,5</w:t>
            </w:r>
          </w:p>
        </w:tc>
        <w:tc>
          <w:tcPr>
            <w:tcW w:w="1304" w:type="dxa"/>
            <w:tcBorders>
              <w:top w:val="nil"/>
              <w:left w:val="nil"/>
              <w:bottom w:val="nil"/>
              <w:right w:val="single" w:sz="8" w:space="0" w:color="auto"/>
            </w:tcBorders>
            <w:shd w:val="clear" w:color="auto" w:fill="auto"/>
            <w:noWrap/>
          </w:tcPr>
          <w:p w14:paraId="1724B7D9" w14:textId="77777777" w:rsidR="001F66D5" w:rsidRPr="0033216D" w:rsidRDefault="001F66D5" w:rsidP="00201ED1">
            <w:pPr>
              <w:jc w:val="right"/>
              <w:rPr>
                <w:sz w:val="18"/>
                <w:szCs w:val="18"/>
              </w:rPr>
            </w:pPr>
            <w:r w:rsidRPr="0033216D">
              <w:rPr>
                <w:sz w:val="18"/>
                <w:szCs w:val="18"/>
              </w:rPr>
              <w:t>47,8%</w:t>
            </w:r>
          </w:p>
        </w:tc>
      </w:tr>
      <w:tr w:rsidR="001F66D5" w:rsidRPr="00793C4E" w14:paraId="106DC509" w14:textId="77777777" w:rsidTr="00201ED1">
        <w:trPr>
          <w:trHeight w:val="165"/>
          <w:jc w:val="center"/>
        </w:trPr>
        <w:tc>
          <w:tcPr>
            <w:tcW w:w="4854" w:type="dxa"/>
            <w:tcBorders>
              <w:left w:val="single" w:sz="8" w:space="0" w:color="auto"/>
              <w:right w:val="single" w:sz="8" w:space="0" w:color="auto"/>
            </w:tcBorders>
            <w:shd w:val="clear" w:color="auto" w:fill="auto"/>
            <w:noWrap/>
            <w:vAlign w:val="bottom"/>
          </w:tcPr>
          <w:p w14:paraId="001B1701" w14:textId="77777777" w:rsidR="001F66D5" w:rsidRPr="008D6D61" w:rsidRDefault="001F66D5" w:rsidP="00201ED1">
            <w:pPr>
              <w:rPr>
                <w:sz w:val="18"/>
                <w:szCs w:val="18"/>
              </w:rPr>
            </w:pPr>
            <w:r w:rsidRPr="008D6D61">
              <w:rPr>
                <w:sz w:val="18"/>
                <w:szCs w:val="18"/>
              </w:rPr>
              <w:t xml:space="preserve">   -Неданъчни приходи</w:t>
            </w:r>
          </w:p>
        </w:tc>
        <w:tc>
          <w:tcPr>
            <w:tcW w:w="1276" w:type="dxa"/>
            <w:tcBorders>
              <w:top w:val="nil"/>
              <w:left w:val="nil"/>
              <w:bottom w:val="nil"/>
              <w:right w:val="nil"/>
            </w:tcBorders>
            <w:shd w:val="clear" w:color="auto" w:fill="auto"/>
            <w:noWrap/>
            <w:vAlign w:val="bottom"/>
          </w:tcPr>
          <w:p w14:paraId="2A4E416E" w14:textId="77777777" w:rsidR="001F66D5" w:rsidRPr="00787171" w:rsidRDefault="001F66D5" w:rsidP="00201ED1">
            <w:pPr>
              <w:jc w:val="right"/>
              <w:rPr>
                <w:sz w:val="18"/>
                <w:szCs w:val="18"/>
              </w:rPr>
            </w:pPr>
            <w:r w:rsidRPr="00787171">
              <w:rPr>
                <w:sz w:val="18"/>
                <w:szCs w:val="18"/>
              </w:rPr>
              <w:t>4 790,0</w:t>
            </w:r>
          </w:p>
        </w:tc>
        <w:tc>
          <w:tcPr>
            <w:tcW w:w="1616" w:type="dxa"/>
            <w:tcBorders>
              <w:top w:val="nil"/>
              <w:left w:val="nil"/>
              <w:bottom w:val="nil"/>
              <w:right w:val="nil"/>
            </w:tcBorders>
            <w:shd w:val="clear" w:color="auto" w:fill="auto"/>
            <w:noWrap/>
          </w:tcPr>
          <w:p w14:paraId="1730D80E" w14:textId="77777777" w:rsidR="001F66D5" w:rsidRPr="0033216D" w:rsidRDefault="001F66D5" w:rsidP="00201ED1">
            <w:pPr>
              <w:jc w:val="right"/>
              <w:rPr>
                <w:sz w:val="18"/>
                <w:szCs w:val="18"/>
              </w:rPr>
            </w:pPr>
            <w:r w:rsidRPr="0033216D">
              <w:rPr>
                <w:sz w:val="18"/>
                <w:szCs w:val="18"/>
              </w:rPr>
              <w:t>2 961,0</w:t>
            </w:r>
          </w:p>
        </w:tc>
        <w:tc>
          <w:tcPr>
            <w:tcW w:w="1304" w:type="dxa"/>
            <w:tcBorders>
              <w:top w:val="nil"/>
              <w:left w:val="nil"/>
              <w:bottom w:val="nil"/>
              <w:right w:val="single" w:sz="8" w:space="0" w:color="auto"/>
            </w:tcBorders>
            <w:shd w:val="clear" w:color="auto" w:fill="auto"/>
            <w:noWrap/>
          </w:tcPr>
          <w:p w14:paraId="47DD50B3" w14:textId="77777777" w:rsidR="001F66D5" w:rsidRPr="0033216D" w:rsidRDefault="001F66D5" w:rsidP="00201ED1">
            <w:pPr>
              <w:jc w:val="right"/>
              <w:rPr>
                <w:sz w:val="18"/>
                <w:szCs w:val="18"/>
              </w:rPr>
            </w:pPr>
            <w:r w:rsidRPr="0033216D">
              <w:rPr>
                <w:sz w:val="18"/>
                <w:szCs w:val="18"/>
              </w:rPr>
              <w:t>61,8%</w:t>
            </w:r>
          </w:p>
        </w:tc>
      </w:tr>
      <w:tr w:rsidR="001F66D5" w:rsidRPr="00793C4E" w14:paraId="3A183334" w14:textId="77777777" w:rsidTr="00201ED1">
        <w:trPr>
          <w:trHeight w:val="165"/>
          <w:jc w:val="center"/>
        </w:trPr>
        <w:tc>
          <w:tcPr>
            <w:tcW w:w="4854" w:type="dxa"/>
            <w:tcBorders>
              <w:left w:val="single" w:sz="8" w:space="0" w:color="auto"/>
              <w:bottom w:val="single" w:sz="4" w:space="0" w:color="auto"/>
              <w:right w:val="single" w:sz="8" w:space="0" w:color="auto"/>
            </w:tcBorders>
            <w:shd w:val="clear" w:color="auto" w:fill="auto"/>
            <w:noWrap/>
            <w:vAlign w:val="bottom"/>
          </w:tcPr>
          <w:p w14:paraId="5E2CB439" w14:textId="77777777" w:rsidR="001F66D5" w:rsidRPr="008D6D61" w:rsidRDefault="001F66D5" w:rsidP="00201ED1">
            <w:pPr>
              <w:rPr>
                <w:sz w:val="18"/>
                <w:szCs w:val="18"/>
              </w:rPr>
            </w:pPr>
            <w:r w:rsidRPr="008D6D61">
              <w:rPr>
                <w:sz w:val="18"/>
                <w:szCs w:val="18"/>
              </w:rPr>
              <w:t xml:space="preserve">   -Помощи и дарения</w:t>
            </w:r>
          </w:p>
        </w:tc>
        <w:tc>
          <w:tcPr>
            <w:tcW w:w="1276" w:type="dxa"/>
            <w:tcBorders>
              <w:top w:val="nil"/>
              <w:left w:val="nil"/>
              <w:bottom w:val="nil"/>
              <w:right w:val="nil"/>
            </w:tcBorders>
            <w:shd w:val="clear" w:color="auto" w:fill="auto"/>
            <w:noWrap/>
            <w:vAlign w:val="bottom"/>
          </w:tcPr>
          <w:p w14:paraId="740AD342" w14:textId="77777777" w:rsidR="001F66D5" w:rsidRPr="00787171" w:rsidRDefault="001F66D5" w:rsidP="00201ED1">
            <w:pPr>
              <w:jc w:val="right"/>
              <w:rPr>
                <w:sz w:val="18"/>
                <w:szCs w:val="18"/>
              </w:rPr>
            </w:pPr>
            <w:r w:rsidRPr="00787171">
              <w:rPr>
                <w:sz w:val="18"/>
                <w:szCs w:val="18"/>
              </w:rPr>
              <w:t>0,5</w:t>
            </w:r>
          </w:p>
        </w:tc>
        <w:tc>
          <w:tcPr>
            <w:tcW w:w="1616" w:type="dxa"/>
            <w:tcBorders>
              <w:top w:val="nil"/>
              <w:left w:val="nil"/>
              <w:bottom w:val="nil"/>
              <w:right w:val="nil"/>
            </w:tcBorders>
            <w:shd w:val="clear" w:color="auto" w:fill="auto"/>
            <w:noWrap/>
          </w:tcPr>
          <w:p w14:paraId="5E578209" w14:textId="77777777" w:rsidR="001F66D5" w:rsidRPr="0033216D" w:rsidRDefault="001F66D5" w:rsidP="00201ED1">
            <w:pPr>
              <w:jc w:val="right"/>
              <w:rPr>
                <w:sz w:val="18"/>
                <w:szCs w:val="18"/>
              </w:rPr>
            </w:pPr>
            <w:r w:rsidRPr="0033216D">
              <w:rPr>
                <w:sz w:val="18"/>
                <w:szCs w:val="18"/>
              </w:rPr>
              <w:t>60,3</w:t>
            </w:r>
          </w:p>
        </w:tc>
        <w:tc>
          <w:tcPr>
            <w:tcW w:w="1304" w:type="dxa"/>
            <w:tcBorders>
              <w:top w:val="nil"/>
              <w:left w:val="nil"/>
              <w:bottom w:val="nil"/>
              <w:right w:val="single" w:sz="8" w:space="0" w:color="auto"/>
            </w:tcBorders>
            <w:shd w:val="clear" w:color="auto" w:fill="auto"/>
            <w:noWrap/>
          </w:tcPr>
          <w:p w14:paraId="5E24853C" w14:textId="77777777" w:rsidR="001F66D5" w:rsidRPr="0033216D" w:rsidRDefault="001F66D5" w:rsidP="00201ED1">
            <w:pPr>
              <w:jc w:val="right"/>
              <w:rPr>
                <w:sz w:val="18"/>
                <w:szCs w:val="18"/>
              </w:rPr>
            </w:pPr>
          </w:p>
        </w:tc>
      </w:tr>
      <w:tr w:rsidR="001F66D5" w:rsidRPr="00793C4E" w14:paraId="45AE21B7" w14:textId="77777777" w:rsidTr="00201ED1">
        <w:trPr>
          <w:trHeight w:val="199"/>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114A7" w14:textId="77777777" w:rsidR="001F66D5" w:rsidRPr="008D6D61" w:rsidRDefault="001F66D5" w:rsidP="00201ED1">
            <w:pPr>
              <w:rPr>
                <w:b/>
                <w:bCs/>
                <w:sz w:val="18"/>
                <w:szCs w:val="18"/>
              </w:rPr>
            </w:pPr>
            <w:r w:rsidRPr="008D6D61">
              <w:rPr>
                <w:b/>
                <w:bCs/>
                <w:sz w:val="18"/>
                <w:szCs w:val="18"/>
              </w:rPr>
              <w:t xml:space="preserve"> Разходи, трансфери и вноска в бюджета на ЕС</w:t>
            </w:r>
          </w:p>
        </w:tc>
        <w:tc>
          <w:tcPr>
            <w:tcW w:w="1276" w:type="dxa"/>
            <w:tcBorders>
              <w:top w:val="single" w:sz="4" w:space="0" w:color="auto"/>
              <w:left w:val="nil"/>
              <w:bottom w:val="single" w:sz="4" w:space="0" w:color="auto"/>
              <w:right w:val="nil"/>
            </w:tcBorders>
            <w:shd w:val="clear" w:color="auto" w:fill="auto"/>
            <w:noWrap/>
            <w:vAlign w:val="bottom"/>
          </w:tcPr>
          <w:p w14:paraId="06321E71" w14:textId="77777777" w:rsidR="001F66D5" w:rsidRPr="00787171" w:rsidRDefault="001F66D5" w:rsidP="00201ED1">
            <w:pPr>
              <w:jc w:val="right"/>
              <w:rPr>
                <w:b/>
                <w:bCs/>
                <w:sz w:val="18"/>
                <w:szCs w:val="18"/>
              </w:rPr>
            </w:pPr>
            <w:r w:rsidRPr="00787171">
              <w:rPr>
                <w:b/>
                <w:bCs/>
                <w:sz w:val="18"/>
                <w:szCs w:val="18"/>
              </w:rPr>
              <w:t>51 439,0</w:t>
            </w:r>
          </w:p>
        </w:tc>
        <w:tc>
          <w:tcPr>
            <w:tcW w:w="1616" w:type="dxa"/>
            <w:tcBorders>
              <w:top w:val="single" w:sz="4" w:space="0" w:color="auto"/>
              <w:left w:val="nil"/>
              <w:bottom w:val="single" w:sz="4" w:space="0" w:color="auto"/>
              <w:right w:val="nil"/>
            </w:tcBorders>
            <w:shd w:val="clear" w:color="auto" w:fill="auto"/>
            <w:noWrap/>
          </w:tcPr>
          <w:p w14:paraId="4BC68B60" w14:textId="77777777" w:rsidR="001F66D5" w:rsidRPr="0033216D" w:rsidRDefault="001F66D5" w:rsidP="00201ED1">
            <w:pPr>
              <w:jc w:val="right"/>
              <w:rPr>
                <w:b/>
                <w:sz w:val="18"/>
                <w:szCs w:val="18"/>
              </w:rPr>
            </w:pPr>
            <w:r w:rsidRPr="0033216D">
              <w:rPr>
                <w:b/>
                <w:sz w:val="18"/>
                <w:szCs w:val="18"/>
              </w:rPr>
              <w:t>22 787,3</w:t>
            </w:r>
          </w:p>
        </w:tc>
        <w:tc>
          <w:tcPr>
            <w:tcW w:w="1304" w:type="dxa"/>
            <w:tcBorders>
              <w:top w:val="single" w:sz="4" w:space="0" w:color="auto"/>
              <w:left w:val="nil"/>
              <w:bottom w:val="single" w:sz="4" w:space="0" w:color="auto"/>
              <w:right w:val="single" w:sz="8" w:space="0" w:color="auto"/>
            </w:tcBorders>
            <w:shd w:val="clear" w:color="auto" w:fill="auto"/>
            <w:noWrap/>
          </w:tcPr>
          <w:p w14:paraId="1ADDAFCE" w14:textId="77777777" w:rsidR="001F66D5" w:rsidRPr="0033216D" w:rsidRDefault="001F66D5" w:rsidP="00201ED1">
            <w:pPr>
              <w:jc w:val="right"/>
              <w:rPr>
                <w:b/>
                <w:sz w:val="18"/>
                <w:szCs w:val="18"/>
              </w:rPr>
            </w:pPr>
            <w:r w:rsidRPr="0033216D">
              <w:rPr>
                <w:b/>
                <w:sz w:val="18"/>
                <w:szCs w:val="18"/>
              </w:rPr>
              <w:t>44,3%</w:t>
            </w:r>
          </w:p>
        </w:tc>
      </w:tr>
      <w:tr w:rsidR="001F66D5" w:rsidRPr="00793C4E" w14:paraId="5C2EB48E" w14:textId="77777777" w:rsidTr="00201ED1">
        <w:trPr>
          <w:trHeight w:val="101"/>
          <w:jc w:val="center"/>
        </w:trPr>
        <w:tc>
          <w:tcPr>
            <w:tcW w:w="4854" w:type="dxa"/>
            <w:tcBorders>
              <w:top w:val="single" w:sz="4" w:space="0" w:color="auto"/>
              <w:left w:val="single" w:sz="4" w:space="0" w:color="auto"/>
              <w:bottom w:val="nil"/>
              <w:right w:val="single" w:sz="4" w:space="0" w:color="auto"/>
            </w:tcBorders>
            <w:shd w:val="clear" w:color="auto" w:fill="auto"/>
            <w:noWrap/>
            <w:vAlign w:val="bottom"/>
          </w:tcPr>
          <w:p w14:paraId="445045F1" w14:textId="750665A2" w:rsidR="001F66D5" w:rsidRPr="00B040A4" w:rsidRDefault="001F66D5" w:rsidP="00D337A3">
            <w:pPr>
              <w:rPr>
                <w:i/>
                <w:sz w:val="18"/>
                <w:szCs w:val="18"/>
              </w:rPr>
            </w:pPr>
            <w:r w:rsidRPr="00B040A4">
              <w:rPr>
                <w:i/>
                <w:sz w:val="18"/>
                <w:szCs w:val="18"/>
              </w:rPr>
              <w:t xml:space="preserve">   -Нелихвени разходи</w:t>
            </w:r>
          </w:p>
        </w:tc>
        <w:tc>
          <w:tcPr>
            <w:tcW w:w="1276" w:type="dxa"/>
            <w:tcBorders>
              <w:top w:val="single" w:sz="4" w:space="0" w:color="auto"/>
              <w:left w:val="nil"/>
              <w:bottom w:val="nil"/>
              <w:right w:val="nil"/>
            </w:tcBorders>
            <w:shd w:val="clear" w:color="auto" w:fill="auto"/>
            <w:noWrap/>
            <w:vAlign w:val="bottom"/>
          </w:tcPr>
          <w:p w14:paraId="56980DEF" w14:textId="77777777" w:rsidR="001F66D5" w:rsidRPr="001734DD" w:rsidRDefault="001F66D5" w:rsidP="00201ED1">
            <w:pPr>
              <w:jc w:val="right"/>
              <w:rPr>
                <w:sz w:val="18"/>
                <w:szCs w:val="18"/>
              </w:rPr>
            </w:pPr>
            <w:r w:rsidRPr="001734DD">
              <w:rPr>
                <w:sz w:val="18"/>
                <w:szCs w:val="18"/>
              </w:rPr>
              <w:t>22 561,5</w:t>
            </w:r>
          </w:p>
        </w:tc>
        <w:tc>
          <w:tcPr>
            <w:tcW w:w="1616" w:type="dxa"/>
            <w:tcBorders>
              <w:top w:val="single" w:sz="4" w:space="0" w:color="auto"/>
              <w:left w:val="nil"/>
              <w:bottom w:val="nil"/>
              <w:right w:val="nil"/>
            </w:tcBorders>
            <w:shd w:val="clear" w:color="auto" w:fill="auto"/>
            <w:noWrap/>
          </w:tcPr>
          <w:p w14:paraId="225B6C6F" w14:textId="77777777" w:rsidR="001F66D5" w:rsidRPr="001734DD" w:rsidRDefault="001F66D5" w:rsidP="00201ED1">
            <w:pPr>
              <w:jc w:val="right"/>
              <w:rPr>
                <w:sz w:val="18"/>
                <w:szCs w:val="18"/>
              </w:rPr>
            </w:pPr>
            <w:r w:rsidRPr="001734DD">
              <w:rPr>
                <w:sz w:val="18"/>
                <w:szCs w:val="18"/>
              </w:rPr>
              <w:t>8 276,7</w:t>
            </w:r>
          </w:p>
        </w:tc>
        <w:tc>
          <w:tcPr>
            <w:tcW w:w="1304" w:type="dxa"/>
            <w:tcBorders>
              <w:top w:val="single" w:sz="4" w:space="0" w:color="auto"/>
              <w:left w:val="nil"/>
              <w:bottom w:val="nil"/>
              <w:right w:val="single" w:sz="8" w:space="0" w:color="auto"/>
            </w:tcBorders>
            <w:shd w:val="clear" w:color="auto" w:fill="auto"/>
            <w:noWrap/>
          </w:tcPr>
          <w:p w14:paraId="285B934D" w14:textId="77777777" w:rsidR="001F66D5" w:rsidRPr="001734DD" w:rsidRDefault="001F66D5" w:rsidP="00201ED1">
            <w:pPr>
              <w:jc w:val="right"/>
              <w:rPr>
                <w:sz w:val="18"/>
                <w:szCs w:val="18"/>
              </w:rPr>
            </w:pPr>
            <w:r w:rsidRPr="001734DD">
              <w:rPr>
                <w:sz w:val="18"/>
                <w:szCs w:val="18"/>
              </w:rPr>
              <w:t>36,7%</w:t>
            </w:r>
          </w:p>
        </w:tc>
      </w:tr>
      <w:tr w:rsidR="001F66D5" w:rsidRPr="00793C4E" w14:paraId="3C5AD85B" w14:textId="77777777" w:rsidTr="00201ED1">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06D1A5A6" w14:textId="77777777" w:rsidR="001F66D5" w:rsidRPr="00B040A4" w:rsidRDefault="001F66D5" w:rsidP="00201ED1">
            <w:pPr>
              <w:rPr>
                <w:i/>
                <w:sz w:val="18"/>
                <w:szCs w:val="18"/>
              </w:rPr>
            </w:pPr>
            <w:r w:rsidRPr="00B040A4">
              <w:rPr>
                <w:i/>
                <w:sz w:val="18"/>
                <w:szCs w:val="18"/>
              </w:rPr>
              <w:t xml:space="preserve">   -Лихви</w:t>
            </w:r>
          </w:p>
        </w:tc>
        <w:tc>
          <w:tcPr>
            <w:tcW w:w="1276" w:type="dxa"/>
            <w:tcBorders>
              <w:top w:val="nil"/>
              <w:left w:val="nil"/>
              <w:bottom w:val="nil"/>
              <w:right w:val="nil"/>
            </w:tcBorders>
            <w:shd w:val="clear" w:color="auto" w:fill="auto"/>
            <w:noWrap/>
            <w:vAlign w:val="bottom"/>
          </w:tcPr>
          <w:p w14:paraId="33CC80A9" w14:textId="77777777" w:rsidR="001F66D5" w:rsidRPr="001734DD" w:rsidRDefault="001F66D5" w:rsidP="00201ED1">
            <w:pPr>
              <w:jc w:val="right"/>
              <w:rPr>
                <w:sz w:val="18"/>
                <w:szCs w:val="18"/>
              </w:rPr>
            </w:pPr>
            <w:r w:rsidRPr="001734DD">
              <w:rPr>
                <w:sz w:val="18"/>
                <w:szCs w:val="18"/>
              </w:rPr>
              <w:t>966,8</w:t>
            </w:r>
          </w:p>
        </w:tc>
        <w:tc>
          <w:tcPr>
            <w:tcW w:w="1616" w:type="dxa"/>
            <w:tcBorders>
              <w:top w:val="nil"/>
              <w:left w:val="nil"/>
              <w:bottom w:val="nil"/>
              <w:right w:val="nil"/>
            </w:tcBorders>
            <w:shd w:val="clear" w:color="auto" w:fill="auto"/>
            <w:noWrap/>
          </w:tcPr>
          <w:p w14:paraId="4770A571" w14:textId="77777777" w:rsidR="001F66D5" w:rsidRPr="001734DD" w:rsidRDefault="001F66D5" w:rsidP="00201ED1">
            <w:pPr>
              <w:jc w:val="right"/>
              <w:rPr>
                <w:sz w:val="18"/>
                <w:szCs w:val="18"/>
              </w:rPr>
            </w:pPr>
            <w:r w:rsidRPr="001734DD">
              <w:rPr>
                <w:sz w:val="18"/>
                <w:szCs w:val="18"/>
              </w:rPr>
              <w:t>467,6</w:t>
            </w:r>
          </w:p>
        </w:tc>
        <w:tc>
          <w:tcPr>
            <w:tcW w:w="1304" w:type="dxa"/>
            <w:tcBorders>
              <w:top w:val="nil"/>
              <w:left w:val="nil"/>
              <w:bottom w:val="nil"/>
              <w:right w:val="single" w:sz="8" w:space="0" w:color="auto"/>
            </w:tcBorders>
            <w:shd w:val="clear" w:color="auto" w:fill="auto"/>
            <w:noWrap/>
          </w:tcPr>
          <w:p w14:paraId="4787B5EB" w14:textId="77777777" w:rsidR="001F66D5" w:rsidRPr="001734DD" w:rsidRDefault="001F66D5" w:rsidP="00201ED1">
            <w:pPr>
              <w:jc w:val="right"/>
              <w:rPr>
                <w:sz w:val="18"/>
                <w:szCs w:val="18"/>
              </w:rPr>
            </w:pPr>
            <w:r w:rsidRPr="001734DD">
              <w:rPr>
                <w:sz w:val="18"/>
                <w:szCs w:val="18"/>
              </w:rPr>
              <w:t>48,4%</w:t>
            </w:r>
          </w:p>
        </w:tc>
      </w:tr>
      <w:tr w:rsidR="001F66D5" w:rsidRPr="00793C4E" w14:paraId="374B6711" w14:textId="77777777" w:rsidTr="00201ED1">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042AE8B0" w14:textId="77777777" w:rsidR="001F66D5" w:rsidRPr="00B040A4" w:rsidRDefault="001F66D5" w:rsidP="00201ED1">
            <w:pPr>
              <w:rPr>
                <w:sz w:val="18"/>
                <w:szCs w:val="18"/>
              </w:rPr>
            </w:pPr>
            <w:r w:rsidRPr="00B040A4">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14:paraId="7D2D624E" w14:textId="77777777" w:rsidR="001F66D5" w:rsidRPr="001734DD" w:rsidRDefault="001F66D5" w:rsidP="00201ED1">
            <w:pPr>
              <w:jc w:val="right"/>
              <w:rPr>
                <w:sz w:val="18"/>
                <w:szCs w:val="18"/>
              </w:rPr>
            </w:pPr>
            <w:r w:rsidRPr="001734DD">
              <w:rPr>
                <w:sz w:val="18"/>
                <w:szCs w:val="18"/>
              </w:rPr>
              <w:t>833,6</w:t>
            </w:r>
          </w:p>
        </w:tc>
        <w:tc>
          <w:tcPr>
            <w:tcW w:w="1616" w:type="dxa"/>
            <w:tcBorders>
              <w:top w:val="nil"/>
              <w:left w:val="nil"/>
              <w:bottom w:val="nil"/>
              <w:right w:val="nil"/>
            </w:tcBorders>
            <w:shd w:val="clear" w:color="auto" w:fill="auto"/>
            <w:noWrap/>
          </w:tcPr>
          <w:p w14:paraId="51213748" w14:textId="77777777" w:rsidR="001F66D5" w:rsidRPr="001734DD" w:rsidRDefault="001F66D5" w:rsidP="00201ED1">
            <w:pPr>
              <w:jc w:val="right"/>
              <w:rPr>
                <w:sz w:val="18"/>
                <w:szCs w:val="18"/>
              </w:rPr>
            </w:pPr>
            <w:r w:rsidRPr="001734DD">
              <w:rPr>
                <w:sz w:val="18"/>
                <w:szCs w:val="18"/>
              </w:rPr>
              <w:t>419,0</w:t>
            </w:r>
          </w:p>
        </w:tc>
        <w:tc>
          <w:tcPr>
            <w:tcW w:w="1304" w:type="dxa"/>
            <w:tcBorders>
              <w:top w:val="nil"/>
              <w:left w:val="nil"/>
              <w:bottom w:val="nil"/>
              <w:right w:val="single" w:sz="8" w:space="0" w:color="auto"/>
            </w:tcBorders>
            <w:shd w:val="clear" w:color="auto" w:fill="auto"/>
            <w:noWrap/>
          </w:tcPr>
          <w:p w14:paraId="0252A332" w14:textId="77777777" w:rsidR="001F66D5" w:rsidRPr="001734DD" w:rsidRDefault="001F66D5" w:rsidP="00201ED1">
            <w:pPr>
              <w:jc w:val="right"/>
              <w:rPr>
                <w:sz w:val="18"/>
                <w:szCs w:val="18"/>
              </w:rPr>
            </w:pPr>
            <w:r w:rsidRPr="001734DD">
              <w:rPr>
                <w:sz w:val="18"/>
                <w:szCs w:val="18"/>
              </w:rPr>
              <w:t>50,3%</w:t>
            </w:r>
          </w:p>
        </w:tc>
      </w:tr>
      <w:tr w:rsidR="001F66D5" w:rsidRPr="00793C4E" w14:paraId="369CF60D" w14:textId="77777777" w:rsidTr="00201ED1">
        <w:trPr>
          <w:trHeight w:val="60"/>
          <w:jc w:val="center"/>
        </w:trPr>
        <w:tc>
          <w:tcPr>
            <w:tcW w:w="4854" w:type="dxa"/>
            <w:tcBorders>
              <w:top w:val="nil"/>
              <w:left w:val="single" w:sz="4" w:space="0" w:color="auto"/>
              <w:bottom w:val="nil"/>
              <w:right w:val="single" w:sz="4" w:space="0" w:color="auto"/>
            </w:tcBorders>
            <w:shd w:val="clear" w:color="auto" w:fill="auto"/>
            <w:noWrap/>
            <w:vAlign w:val="bottom"/>
          </w:tcPr>
          <w:p w14:paraId="62BDCFF7" w14:textId="77777777" w:rsidR="001F66D5" w:rsidRPr="00B040A4" w:rsidRDefault="001F66D5" w:rsidP="00201ED1">
            <w:pPr>
              <w:rPr>
                <w:sz w:val="18"/>
                <w:szCs w:val="18"/>
              </w:rPr>
            </w:pPr>
            <w:r w:rsidRPr="00B040A4">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14:paraId="26E030F1" w14:textId="77777777" w:rsidR="001F66D5" w:rsidRPr="001734DD" w:rsidRDefault="001F66D5" w:rsidP="00201ED1">
            <w:pPr>
              <w:jc w:val="right"/>
              <w:rPr>
                <w:sz w:val="18"/>
                <w:szCs w:val="18"/>
              </w:rPr>
            </w:pPr>
            <w:r w:rsidRPr="001734DD">
              <w:rPr>
                <w:sz w:val="18"/>
                <w:szCs w:val="18"/>
              </w:rPr>
              <w:t>133,2</w:t>
            </w:r>
          </w:p>
        </w:tc>
        <w:tc>
          <w:tcPr>
            <w:tcW w:w="1616" w:type="dxa"/>
            <w:tcBorders>
              <w:top w:val="nil"/>
              <w:left w:val="nil"/>
              <w:bottom w:val="nil"/>
              <w:right w:val="nil"/>
            </w:tcBorders>
            <w:shd w:val="clear" w:color="auto" w:fill="auto"/>
            <w:noWrap/>
          </w:tcPr>
          <w:p w14:paraId="01C24AD9" w14:textId="77777777" w:rsidR="001F66D5" w:rsidRPr="001734DD" w:rsidRDefault="001F66D5" w:rsidP="00201ED1">
            <w:pPr>
              <w:jc w:val="right"/>
              <w:rPr>
                <w:sz w:val="18"/>
                <w:szCs w:val="18"/>
              </w:rPr>
            </w:pPr>
            <w:r w:rsidRPr="001734DD">
              <w:rPr>
                <w:sz w:val="18"/>
                <w:szCs w:val="18"/>
              </w:rPr>
              <w:t>48,7</w:t>
            </w:r>
          </w:p>
        </w:tc>
        <w:tc>
          <w:tcPr>
            <w:tcW w:w="1304" w:type="dxa"/>
            <w:tcBorders>
              <w:top w:val="nil"/>
              <w:left w:val="nil"/>
              <w:bottom w:val="nil"/>
              <w:right w:val="single" w:sz="8" w:space="0" w:color="auto"/>
            </w:tcBorders>
            <w:shd w:val="clear" w:color="auto" w:fill="auto"/>
            <w:noWrap/>
          </w:tcPr>
          <w:p w14:paraId="15BE0A47" w14:textId="77777777" w:rsidR="001F66D5" w:rsidRPr="001734DD" w:rsidRDefault="001F66D5" w:rsidP="00201ED1">
            <w:pPr>
              <w:jc w:val="right"/>
              <w:rPr>
                <w:sz w:val="18"/>
                <w:szCs w:val="18"/>
              </w:rPr>
            </w:pPr>
            <w:r w:rsidRPr="001734DD">
              <w:rPr>
                <w:sz w:val="18"/>
                <w:szCs w:val="18"/>
              </w:rPr>
              <w:t>36,5%</w:t>
            </w:r>
          </w:p>
        </w:tc>
      </w:tr>
      <w:tr w:rsidR="001F66D5" w:rsidRPr="00793C4E" w14:paraId="6F586F30" w14:textId="77777777" w:rsidTr="00201ED1">
        <w:trPr>
          <w:trHeight w:val="60"/>
          <w:jc w:val="center"/>
        </w:trPr>
        <w:tc>
          <w:tcPr>
            <w:tcW w:w="4854" w:type="dxa"/>
            <w:tcBorders>
              <w:top w:val="nil"/>
              <w:left w:val="single" w:sz="4" w:space="0" w:color="auto"/>
              <w:bottom w:val="nil"/>
              <w:right w:val="single" w:sz="4" w:space="0" w:color="auto"/>
            </w:tcBorders>
            <w:shd w:val="clear" w:color="auto" w:fill="auto"/>
            <w:noWrap/>
            <w:vAlign w:val="bottom"/>
          </w:tcPr>
          <w:p w14:paraId="3E981A4D" w14:textId="77777777" w:rsidR="001F66D5" w:rsidRPr="00B040A4" w:rsidRDefault="001F66D5" w:rsidP="00201ED1">
            <w:pPr>
              <w:rPr>
                <w:i/>
                <w:sz w:val="18"/>
                <w:szCs w:val="18"/>
              </w:rPr>
            </w:pPr>
            <w:r w:rsidRPr="00B040A4">
              <w:rPr>
                <w:i/>
                <w:sz w:val="18"/>
                <w:szCs w:val="18"/>
              </w:rPr>
              <w:t xml:space="preserve"> - Резерв за непредвидени и неотложни разходи</w:t>
            </w:r>
            <w:r w:rsidRPr="00B040A4">
              <w:rPr>
                <w:rStyle w:val="FootnoteReference"/>
                <w:sz w:val="18"/>
                <w:szCs w:val="18"/>
              </w:rPr>
              <w:footnoteReference w:id="9"/>
            </w:r>
            <w:r w:rsidRPr="00B040A4">
              <w:rPr>
                <w:i/>
                <w:sz w:val="18"/>
                <w:szCs w:val="18"/>
              </w:rPr>
              <w:tab/>
            </w:r>
          </w:p>
        </w:tc>
        <w:tc>
          <w:tcPr>
            <w:tcW w:w="1276" w:type="dxa"/>
            <w:tcBorders>
              <w:top w:val="nil"/>
              <w:left w:val="nil"/>
              <w:bottom w:val="nil"/>
              <w:right w:val="nil"/>
            </w:tcBorders>
            <w:shd w:val="clear" w:color="auto" w:fill="auto"/>
            <w:noWrap/>
            <w:vAlign w:val="bottom"/>
          </w:tcPr>
          <w:p w14:paraId="6C35E40C" w14:textId="77777777" w:rsidR="001F66D5" w:rsidRPr="001734DD" w:rsidRDefault="001F66D5" w:rsidP="00201ED1">
            <w:pPr>
              <w:jc w:val="right"/>
              <w:rPr>
                <w:sz w:val="18"/>
                <w:szCs w:val="18"/>
              </w:rPr>
            </w:pPr>
            <w:r w:rsidRPr="001734DD">
              <w:rPr>
                <w:sz w:val="18"/>
                <w:szCs w:val="18"/>
              </w:rPr>
              <w:t>131,4</w:t>
            </w:r>
          </w:p>
        </w:tc>
        <w:tc>
          <w:tcPr>
            <w:tcW w:w="1616" w:type="dxa"/>
            <w:tcBorders>
              <w:top w:val="nil"/>
              <w:left w:val="nil"/>
              <w:bottom w:val="nil"/>
              <w:right w:val="nil"/>
            </w:tcBorders>
            <w:shd w:val="clear" w:color="auto" w:fill="auto"/>
            <w:noWrap/>
            <w:vAlign w:val="bottom"/>
          </w:tcPr>
          <w:p w14:paraId="6A7A85A9" w14:textId="77777777" w:rsidR="001F66D5" w:rsidRPr="001734DD" w:rsidRDefault="001F66D5" w:rsidP="00201ED1">
            <w:pPr>
              <w:jc w:val="right"/>
              <w:rPr>
                <w:sz w:val="18"/>
                <w:szCs w:val="18"/>
              </w:rPr>
            </w:pPr>
          </w:p>
        </w:tc>
        <w:tc>
          <w:tcPr>
            <w:tcW w:w="1304" w:type="dxa"/>
            <w:tcBorders>
              <w:top w:val="nil"/>
              <w:left w:val="nil"/>
              <w:bottom w:val="nil"/>
              <w:right w:val="single" w:sz="8" w:space="0" w:color="auto"/>
            </w:tcBorders>
            <w:shd w:val="clear" w:color="auto" w:fill="auto"/>
            <w:noWrap/>
            <w:vAlign w:val="bottom"/>
          </w:tcPr>
          <w:p w14:paraId="79669469" w14:textId="77777777" w:rsidR="001F66D5" w:rsidRPr="001734DD" w:rsidRDefault="001F66D5" w:rsidP="00201ED1">
            <w:pPr>
              <w:jc w:val="right"/>
              <w:rPr>
                <w:sz w:val="18"/>
                <w:szCs w:val="18"/>
              </w:rPr>
            </w:pPr>
            <w:r w:rsidRPr="001734DD">
              <w:rPr>
                <w:sz w:val="18"/>
                <w:szCs w:val="18"/>
              </w:rPr>
              <w:t> </w:t>
            </w:r>
          </w:p>
        </w:tc>
      </w:tr>
      <w:tr w:rsidR="001F66D5" w:rsidRPr="00793C4E" w14:paraId="13240882" w14:textId="77777777" w:rsidTr="00201ED1">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14:paraId="2EAE65C5" w14:textId="77777777" w:rsidR="001F66D5" w:rsidRPr="00B040A4" w:rsidRDefault="001F66D5" w:rsidP="00201ED1">
            <w:pPr>
              <w:rPr>
                <w:i/>
                <w:sz w:val="18"/>
                <w:szCs w:val="18"/>
              </w:rPr>
            </w:pPr>
            <w:r w:rsidRPr="00B040A4">
              <w:rPr>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14:paraId="73830E9B" w14:textId="77777777" w:rsidR="001F66D5" w:rsidRPr="001734DD" w:rsidRDefault="001F66D5" w:rsidP="00201ED1">
            <w:pPr>
              <w:jc w:val="right"/>
              <w:rPr>
                <w:sz w:val="18"/>
                <w:szCs w:val="18"/>
              </w:rPr>
            </w:pPr>
            <w:r w:rsidRPr="001734DD">
              <w:rPr>
                <w:sz w:val="18"/>
                <w:szCs w:val="18"/>
              </w:rPr>
              <w:t>25 508,1</w:t>
            </w:r>
          </w:p>
        </w:tc>
        <w:tc>
          <w:tcPr>
            <w:tcW w:w="1616" w:type="dxa"/>
            <w:tcBorders>
              <w:top w:val="nil"/>
              <w:left w:val="nil"/>
              <w:bottom w:val="nil"/>
              <w:right w:val="nil"/>
            </w:tcBorders>
            <w:shd w:val="clear" w:color="auto" w:fill="auto"/>
            <w:noWrap/>
          </w:tcPr>
          <w:p w14:paraId="05D43A90" w14:textId="77777777" w:rsidR="001F66D5" w:rsidRPr="001734DD" w:rsidRDefault="001F66D5" w:rsidP="00201ED1">
            <w:pPr>
              <w:jc w:val="right"/>
              <w:rPr>
                <w:sz w:val="18"/>
                <w:szCs w:val="18"/>
              </w:rPr>
            </w:pPr>
            <w:r w:rsidRPr="001734DD">
              <w:rPr>
                <w:sz w:val="18"/>
                <w:szCs w:val="18"/>
              </w:rPr>
              <w:t>13 329,4</w:t>
            </w:r>
          </w:p>
        </w:tc>
        <w:tc>
          <w:tcPr>
            <w:tcW w:w="1304" w:type="dxa"/>
            <w:tcBorders>
              <w:top w:val="nil"/>
              <w:left w:val="nil"/>
              <w:bottom w:val="nil"/>
              <w:right w:val="single" w:sz="8" w:space="0" w:color="auto"/>
            </w:tcBorders>
            <w:shd w:val="clear" w:color="auto" w:fill="auto"/>
            <w:noWrap/>
          </w:tcPr>
          <w:p w14:paraId="39D7494E" w14:textId="77777777" w:rsidR="001F66D5" w:rsidRPr="001734DD" w:rsidRDefault="001F66D5" w:rsidP="00201ED1">
            <w:pPr>
              <w:jc w:val="right"/>
              <w:rPr>
                <w:sz w:val="18"/>
                <w:szCs w:val="18"/>
              </w:rPr>
            </w:pPr>
            <w:r w:rsidRPr="001734DD">
              <w:rPr>
                <w:sz w:val="18"/>
                <w:szCs w:val="18"/>
              </w:rPr>
              <w:t>52,3%</w:t>
            </w:r>
          </w:p>
        </w:tc>
      </w:tr>
      <w:tr w:rsidR="001F66D5" w:rsidRPr="00793C4E" w14:paraId="22EBCAFE" w14:textId="77777777" w:rsidTr="00201ED1">
        <w:trPr>
          <w:trHeight w:val="60"/>
          <w:jc w:val="center"/>
        </w:trPr>
        <w:tc>
          <w:tcPr>
            <w:tcW w:w="4854" w:type="dxa"/>
            <w:tcBorders>
              <w:top w:val="nil"/>
              <w:left w:val="single" w:sz="4" w:space="0" w:color="auto"/>
              <w:bottom w:val="single" w:sz="4" w:space="0" w:color="auto"/>
              <w:right w:val="single" w:sz="4" w:space="0" w:color="auto"/>
            </w:tcBorders>
            <w:shd w:val="clear" w:color="auto" w:fill="auto"/>
            <w:noWrap/>
            <w:vAlign w:val="bottom"/>
          </w:tcPr>
          <w:p w14:paraId="68672E87" w14:textId="77777777" w:rsidR="001F66D5" w:rsidRPr="00B040A4" w:rsidRDefault="001F66D5" w:rsidP="00201ED1">
            <w:pPr>
              <w:rPr>
                <w:bCs/>
                <w:i/>
                <w:sz w:val="18"/>
                <w:szCs w:val="18"/>
              </w:rPr>
            </w:pPr>
            <w:r w:rsidRPr="00B040A4">
              <w:rPr>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14:paraId="5970DFF0" w14:textId="77777777" w:rsidR="001F66D5" w:rsidRPr="001734DD" w:rsidRDefault="001F66D5" w:rsidP="00201ED1">
            <w:pPr>
              <w:jc w:val="right"/>
              <w:rPr>
                <w:sz w:val="18"/>
                <w:szCs w:val="18"/>
              </w:rPr>
            </w:pPr>
            <w:r w:rsidRPr="001734DD">
              <w:rPr>
                <w:sz w:val="18"/>
                <w:szCs w:val="18"/>
              </w:rPr>
              <w:t>2 271,1</w:t>
            </w:r>
          </w:p>
        </w:tc>
        <w:tc>
          <w:tcPr>
            <w:tcW w:w="1616" w:type="dxa"/>
            <w:tcBorders>
              <w:top w:val="nil"/>
              <w:left w:val="nil"/>
              <w:bottom w:val="single" w:sz="4" w:space="0" w:color="auto"/>
              <w:right w:val="nil"/>
            </w:tcBorders>
            <w:shd w:val="clear" w:color="auto" w:fill="auto"/>
            <w:noWrap/>
          </w:tcPr>
          <w:p w14:paraId="5A4BCD6E" w14:textId="77777777" w:rsidR="001F66D5" w:rsidRPr="001734DD" w:rsidRDefault="001F66D5" w:rsidP="00201ED1">
            <w:pPr>
              <w:jc w:val="right"/>
              <w:rPr>
                <w:sz w:val="18"/>
                <w:szCs w:val="18"/>
              </w:rPr>
            </w:pPr>
            <w:r w:rsidRPr="001734DD">
              <w:rPr>
                <w:sz w:val="18"/>
                <w:szCs w:val="18"/>
              </w:rPr>
              <w:t>713,5</w:t>
            </w:r>
          </w:p>
        </w:tc>
        <w:tc>
          <w:tcPr>
            <w:tcW w:w="1304" w:type="dxa"/>
            <w:tcBorders>
              <w:top w:val="nil"/>
              <w:left w:val="nil"/>
              <w:bottom w:val="single" w:sz="4" w:space="0" w:color="auto"/>
              <w:right w:val="single" w:sz="8" w:space="0" w:color="auto"/>
            </w:tcBorders>
            <w:shd w:val="clear" w:color="auto" w:fill="auto"/>
            <w:noWrap/>
          </w:tcPr>
          <w:p w14:paraId="2914ED99" w14:textId="77777777" w:rsidR="001F66D5" w:rsidRPr="001734DD" w:rsidRDefault="001F66D5" w:rsidP="00201ED1">
            <w:pPr>
              <w:jc w:val="right"/>
              <w:rPr>
                <w:sz w:val="18"/>
                <w:szCs w:val="18"/>
              </w:rPr>
            </w:pPr>
            <w:r w:rsidRPr="001734DD">
              <w:rPr>
                <w:sz w:val="18"/>
                <w:szCs w:val="18"/>
              </w:rPr>
              <w:t>31,4%</w:t>
            </w:r>
          </w:p>
        </w:tc>
      </w:tr>
      <w:tr w:rsidR="001F66D5" w:rsidRPr="00793C4E" w14:paraId="7DB349BE" w14:textId="77777777" w:rsidTr="00201ED1">
        <w:trPr>
          <w:trHeight w:val="50"/>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745E5" w14:textId="77777777" w:rsidR="001F66D5" w:rsidRPr="008D6D61" w:rsidRDefault="001F66D5" w:rsidP="00201ED1">
            <w:pPr>
              <w:rPr>
                <w:b/>
                <w:bCs/>
                <w:sz w:val="18"/>
                <w:szCs w:val="18"/>
              </w:rPr>
            </w:pPr>
            <w:r w:rsidRPr="008D6D61">
              <w:rPr>
                <w:b/>
                <w:bCs/>
                <w:sz w:val="18"/>
                <w:szCs w:val="18"/>
              </w:rPr>
              <w:t>Бюджетен баланс</w:t>
            </w:r>
          </w:p>
        </w:tc>
        <w:tc>
          <w:tcPr>
            <w:tcW w:w="1276" w:type="dxa"/>
            <w:tcBorders>
              <w:top w:val="nil"/>
              <w:left w:val="nil"/>
              <w:bottom w:val="single" w:sz="8" w:space="0" w:color="auto"/>
              <w:right w:val="nil"/>
            </w:tcBorders>
            <w:shd w:val="clear" w:color="auto" w:fill="auto"/>
            <w:noWrap/>
            <w:vAlign w:val="bottom"/>
          </w:tcPr>
          <w:p w14:paraId="3FA130F1" w14:textId="77777777" w:rsidR="001F66D5" w:rsidRPr="00787171" w:rsidRDefault="001F66D5" w:rsidP="00201ED1">
            <w:pPr>
              <w:jc w:val="right"/>
              <w:rPr>
                <w:b/>
                <w:bCs/>
                <w:sz w:val="18"/>
                <w:szCs w:val="18"/>
              </w:rPr>
            </w:pPr>
            <w:r w:rsidRPr="00787171">
              <w:rPr>
                <w:b/>
                <w:bCs/>
                <w:sz w:val="18"/>
                <w:szCs w:val="18"/>
              </w:rPr>
              <w:t>-8 032,4</w:t>
            </w:r>
          </w:p>
        </w:tc>
        <w:tc>
          <w:tcPr>
            <w:tcW w:w="1616" w:type="dxa"/>
            <w:tcBorders>
              <w:top w:val="nil"/>
              <w:left w:val="nil"/>
              <w:bottom w:val="single" w:sz="8" w:space="0" w:color="auto"/>
              <w:right w:val="nil"/>
            </w:tcBorders>
            <w:shd w:val="clear" w:color="auto" w:fill="auto"/>
            <w:noWrap/>
            <w:vAlign w:val="bottom"/>
          </w:tcPr>
          <w:p w14:paraId="25DF63B8" w14:textId="77777777" w:rsidR="001F66D5" w:rsidRPr="0033216D" w:rsidRDefault="001F66D5" w:rsidP="00201ED1">
            <w:pPr>
              <w:jc w:val="right"/>
              <w:rPr>
                <w:b/>
                <w:bCs/>
                <w:sz w:val="18"/>
                <w:szCs w:val="18"/>
              </w:rPr>
            </w:pPr>
            <w:r w:rsidRPr="0033216D">
              <w:rPr>
                <w:b/>
                <w:bCs/>
                <w:sz w:val="18"/>
                <w:szCs w:val="18"/>
              </w:rPr>
              <w:t>-2 411,7</w:t>
            </w:r>
          </w:p>
        </w:tc>
        <w:tc>
          <w:tcPr>
            <w:tcW w:w="1304" w:type="dxa"/>
            <w:tcBorders>
              <w:top w:val="nil"/>
              <w:left w:val="nil"/>
              <w:bottom w:val="single" w:sz="8" w:space="0" w:color="auto"/>
              <w:right w:val="single" w:sz="8" w:space="0" w:color="auto"/>
            </w:tcBorders>
            <w:shd w:val="clear" w:color="auto" w:fill="auto"/>
            <w:noWrap/>
            <w:vAlign w:val="bottom"/>
          </w:tcPr>
          <w:p w14:paraId="06015F57" w14:textId="77777777" w:rsidR="001F66D5" w:rsidRPr="0033216D" w:rsidRDefault="001F66D5" w:rsidP="00201ED1">
            <w:pPr>
              <w:jc w:val="right"/>
              <w:rPr>
                <w:b/>
                <w:bCs/>
                <w:sz w:val="18"/>
                <w:szCs w:val="18"/>
              </w:rPr>
            </w:pPr>
            <w:r w:rsidRPr="0033216D">
              <w:rPr>
                <w:b/>
                <w:bCs/>
                <w:sz w:val="18"/>
                <w:szCs w:val="18"/>
              </w:rPr>
              <w:t> </w:t>
            </w:r>
          </w:p>
        </w:tc>
      </w:tr>
    </w:tbl>
    <w:p w14:paraId="6221069E" w14:textId="77777777" w:rsidR="001F66D5" w:rsidRPr="00793C4E" w:rsidRDefault="001F66D5" w:rsidP="001F66D5">
      <w:pPr>
        <w:ind w:right="-242"/>
        <w:rPr>
          <w:b/>
          <w:bCs/>
          <w:color w:val="0070C0"/>
          <w:sz w:val="6"/>
          <w:szCs w:val="6"/>
        </w:rPr>
      </w:pPr>
    </w:p>
    <w:p w14:paraId="2807BA56" w14:textId="77777777" w:rsidR="001F66D5" w:rsidRPr="00793C4E" w:rsidRDefault="001F66D5" w:rsidP="001F66D5">
      <w:pPr>
        <w:pStyle w:val="BodyTextIndent"/>
        <w:ind w:left="0"/>
        <w:jc w:val="both"/>
        <w:rPr>
          <w:b/>
          <w:color w:val="0070C0"/>
          <w:sz w:val="6"/>
        </w:rPr>
      </w:pPr>
    </w:p>
    <w:p w14:paraId="4B842E0A" w14:textId="77777777" w:rsidR="001F66D5" w:rsidRPr="00EF6636" w:rsidRDefault="001F66D5" w:rsidP="001F66D5">
      <w:pPr>
        <w:pStyle w:val="BodyTextIndent"/>
        <w:numPr>
          <w:ilvl w:val="0"/>
          <w:numId w:val="2"/>
        </w:numPr>
        <w:jc w:val="both"/>
        <w:rPr>
          <w:b/>
        </w:rPr>
      </w:pPr>
      <w:r w:rsidRPr="00EF6636">
        <w:rPr>
          <w:b/>
          <w:bCs/>
        </w:rPr>
        <w:t xml:space="preserve">Приходи по държавния бюджет </w:t>
      </w:r>
    </w:p>
    <w:p w14:paraId="28E70356" w14:textId="77777777" w:rsidR="001F66D5" w:rsidRPr="0033216D" w:rsidRDefault="001F66D5" w:rsidP="001F66D5">
      <w:pPr>
        <w:spacing w:after="120"/>
        <w:jc w:val="both"/>
        <w:rPr>
          <w:bCs/>
        </w:rPr>
      </w:pPr>
      <w:r w:rsidRPr="0033216D">
        <w:rPr>
          <w:bCs/>
        </w:rPr>
        <w:t>Общият размер на</w:t>
      </w:r>
      <w:r w:rsidRPr="0033216D">
        <w:rPr>
          <w:b/>
          <w:bCs/>
        </w:rPr>
        <w:t xml:space="preserve"> приходите, помощите и даренията по държавния бюджет</w:t>
      </w:r>
      <w:r w:rsidRPr="0033216D">
        <w:rPr>
          <w:bCs/>
        </w:rPr>
        <w:t xml:space="preserve"> към юни 2024 г. е</w:t>
      </w:r>
      <w:r w:rsidRPr="0033216D">
        <w:rPr>
          <w:b/>
          <w:bCs/>
        </w:rPr>
        <w:t xml:space="preserve"> 20 375,6 млн. лв.</w:t>
      </w:r>
      <w:r w:rsidRPr="0033216D">
        <w:rPr>
          <w:bCs/>
        </w:rPr>
        <w:t xml:space="preserve">, което представлява 46,9 % изпълнение на разчетите по ЗДБРБ за 2024 година и ръст от </w:t>
      </w:r>
      <w:r w:rsidRPr="00153C68">
        <w:rPr>
          <w:bCs/>
          <w:lang w:val="ru-RU"/>
        </w:rPr>
        <w:t>2 026</w:t>
      </w:r>
      <w:r w:rsidRPr="0033216D">
        <w:rPr>
          <w:bCs/>
        </w:rPr>
        <w:t xml:space="preserve">,5 млн. лв. </w:t>
      </w:r>
      <w:r w:rsidRPr="0033216D">
        <w:rPr>
          <w:bCs/>
          <w:lang w:val="en-US"/>
        </w:rPr>
        <w:t>(</w:t>
      </w:r>
      <w:r w:rsidRPr="0033216D">
        <w:rPr>
          <w:bCs/>
        </w:rPr>
        <w:t>11,0 %</w:t>
      </w:r>
      <w:r w:rsidRPr="0033216D">
        <w:rPr>
          <w:bCs/>
          <w:lang w:val="en-US"/>
        </w:rPr>
        <w:t>)</w:t>
      </w:r>
      <w:r w:rsidRPr="0033216D">
        <w:rPr>
          <w:bCs/>
        </w:rPr>
        <w:t xml:space="preserve"> спрямо отчетените за същия период на предходната година.</w:t>
      </w:r>
      <w:r w:rsidRPr="0033216D">
        <w:rPr>
          <w:bCs/>
          <w:lang w:val="en-US"/>
        </w:rPr>
        <w:t xml:space="preserve"> </w:t>
      </w:r>
    </w:p>
    <w:p w14:paraId="4177BB94" w14:textId="77777777" w:rsidR="001F66D5" w:rsidRPr="0033216D" w:rsidRDefault="001F66D5" w:rsidP="001F66D5">
      <w:pPr>
        <w:numPr>
          <w:ilvl w:val="0"/>
          <w:numId w:val="3"/>
        </w:numPr>
        <w:tabs>
          <w:tab w:val="num" w:pos="720"/>
        </w:tabs>
        <w:ind w:left="0" w:firstLine="180"/>
        <w:jc w:val="both"/>
        <w:rPr>
          <w:b/>
          <w:bCs/>
        </w:rPr>
      </w:pPr>
      <w:r w:rsidRPr="0033216D">
        <w:rPr>
          <w:bCs/>
        </w:rPr>
        <w:t xml:space="preserve"> </w:t>
      </w:r>
      <w:r w:rsidRPr="0033216D">
        <w:rPr>
          <w:b/>
          <w:bCs/>
        </w:rPr>
        <w:t>Данъчни приходи</w:t>
      </w:r>
    </w:p>
    <w:p w14:paraId="29640598" w14:textId="77777777" w:rsidR="001F66D5" w:rsidRPr="00F21EC6" w:rsidRDefault="001F66D5" w:rsidP="001F66D5">
      <w:pPr>
        <w:jc w:val="both"/>
        <w:rPr>
          <w:bCs/>
          <w:color w:val="0070C0"/>
          <w:sz w:val="4"/>
          <w:szCs w:val="4"/>
        </w:rPr>
      </w:pPr>
    </w:p>
    <w:p w14:paraId="7D37501D" w14:textId="77777777" w:rsidR="001F66D5" w:rsidRPr="00153C68" w:rsidRDefault="001F66D5" w:rsidP="001F66D5">
      <w:pPr>
        <w:jc w:val="both"/>
        <w:rPr>
          <w:color w:val="0070C0"/>
          <w:lang w:val="ru-RU"/>
        </w:rPr>
      </w:pPr>
      <w:r w:rsidRPr="0033216D">
        <w:rPr>
          <w:bCs/>
        </w:rPr>
        <w:t>Размерът на</w:t>
      </w:r>
      <w:r w:rsidRPr="0033216D">
        <w:rPr>
          <w:b/>
          <w:bCs/>
        </w:rPr>
        <w:t xml:space="preserve"> данъчните постъпления по държавния бюджет</w:t>
      </w:r>
      <w:r w:rsidRPr="0033216D">
        <w:rPr>
          <w:bCs/>
        </w:rPr>
        <w:t xml:space="preserve"> към юни 2024 г. </w:t>
      </w:r>
      <w:r w:rsidRPr="0033216D">
        <w:t xml:space="preserve">е </w:t>
      </w:r>
      <w:r w:rsidRPr="00F544AB">
        <w:rPr>
          <w:b/>
          <w:lang w:val="ru-RU"/>
        </w:rPr>
        <w:t>17 354,3</w:t>
      </w:r>
      <w:r w:rsidRPr="00F544AB">
        <w:rPr>
          <w:b/>
        </w:rPr>
        <w:t> млн.</w:t>
      </w:r>
      <w:r w:rsidRPr="00F544AB">
        <w:rPr>
          <w:b/>
          <w:lang w:val="en-US"/>
        </w:rPr>
        <w:t> </w:t>
      </w:r>
      <w:r w:rsidRPr="00F544AB">
        <w:rPr>
          <w:b/>
        </w:rPr>
        <w:t>лв</w:t>
      </w:r>
      <w:r w:rsidRPr="00F544AB">
        <w:t xml:space="preserve">., което представлява 44,9 % изпълнение на годишните разчети. </w:t>
      </w:r>
      <w:r w:rsidRPr="00F544AB">
        <w:rPr>
          <w:bCs/>
        </w:rPr>
        <w:t>Сравнени с данните към юни</w:t>
      </w:r>
      <w:r w:rsidRPr="00153C68">
        <w:rPr>
          <w:bCs/>
          <w:lang w:val="ru-RU"/>
        </w:rPr>
        <w:t xml:space="preserve"> 2023 г. </w:t>
      </w:r>
      <w:r w:rsidRPr="004A38BC">
        <w:rPr>
          <w:bCs/>
        </w:rPr>
        <w:t>данъчните приходи</w:t>
      </w:r>
      <w:r w:rsidRPr="00153C68">
        <w:rPr>
          <w:bCs/>
          <w:lang w:val="ru-RU"/>
        </w:rPr>
        <w:t xml:space="preserve"> </w:t>
      </w:r>
      <w:r w:rsidRPr="00F544AB">
        <w:rPr>
          <w:rFonts w:eastAsia="Calibri"/>
        </w:rPr>
        <w:t>нарастват с 1 742,3 млн. лв. или 11,2 на сто.</w:t>
      </w:r>
    </w:p>
    <w:p w14:paraId="4E0955B5" w14:textId="77777777" w:rsidR="001F66D5" w:rsidRPr="00295907" w:rsidRDefault="001F66D5" w:rsidP="001F66D5">
      <w:pPr>
        <w:numPr>
          <w:ilvl w:val="0"/>
          <w:numId w:val="4"/>
        </w:numPr>
        <w:tabs>
          <w:tab w:val="clear" w:pos="1440"/>
          <w:tab w:val="num" w:pos="540"/>
        </w:tabs>
        <w:spacing w:before="120" w:after="120"/>
        <w:ind w:left="0" w:firstLine="181"/>
        <w:jc w:val="both"/>
        <w:rPr>
          <w:b/>
          <w:bCs/>
        </w:rPr>
      </w:pPr>
      <w:r w:rsidRPr="00F544AB">
        <w:rPr>
          <w:b/>
          <w:bCs/>
        </w:rPr>
        <w:t>Преки данъци</w:t>
      </w:r>
    </w:p>
    <w:p w14:paraId="5729CD41" w14:textId="77777777" w:rsidR="001F66D5" w:rsidRPr="00153C68" w:rsidRDefault="001F66D5" w:rsidP="001F66D5">
      <w:pPr>
        <w:spacing w:before="120"/>
        <w:jc w:val="both"/>
        <w:rPr>
          <w:lang w:val="ru-RU"/>
        </w:rPr>
      </w:pPr>
      <w:r w:rsidRPr="00295907">
        <w:t>Приходите от</w:t>
      </w:r>
      <w:r w:rsidRPr="00295907">
        <w:rPr>
          <w:b/>
        </w:rPr>
        <w:t xml:space="preserve"> преки данъци</w:t>
      </w:r>
      <w:r w:rsidRPr="00295907">
        <w:t xml:space="preserve"> са в размер на</w:t>
      </w:r>
      <w:r w:rsidRPr="00295907">
        <w:rPr>
          <w:b/>
        </w:rPr>
        <w:t> 5 410,9 млн. лв</w:t>
      </w:r>
      <w:r w:rsidRPr="00295907">
        <w:t>. или 42,2 % от планираните за годината, като съпоставени със същия период на предходната година постъпленията нарастват с 471,2 млн. лв. (9,5 %). Повишението се дължи основно на значително по-високите приходи от данъците върху доходите на физическите лица, които нарастват с 14,5</w:t>
      </w:r>
      <w:r w:rsidRPr="00295907">
        <w:rPr>
          <w:lang w:val="en-US"/>
        </w:rPr>
        <w:t> </w:t>
      </w:r>
      <w:r w:rsidRPr="00295907">
        <w:t>% в сравнение с края на юни 2023 година.</w:t>
      </w:r>
    </w:p>
    <w:p w14:paraId="79B421E8" w14:textId="77777777" w:rsidR="001F66D5" w:rsidRPr="00F21EC6" w:rsidRDefault="001F66D5" w:rsidP="001F66D5">
      <w:pPr>
        <w:spacing w:before="120"/>
        <w:jc w:val="both"/>
        <w:rPr>
          <w:color w:val="0070C0"/>
        </w:rPr>
      </w:pPr>
      <w:r w:rsidRPr="00295907">
        <w:t>Приходите от</w:t>
      </w:r>
      <w:r w:rsidRPr="00295907">
        <w:rPr>
          <w:b/>
        </w:rPr>
        <w:t xml:space="preserve"> </w:t>
      </w:r>
      <w:r w:rsidRPr="00295907">
        <w:rPr>
          <w:b/>
          <w:bCs/>
          <w:i/>
        </w:rPr>
        <w:t>корпоративни данъци</w:t>
      </w:r>
      <w:r w:rsidRPr="00295907">
        <w:t xml:space="preserve"> </w:t>
      </w:r>
      <w:r w:rsidRPr="00295907">
        <w:rPr>
          <w:bCs/>
        </w:rPr>
        <w:t>към юни 2024 г.</w:t>
      </w:r>
      <w:r w:rsidRPr="00295907">
        <w:t xml:space="preserve"> са в размер на 2 144,4 млн. лв. или 36,2 % от годишния план. Сравнени с данните за месец юни на предходната година постъпленията нарастват с 58,1 млн. лв</w:t>
      </w:r>
      <w:r w:rsidRPr="00153C68">
        <w:rPr>
          <w:lang w:val="ru-RU"/>
        </w:rPr>
        <w:t>.</w:t>
      </w:r>
      <w:r w:rsidRPr="00295907">
        <w:t xml:space="preserve"> </w:t>
      </w:r>
      <w:r w:rsidRPr="00153C68">
        <w:rPr>
          <w:lang w:val="ru-RU"/>
        </w:rPr>
        <w:t>(2,8 на сто)</w:t>
      </w:r>
      <w:r w:rsidRPr="00295907">
        <w:t xml:space="preserve">. </w:t>
      </w:r>
    </w:p>
    <w:p w14:paraId="0E85C5AF" w14:textId="77777777" w:rsidR="001F66D5" w:rsidRPr="009F1D4F" w:rsidRDefault="001F66D5" w:rsidP="001F66D5">
      <w:pPr>
        <w:spacing w:before="120"/>
        <w:jc w:val="both"/>
      </w:pPr>
      <w:r w:rsidRPr="00E81E34">
        <w:t xml:space="preserve">Календарният ефект от изместване на крайния срок за внасяне на задълженията по корпоративен данък в месец юли 2024 г. (30 юни 2024 е почивен ден) обуславя по-ниския дял на изпълнението спрямо същия период на предходната година </w:t>
      </w:r>
      <w:r w:rsidRPr="00E81E34">
        <w:rPr>
          <w:lang w:val="ru-RU"/>
        </w:rPr>
        <w:t>(</w:t>
      </w:r>
      <w:r w:rsidRPr="00E81E34">
        <w:t>ръст от 1,9 % спрямо същия период на 2023</w:t>
      </w:r>
      <w:r w:rsidRPr="00E81E34">
        <w:rPr>
          <w:lang w:val="en-US"/>
        </w:rPr>
        <w:t> </w:t>
      </w:r>
      <w:r w:rsidRPr="00E81E34">
        <w:t>г.</w:t>
      </w:r>
      <w:r w:rsidRPr="00E81E34">
        <w:rPr>
          <w:lang w:val="ru-RU"/>
        </w:rPr>
        <w:t xml:space="preserve">) </w:t>
      </w:r>
      <w:r w:rsidRPr="00E81E34">
        <w:t>и</w:t>
      </w:r>
      <w:r w:rsidRPr="009F1D4F">
        <w:t xml:space="preserve"> оказва влияние върху нивото на изпълнение на постъпления от този вид данък спрямо заложения годишен план</w:t>
      </w:r>
      <w:r>
        <w:t xml:space="preserve"> </w:t>
      </w:r>
      <w:r w:rsidRPr="00153C68">
        <w:rPr>
          <w:lang w:val="ru-RU"/>
        </w:rPr>
        <w:t>(35</w:t>
      </w:r>
      <w:r>
        <w:t>,8 % от плана</w:t>
      </w:r>
      <w:r w:rsidRPr="00153C68">
        <w:rPr>
          <w:lang w:val="ru-RU"/>
        </w:rPr>
        <w:t>)</w:t>
      </w:r>
      <w:r w:rsidRPr="009F1D4F">
        <w:t>.</w:t>
      </w:r>
    </w:p>
    <w:p w14:paraId="3CFD7C8D" w14:textId="77777777" w:rsidR="001F66D5" w:rsidRPr="00F21EC6" w:rsidRDefault="001F66D5" w:rsidP="001F66D5">
      <w:pPr>
        <w:spacing w:before="120"/>
        <w:jc w:val="both"/>
        <w:rPr>
          <w:color w:val="0070C0"/>
        </w:rPr>
      </w:pPr>
      <w:r w:rsidRPr="00400BE4">
        <w:t>В тази група данъци са и приходите от данък върху дивидентите, ликвидационните дялове и доходите на местни и чуждестранни юридически лица, които са в размер на 65,0 млн. лв., като съпоставени със същия период на 2023</w:t>
      </w:r>
      <w:r w:rsidRPr="00400BE4">
        <w:rPr>
          <w:lang w:val="en-US"/>
        </w:rPr>
        <w:t> </w:t>
      </w:r>
      <w:r w:rsidRPr="00400BE4">
        <w:t>г. приходите са повече с 20,0 млн. лв.</w:t>
      </w:r>
      <w:r>
        <w:t xml:space="preserve"> </w:t>
      </w:r>
      <w:r w:rsidRPr="00153C68">
        <w:rPr>
          <w:lang w:val="ru-RU"/>
        </w:rPr>
        <w:t>(44</w:t>
      </w:r>
      <w:r>
        <w:t>,</w:t>
      </w:r>
      <w:r w:rsidRPr="00153C68">
        <w:rPr>
          <w:lang w:val="ru-RU"/>
        </w:rPr>
        <w:t>3 %)</w:t>
      </w:r>
      <w:r>
        <w:t>.</w:t>
      </w:r>
      <w:r w:rsidRPr="00400BE4">
        <w:t xml:space="preserve"> Постъпленията от данъци върху дивидентите, ликвидационните дялове и доходите на юридически лица зависят от състоянието на икономиката и осъществяващите се процеси по разпределение на фирмена собственост в страната.</w:t>
      </w:r>
    </w:p>
    <w:p w14:paraId="63A00CFB" w14:textId="77777777" w:rsidR="001F66D5" w:rsidRPr="00153C68" w:rsidRDefault="001F66D5" w:rsidP="001F66D5">
      <w:pPr>
        <w:spacing w:before="120" w:after="120"/>
        <w:jc w:val="both"/>
        <w:rPr>
          <w:lang w:val="ru-RU"/>
        </w:rPr>
      </w:pPr>
      <w:r w:rsidRPr="00311917">
        <w:t>Приходите от</w:t>
      </w:r>
      <w:r w:rsidRPr="00311917">
        <w:rPr>
          <w:b/>
        </w:rPr>
        <w:t xml:space="preserve"> данъци върху доходите на физически лица </w:t>
      </w:r>
      <w:r w:rsidRPr="00311917">
        <w:t xml:space="preserve">са в размер на </w:t>
      </w:r>
      <w:r w:rsidRPr="00311917">
        <w:rPr>
          <w:b/>
          <w:lang w:val="ru-RU"/>
        </w:rPr>
        <w:t xml:space="preserve">3 266,6 </w:t>
      </w:r>
      <w:r w:rsidRPr="00311917">
        <w:rPr>
          <w:b/>
        </w:rPr>
        <w:t>млн. лв.</w:t>
      </w:r>
      <w:r w:rsidRPr="00311917">
        <w:t xml:space="preserve"> или 47,3 % от заложените в разчета за годината. Тези приходи са с 413,1 млн. лв. повече или 14,5 % ръст спрямо същия период на предходната година.</w:t>
      </w:r>
      <w:r w:rsidRPr="00153C68">
        <w:rPr>
          <w:lang w:val="ru-RU"/>
        </w:rPr>
        <w:t xml:space="preserve"> </w:t>
      </w:r>
    </w:p>
    <w:p w14:paraId="0E1ED845" w14:textId="77777777" w:rsidR="001F66D5" w:rsidRPr="00F21EC6" w:rsidRDefault="001F66D5" w:rsidP="001F66D5">
      <w:pPr>
        <w:spacing w:before="120" w:after="120"/>
        <w:jc w:val="both"/>
        <w:rPr>
          <w:color w:val="0070C0"/>
        </w:rPr>
      </w:pPr>
      <w:r w:rsidRPr="00311917">
        <w:t xml:space="preserve">Основен фактор за размера на данъчните постъпления от ДДФЛ е развитието на  параметрите </w:t>
      </w:r>
      <w:r w:rsidRPr="008413E4">
        <w:t>на пазара на труда: заетост, безработица и заплащане на труда. Влияние върху размера на постъпленията от ДДФЛ оказват действащите законодателни и административни мерки в областта на трудовото, социалното и данъчното законодателство. За повишаване на тази група данъчни приходи допринасят и предприетите мерки за намаляване на недекларирания труд, мерките за повишаване на събираемостта на задължения за минали периоди и тематичните кампании за контрол, провеждани от НАП.</w:t>
      </w:r>
    </w:p>
    <w:p w14:paraId="505B95CC" w14:textId="77777777" w:rsidR="001F66D5" w:rsidRPr="004D3E62" w:rsidRDefault="001F66D5" w:rsidP="001F66D5">
      <w:pPr>
        <w:spacing w:before="120"/>
        <w:jc w:val="both"/>
        <w:rPr>
          <w:bCs/>
          <w:color w:val="0070C0"/>
        </w:rPr>
      </w:pPr>
      <w:r w:rsidRPr="00333536">
        <w:rPr>
          <w:i/>
        </w:rPr>
        <w:t>По трудови правоотношения</w:t>
      </w:r>
      <w:r w:rsidRPr="00333536">
        <w:t xml:space="preserve"> приходите от данъка </w:t>
      </w:r>
      <w:r w:rsidRPr="00333536">
        <w:rPr>
          <w:bCs/>
        </w:rPr>
        <w:t>към юни 2024 г.</w:t>
      </w:r>
      <w:r w:rsidRPr="00333536">
        <w:t xml:space="preserve"> са 2 704,7</w:t>
      </w:r>
      <w:r w:rsidRPr="00153C68">
        <w:rPr>
          <w:lang w:val="ru-RU"/>
        </w:rPr>
        <w:t xml:space="preserve"> </w:t>
      </w:r>
      <w:r w:rsidRPr="00333536">
        <w:t xml:space="preserve">млн. лв., 47,6 % от </w:t>
      </w:r>
      <w:r w:rsidRPr="004D3E62">
        <w:t>годишните разчети. Тези приходи нарастват с 379,6 млн. лв. (16,3 %) в сравнение със същия период на предходната година</w:t>
      </w:r>
      <w:r w:rsidRPr="004D3E62">
        <w:rPr>
          <w:bCs/>
        </w:rPr>
        <w:t>.</w:t>
      </w:r>
    </w:p>
    <w:p w14:paraId="648E9EEE" w14:textId="77777777" w:rsidR="001F66D5" w:rsidRPr="004D3E62" w:rsidRDefault="001F66D5" w:rsidP="001F66D5">
      <w:pPr>
        <w:pStyle w:val="ListParagraph"/>
        <w:spacing w:line="240" w:lineRule="auto"/>
        <w:ind w:left="0" w:firstLine="0"/>
        <w:rPr>
          <w:rFonts w:ascii="Times New Roman" w:hAnsi="Times New Roman"/>
        </w:rPr>
      </w:pPr>
      <w:r w:rsidRPr="004D3E62">
        <w:rPr>
          <w:rFonts w:ascii="Times New Roman" w:hAnsi="Times New Roman"/>
        </w:rPr>
        <w:t>Отчетеният ръст при тази група данъчни приходи е повлиян в голяма степен от приетия през 2023</w:t>
      </w:r>
      <w:r>
        <w:rPr>
          <w:rFonts w:ascii="Times New Roman" w:hAnsi="Times New Roman"/>
        </w:rPr>
        <w:t> </w:t>
      </w:r>
      <w:r w:rsidRPr="004D3E62">
        <w:rPr>
          <w:rFonts w:ascii="Times New Roman" w:hAnsi="Times New Roman"/>
        </w:rPr>
        <w:t>г. в Кодекса на труда (чл. 244, ал. 2) механизъм, съгласно който минималното трудово възнаграждение за страната за следващата календарна година се определя до 1 септември на текущата година в размер на 50 на сто от средната брутна работна заплата за период от 12 месеца, който включва последните две тримесечия на предходната година и първите две тримесечия на текущата година. В съответствие с новия механизъм от 1 януари 2024 г. минималната работна заплата за страната е увеличена от 780 лв. на 933 лв. или с 19,6 %. Други фактори за нарастване на приходите от ДДФЛ са отчетеният висок номинален ръст на средната работна заплата през 2024 г., както в частния сектор, така и в обществения сектор, в т. ч. увеличението на заплатите в сферата на образованието и на разходите за персонал в бюджетните организации</w:t>
      </w:r>
      <w:r w:rsidRPr="00153C68">
        <w:rPr>
          <w:rFonts w:ascii="Times New Roman" w:hAnsi="Times New Roman"/>
          <w:lang w:val="ru-RU"/>
        </w:rPr>
        <w:t>.</w:t>
      </w:r>
      <w:r w:rsidRPr="004D3E62">
        <w:rPr>
          <w:rFonts w:ascii="Times New Roman" w:hAnsi="Times New Roman"/>
        </w:rPr>
        <w:t xml:space="preserve">  </w:t>
      </w:r>
    </w:p>
    <w:p w14:paraId="4E73F8E9" w14:textId="77777777" w:rsidR="001F66D5" w:rsidRPr="00FD2E10" w:rsidRDefault="001F66D5" w:rsidP="001F66D5">
      <w:pPr>
        <w:spacing w:before="120"/>
        <w:jc w:val="both"/>
      </w:pPr>
      <w:r w:rsidRPr="004D3E62">
        <w:t>Влияние върху приходите от трудови правоотношения в посока намаление от началото  на годината оказва ползването на облекченията за деца по чл. 22в и чл. 22г от ЗДДФЛ чрез подаване</w:t>
      </w:r>
      <w:r w:rsidRPr="00FD2E10">
        <w:t xml:space="preserve"> на декларация по образец при работодателя през месец декември и чрез подаване на годишната данъчна декларация за доходите, придобити през 2023 година. Очаква се авансовото ползване при работодател за придобитите доходи през 2024 г. да окаже въздействие и през следващите отчетни периоди.</w:t>
      </w:r>
    </w:p>
    <w:p w14:paraId="5220E46D" w14:textId="77777777" w:rsidR="001F66D5" w:rsidRPr="00F21EC6" w:rsidRDefault="001F66D5" w:rsidP="001F66D5">
      <w:pPr>
        <w:spacing w:before="120" w:after="120"/>
        <w:jc w:val="both"/>
        <w:rPr>
          <w:color w:val="0070C0"/>
          <w:highlight w:val="cyan"/>
        </w:rPr>
      </w:pPr>
      <w:r w:rsidRPr="003809E3">
        <w:rPr>
          <w:i/>
        </w:rPr>
        <w:t>По извънтрудови правоотношения (свободни професии, граждански договори, еднолични търговци и др.)</w:t>
      </w:r>
      <w:r w:rsidRPr="003809E3">
        <w:t xml:space="preserve"> приходите от данъка </w:t>
      </w:r>
      <w:r w:rsidRPr="003809E3">
        <w:rPr>
          <w:bCs/>
        </w:rPr>
        <w:t>към юни 2024 г.</w:t>
      </w:r>
      <w:r w:rsidRPr="003809E3">
        <w:t xml:space="preserve"> са в размер на 249,1 млн. лв., което е 45,3 % от годишния разчет. За отчетния период на 2024 г. са постъпили с 12,2 млн. лв. по-малко приходи или </w:t>
      </w:r>
      <w:r>
        <w:t>4,7</w:t>
      </w:r>
      <w:r w:rsidRPr="003809E3">
        <w:t xml:space="preserve"> % спад спрямо края на юни 2023 година. </w:t>
      </w:r>
      <w:r w:rsidRPr="00FB414C">
        <w:t>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Върху размера на приходите от тези групи данъци влияе и ползването с подаването на годишните декларации на постановените в ЗДДФЛ данъчни облекчения, от които с най-голям ефект за намаляване на данъчните приходи са облекченията за деца и данъчното облекчение за лица с намалена работоспособност. По-ниският размер на приходите през отчетният период се дължи и на факта, че крайният срок за подаване на годишните данъчни декларации по чл. 50 от ЗДДФЛ за доходи от стопанска дейност като едноличен търговец през 2024 г. e 01.07</w:t>
      </w:r>
      <w:r>
        <w:t>.2024 г. (30.06. е почивен ден)</w:t>
      </w:r>
      <w:r w:rsidRPr="00FB414C">
        <w:t xml:space="preserve"> </w:t>
      </w:r>
      <w:r>
        <w:t xml:space="preserve">и </w:t>
      </w:r>
      <w:r w:rsidRPr="00FB414C">
        <w:t xml:space="preserve">приетите декларации на тази дата и направените вноски </w:t>
      </w:r>
      <w:r w:rsidR="000E32DC">
        <w:t xml:space="preserve">по тях </w:t>
      </w:r>
      <w:r w:rsidRPr="00FB414C">
        <w:t>се отразяват като резултат през месец юли</w:t>
      </w:r>
      <w:r w:rsidRPr="00F21EC6">
        <w:rPr>
          <w:color w:val="0070C0"/>
        </w:rPr>
        <w:t>.</w:t>
      </w:r>
    </w:p>
    <w:p w14:paraId="52E80502" w14:textId="77777777" w:rsidR="001F66D5" w:rsidRPr="00F21EC6" w:rsidRDefault="001F66D5" w:rsidP="001F66D5">
      <w:pPr>
        <w:spacing w:after="120"/>
        <w:jc w:val="both"/>
        <w:rPr>
          <w:color w:val="0070C0"/>
        </w:rPr>
      </w:pPr>
      <w:r w:rsidRPr="00363E86">
        <w:rPr>
          <w:i/>
        </w:rPr>
        <w:t xml:space="preserve">Окончателен данък на местните и чуждестранни физически лица по чл. 37 и 38 от ЗДДФЛ </w:t>
      </w:r>
      <w:r w:rsidRPr="00363E86">
        <w:t xml:space="preserve">и </w:t>
      </w:r>
      <w:r w:rsidRPr="00363E86">
        <w:rPr>
          <w:i/>
        </w:rPr>
        <w:t>данък върху дивидентите и ликвидационните дялове на физически лица</w:t>
      </w:r>
      <w:r w:rsidRPr="00363E86">
        <w:t xml:space="preserve"> - постъпленията от тези данъци към 30.06.2024 г. са в размер на 312,8 млн. лв. или 46,3 % от плана за 2024 година. За отчетния период постъпленията от тази група данъци са с 45,8 млн. лв. повече (17,1 % ръст) спрямо 2023 година. Ръстът на тези приходи се дължи, както на отчетените финансови резултати от нефинансовите предприятия през 2023 г., така и от предприетите законодателни и контролни мерки. Влияние за по-високото изпълнение на приходите от данък върху дивидентите и ликвидационните дялове на местни и чуждестранни физически и юридически лица има предприетата комуникационна кампания и контролни действия от НАП за проверка на касови наличности. Контролните действия са насочени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 наличието на скрито разпределение на печалбата по смисъла на § 1, т. 5 от ДР на ЗКПО. Скритото разпределение на печалбата се третира като дивидент, за който се внася 5 % данък върху разпределените суми. От 1.09.2023 г. в Закона за ограничаване на плащанията е приетата разпоредба плащанията на територията на страната на дивиденти, със стойност равна на или надвишаваща 1000 лв., да се извършват само чрез превод или внасяне по платежна сметка, в резултат на което постъпленията от данъка върху дивидентите нарастват допълнително</w:t>
      </w:r>
      <w:r w:rsidRPr="00F21EC6">
        <w:rPr>
          <w:color w:val="0070C0"/>
        </w:rPr>
        <w:t>.</w:t>
      </w:r>
    </w:p>
    <w:p w14:paraId="2A150EA5" w14:textId="77777777" w:rsidR="001F66D5" w:rsidRPr="000E4170" w:rsidRDefault="001F66D5" w:rsidP="001F66D5">
      <w:pPr>
        <w:numPr>
          <w:ilvl w:val="0"/>
          <w:numId w:val="4"/>
        </w:numPr>
        <w:tabs>
          <w:tab w:val="clear" w:pos="1440"/>
          <w:tab w:val="num" w:pos="540"/>
        </w:tabs>
        <w:ind w:left="0" w:firstLine="180"/>
        <w:jc w:val="both"/>
        <w:rPr>
          <w:b/>
          <w:bCs/>
        </w:rPr>
      </w:pPr>
      <w:r w:rsidRPr="000E4170">
        <w:rPr>
          <w:b/>
          <w:bCs/>
        </w:rPr>
        <w:t>Косвени данъци</w:t>
      </w:r>
    </w:p>
    <w:p w14:paraId="04DF9F85" w14:textId="77777777" w:rsidR="001F66D5" w:rsidRPr="000E4170" w:rsidRDefault="001F66D5" w:rsidP="001F66D5">
      <w:pPr>
        <w:jc w:val="both"/>
        <w:rPr>
          <w:b/>
          <w:bCs/>
          <w:sz w:val="4"/>
          <w:szCs w:val="4"/>
        </w:rPr>
      </w:pPr>
    </w:p>
    <w:p w14:paraId="11F7610D" w14:textId="77777777" w:rsidR="001F66D5" w:rsidRPr="00153C68" w:rsidRDefault="001F66D5" w:rsidP="001F66D5">
      <w:pPr>
        <w:spacing w:after="120"/>
        <w:jc w:val="both"/>
        <w:rPr>
          <w:color w:val="0070C0"/>
          <w:lang w:val="ru-RU"/>
        </w:rPr>
      </w:pPr>
      <w:r w:rsidRPr="000E4170">
        <w:t xml:space="preserve">Приходите от </w:t>
      </w:r>
      <w:r w:rsidRPr="000E4170">
        <w:rPr>
          <w:b/>
        </w:rPr>
        <w:t>косвени данъци</w:t>
      </w:r>
      <w:r w:rsidRPr="000E4170">
        <w:t xml:space="preserve"> </w:t>
      </w:r>
      <w:r w:rsidRPr="000E4170">
        <w:rPr>
          <w:bCs/>
        </w:rPr>
        <w:t>към юни 2024 г.</w:t>
      </w:r>
      <w:r w:rsidRPr="000E4170">
        <w:t xml:space="preserve"> са в размер на</w:t>
      </w:r>
      <w:r w:rsidRPr="000E4170">
        <w:rPr>
          <w:b/>
        </w:rPr>
        <w:t xml:space="preserve"> 11 810,8 млн. лв</w:t>
      </w:r>
      <w:r w:rsidRPr="000E4170">
        <w:t xml:space="preserve">. или 46,3 % от годишния разчет. Сравнени с данните за същия период на предходната година постъпленията </w:t>
      </w:r>
      <w:r w:rsidRPr="000E4170">
        <w:rPr>
          <w:bCs/>
        </w:rPr>
        <w:t>нарастват</w:t>
      </w:r>
      <w:r w:rsidRPr="000E4170">
        <w:t xml:space="preserve"> с 1 356,4 млн. лв. </w:t>
      </w:r>
      <w:r w:rsidRPr="000E4170">
        <w:rPr>
          <w:lang w:val="ru-RU"/>
        </w:rPr>
        <w:t>(</w:t>
      </w:r>
      <w:r w:rsidRPr="000E4170">
        <w:t>13,0 на сто</w:t>
      </w:r>
      <w:r w:rsidRPr="000E4170">
        <w:rPr>
          <w:lang w:val="ru-RU"/>
        </w:rPr>
        <w:t xml:space="preserve">). </w:t>
      </w:r>
    </w:p>
    <w:p w14:paraId="5A52D7E2" w14:textId="77777777" w:rsidR="001F66D5" w:rsidRPr="00F21EC6" w:rsidRDefault="001F66D5" w:rsidP="001F66D5">
      <w:pPr>
        <w:spacing w:after="120"/>
        <w:jc w:val="both"/>
        <w:rPr>
          <w:color w:val="0070C0"/>
        </w:rPr>
      </w:pPr>
      <w:r w:rsidRPr="000E4170">
        <w:rPr>
          <w:b/>
        </w:rPr>
        <w:t>Приходите от ДДС</w:t>
      </w:r>
      <w:r w:rsidRPr="000E4170">
        <w:t xml:space="preserve"> са в размер на </w:t>
      </w:r>
      <w:r w:rsidRPr="000E4170">
        <w:rPr>
          <w:b/>
        </w:rPr>
        <w:t xml:space="preserve">8 428,1 млн. лв., </w:t>
      </w:r>
      <w:r w:rsidRPr="000E4170">
        <w:t xml:space="preserve">което представлява 45,2 % от планираните със ЗДБРБ за 2024 година. Съпоставени с края на юни 2023 г., приходите от ДДС нарастват с 1 004,9 млн. лв. </w:t>
      </w:r>
      <w:r w:rsidRPr="000E4170">
        <w:rPr>
          <w:lang w:val="ru-RU"/>
        </w:rPr>
        <w:t>(</w:t>
      </w:r>
      <w:r w:rsidRPr="000E4170">
        <w:t>13,5 на сто</w:t>
      </w:r>
      <w:r w:rsidRPr="00153C68">
        <w:rPr>
          <w:lang w:val="ru-RU"/>
        </w:rPr>
        <w:t>)</w:t>
      </w:r>
      <w:r w:rsidRPr="000E4170">
        <w:t>.</w:t>
      </w:r>
    </w:p>
    <w:p w14:paraId="3730E0BA" w14:textId="77777777" w:rsidR="001F66D5" w:rsidRPr="00F21EC6" w:rsidRDefault="001F66D5" w:rsidP="001F66D5">
      <w:pPr>
        <w:spacing w:before="120"/>
        <w:ind w:right="-29"/>
        <w:jc w:val="both"/>
        <w:rPr>
          <w:color w:val="0070C0"/>
        </w:rPr>
      </w:pPr>
      <w:r w:rsidRPr="00006A67">
        <w:t xml:space="preserve">Нетният размер на приходите от </w:t>
      </w:r>
      <w:r w:rsidRPr="00006A67">
        <w:rPr>
          <w:i/>
        </w:rPr>
        <w:t>ДДС от внос</w:t>
      </w:r>
      <w:r w:rsidRPr="00006A67">
        <w:t xml:space="preserve"> </w:t>
      </w:r>
      <w:r w:rsidRPr="00006A67">
        <w:rPr>
          <w:bCs/>
        </w:rPr>
        <w:t>към юни 2024 г.</w:t>
      </w:r>
      <w:r w:rsidRPr="00006A67">
        <w:t xml:space="preserve"> е 3 138,8 млн. лв. и се отчита ръст със 7,3 %</w:t>
      </w:r>
      <w:r w:rsidRPr="007A71C9">
        <w:t xml:space="preserve"> (212,4 млн. лв.) спрямо данните към юни на предходната година. </w:t>
      </w:r>
      <w:r w:rsidRPr="007A71C9">
        <w:rPr>
          <w:shd w:val="clear" w:color="auto" w:fill="FFFFFF"/>
        </w:rPr>
        <w:t xml:space="preserve">Разглеждайки декларирания ДДС при внос по групи стоки, съобразно Класификатора на широките икономически категории (BEC), през първото полугодие на 2024 г. спрямо същия период на предходната година се наблюдава спад при групите „Промишлени доставки“, „Инвестиционни стоки“, „Транспортно оборудване“ и „Потребителски стоки“. Повишение се отчита при </w:t>
      </w:r>
      <w:r w:rsidRPr="005E4E89">
        <w:rPr>
          <w:shd w:val="clear" w:color="auto" w:fill="FFFFFF"/>
        </w:rPr>
        <w:t>групите „Горива и смазочни материали“ и „Храни и напитки“</w:t>
      </w:r>
      <w:r w:rsidRPr="005E4E89">
        <w:t xml:space="preserve">. Върху </w:t>
      </w:r>
      <w:r w:rsidRPr="00936D02">
        <w:t xml:space="preserve">постъпленията от ДДС от внос влияние оказва възможността </w:t>
      </w:r>
      <w:r w:rsidRPr="00936D02">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936D02">
        <w:rPr>
          <w:bCs/>
        </w:rPr>
        <w:t xml:space="preserve"> </w:t>
      </w:r>
      <w:r w:rsidRPr="00936D02">
        <w:t xml:space="preserve">Ефектът от прилагането на този режим към края на месец юни 2024 г. </w:t>
      </w:r>
      <w:r w:rsidRPr="00936D02">
        <w:rPr>
          <w:bCs/>
        </w:rPr>
        <w:t>е неначислен ДДС при внос в размер на 759,8 млн. лв., което е със 100,8 млн. лв. повече спрямо същия период на 2023 г. (ръст от 15,3 %). Стоките с най-значителен дял са: руди, шлаки и пепели – 472,9 млн. лв. (увеличение със 113,5 млн. лева, 31,6 % ръст), мед и изделия от мед – 118,5 млн. лева (намаление с 10,9 млн. лева, 8,4 % спад) и чугун, желязо и стомана – 78,2 млн. лева (увеличение с 10,1 млн. лева, 14,8 % ръст). Изброените три групи стоки формират 88,1 % от неначисления ДДС при внос за първите шест месеца на 2024 година</w:t>
      </w:r>
      <w:r w:rsidRPr="00936D02">
        <w:t xml:space="preserve">. </w:t>
      </w:r>
    </w:p>
    <w:p w14:paraId="692A216D" w14:textId="77777777" w:rsidR="001F66D5" w:rsidRPr="00A41477" w:rsidRDefault="001F66D5" w:rsidP="001F66D5">
      <w:pPr>
        <w:spacing w:before="120"/>
        <w:jc w:val="both"/>
        <w:rPr>
          <w:bCs/>
        </w:rPr>
      </w:pPr>
      <w:r w:rsidRPr="00A41477">
        <w:t>Постъпленията от</w:t>
      </w:r>
      <w:r w:rsidRPr="00A41477">
        <w:rPr>
          <w:i/>
        </w:rPr>
        <w:t xml:space="preserve"> ДДС при сделки в страната вътреобщностни придобивания (ВОП) – нето </w:t>
      </w:r>
      <w:r w:rsidRPr="00A41477">
        <w:rPr>
          <w:bCs/>
        </w:rPr>
        <w:t>към юни 2024 г.</w:t>
      </w:r>
      <w:r w:rsidRPr="00A41477">
        <w:t xml:space="preserve"> възлизат на 5 289,2 млн. лв. Сравнени с данните за същия период на предходната година постъпленията </w:t>
      </w:r>
      <w:r w:rsidRPr="00A41477">
        <w:rPr>
          <w:bCs/>
        </w:rPr>
        <w:t xml:space="preserve">нарастват със 17,6 % </w:t>
      </w:r>
      <w:r w:rsidRPr="00A41477">
        <w:rPr>
          <w:bCs/>
          <w:lang w:val="ru-RU"/>
        </w:rPr>
        <w:t>(792,5 млн. лева)</w:t>
      </w:r>
      <w:r w:rsidRPr="00A41477">
        <w:rPr>
          <w:bCs/>
        </w:rPr>
        <w:t xml:space="preserve">. </w:t>
      </w:r>
    </w:p>
    <w:p w14:paraId="105134FB" w14:textId="77777777" w:rsidR="001F66D5" w:rsidRPr="00B656EF" w:rsidRDefault="001F66D5" w:rsidP="001F66D5">
      <w:pPr>
        <w:spacing w:before="120"/>
        <w:jc w:val="both"/>
        <w:rPr>
          <w:bCs/>
        </w:rPr>
      </w:pPr>
      <w:r w:rsidRPr="00DE2261">
        <w:rPr>
          <w:i/>
        </w:rPr>
        <w:t>Ефективно внесеният ДДС</w:t>
      </w:r>
      <w:r w:rsidRPr="00DE2261">
        <w:t xml:space="preserve"> по сметките на Националната агенция за приходите</w:t>
      </w:r>
      <w:r w:rsidRPr="00DE2261">
        <w:rPr>
          <w:i/>
        </w:rPr>
        <w:t xml:space="preserve"> </w:t>
      </w:r>
      <w:r w:rsidRPr="00DE2261">
        <w:t>се</w:t>
      </w:r>
      <w:r w:rsidRPr="00DE2261">
        <w:rPr>
          <w:i/>
        </w:rPr>
        <w:t xml:space="preserve"> </w:t>
      </w:r>
      <w:r w:rsidRPr="00DE2261">
        <w:t>формира от данък по справки-декларации от сделки в страната и ВОП и допълнително внесени суми, разкрити с данъчно-ревизионни актове при ревизии. Тези постъпления са в размер на 10 655,3 млн. лв., което представлява ръст от 6,4 % спрямо юни 2023 година. От тях от ревизионни актове са постъпили 110,3 млн. лв. или със 76,7 млн. лв. по-малко от миналата година</w:t>
      </w:r>
      <w:r w:rsidRPr="003424AB">
        <w:t xml:space="preserve">. Декларираният ДДС за възстановяване зависи от размера на износа и извършените инвестиции. Регистрираните лица по ДДС упражняват право на данъчен кредит чрез приспадане по реда на чл. 92, ал. 1 от ЗДДС или чрез ефективно възстановяване от данъчната администрация след определения срок. Приспаднатият данък към юни 2024 г. е 452,9 млн. лв. и е с 85,4 млн. лв. по-малко от 2023 година (15,9 % спад). От началото на годината възстановеният данък е в размер на 5 366,1 млн. лв., което е със 147,3 млн. лв. под възстановените суми към юни миналата година. Дължимите суми, подлежащи на </w:t>
      </w:r>
      <w:r w:rsidRPr="00B656EF">
        <w:t>възстановяване</w:t>
      </w:r>
      <w:r w:rsidRPr="00B656EF" w:rsidDel="0052072D">
        <w:rPr>
          <w:bCs/>
        </w:rPr>
        <w:t xml:space="preserve"> </w:t>
      </w:r>
      <w:r w:rsidRPr="00B656EF">
        <w:rPr>
          <w:bCs/>
        </w:rPr>
        <w:t>към 30.06.2024 г. са в размер на 55,1 млн. лева.</w:t>
      </w:r>
    </w:p>
    <w:p w14:paraId="166A479E" w14:textId="77777777" w:rsidR="001F66D5" w:rsidRPr="00F21EC6" w:rsidRDefault="001F66D5" w:rsidP="001F66D5">
      <w:pPr>
        <w:spacing w:before="120" w:after="120"/>
        <w:jc w:val="both"/>
        <w:rPr>
          <w:color w:val="0070C0"/>
        </w:rPr>
      </w:pPr>
      <w:r w:rsidRPr="00B656EF">
        <w:rPr>
          <w:b/>
        </w:rPr>
        <w:t xml:space="preserve">Приходите от акцизи (нето) </w:t>
      </w:r>
      <w:r w:rsidRPr="00B656EF">
        <w:t xml:space="preserve">от внос, вътрешно производство и въведени в страната от други държави-членки на ЕС акцизни стоки са в размер на </w:t>
      </w:r>
      <w:r w:rsidRPr="00B656EF">
        <w:rPr>
          <w:b/>
        </w:rPr>
        <w:t>3 210,9 млн. лв</w:t>
      </w:r>
      <w:r w:rsidRPr="00B656EF">
        <w:t xml:space="preserve">., което е 49,8 % от планираните със ЗДБРБ за 2024 г. Съпоставени с юни 2023 г. постъпленията от акцизи нарастват </w:t>
      </w:r>
      <w:r w:rsidRPr="00A61F3B">
        <w:t>номинално с 373,2 млн. лв. (13,2 %)</w:t>
      </w:r>
      <w:r w:rsidR="00452DA6" w:rsidRPr="00A61F3B">
        <w:t>, главно поради увеличените акцизни ставки от 1 януари 2024</w:t>
      </w:r>
      <w:r w:rsidR="00452DA6" w:rsidRPr="00452DA6">
        <w:t xml:space="preserve"> година</w:t>
      </w:r>
      <w:r w:rsidRPr="00B656EF">
        <w:t>.</w:t>
      </w:r>
    </w:p>
    <w:p w14:paraId="064A485A" w14:textId="77777777" w:rsidR="001F66D5" w:rsidRPr="00C20E68" w:rsidRDefault="001F66D5" w:rsidP="001F66D5">
      <w:pPr>
        <w:spacing w:before="120" w:after="120"/>
        <w:jc w:val="both"/>
      </w:pPr>
      <w:r w:rsidRPr="00C20E68">
        <w:t>Относителният дял на нетните постъпления от акциз по стокови групи е от: тютюн и тютюневи изделия (55,3 %); горива (39,0 %); алкохол и алкохолни напитки, вкл. бира (5,0 %) и други акцизни стоки (0,7 %). Постъпленията от акциз към юни 2024 г. по основни стокови групи, са както следва:</w:t>
      </w:r>
    </w:p>
    <w:p w14:paraId="6AC650E7" w14:textId="77777777" w:rsidR="001F66D5" w:rsidRPr="00912BE0" w:rsidRDefault="001F66D5" w:rsidP="001F66D5">
      <w:pPr>
        <w:numPr>
          <w:ilvl w:val="0"/>
          <w:numId w:val="16"/>
        </w:numPr>
        <w:ind w:firstLine="66"/>
        <w:jc w:val="both"/>
        <w:rPr>
          <w:i/>
        </w:rPr>
      </w:pPr>
      <w:r w:rsidRPr="00912BE0">
        <w:rPr>
          <w:i/>
        </w:rPr>
        <w:t xml:space="preserve">акцизите от тютюн и тютюневи изделия </w:t>
      </w:r>
      <w:r w:rsidRPr="00912BE0">
        <w:t>възлизат на 1 776,9 млн. лева</w:t>
      </w:r>
      <w:r w:rsidRPr="00912BE0">
        <w:rPr>
          <w:i/>
        </w:rPr>
        <w:t xml:space="preserve">; </w:t>
      </w:r>
    </w:p>
    <w:p w14:paraId="551A8E33" w14:textId="77777777" w:rsidR="001F66D5" w:rsidRPr="00912BE0" w:rsidRDefault="001F66D5" w:rsidP="001F66D5">
      <w:pPr>
        <w:numPr>
          <w:ilvl w:val="0"/>
          <w:numId w:val="16"/>
        </w:numPr>
        <w:ind w:firstLine="66"/>
        <w:jc w:val="both"/>
      </w:pPr>
      <w:r w:rsidRPr="00912BE0">
        <w:rPr>
          <w:i/>
        </w:rPr>
        <w:t>акцизите от горива</w:t>
      </w:r>
      <w:r w:rsidRPr="00912BE0">
        <w:t xml:space="preserve"> са в размер на 1 251,7 млн. лева; </w:t>
      </w:r>
    </w:p>
    <w:p w14:paraId="76CE2419" w14:textId="77777777" w:rsidR="001F66D5" w:rsidRPr="00912BE0" w:rsidRDefault="001F66D5" w:rsidP="001F66D5">
      <w:pPr>
        <w:numPr>
          <w:ilvl w:val="0"/>
          <w:numId w:val="16"/>
        </w:numPr>
        <w:ind w:firstLine="66"/>
        <w:jc w:val="both"/>
      </w:pPr>
      <w:r w:rsidRPr="00912BE0">
        <w:rPr>
          <w:i/>
        </w:rPr>
        <w:t xml:space="preserve">акцизите от алкохол и алкохолни напитки (вкл. бира) </w:t>
      </w:r>
      <w:r w:rsidRPr="00912BE0">
        <w:t xml:space="preserve">възлизат на 160,9 млн. лева; </w:t>
      </w:r>
    </w:p>
    <w:p w14:paraId="5D4BD0A9" w14:textId="77777777" w:rsidR="001F66D5" w:rsidRPr="00912BE0" w:rsidRDefault="001F66D5" w:rsidP="001F66D5">
      <w:pPr>
        <w:numPr>
          <w:ilvl w:val="0"/>
          <w:numId w:val="16"/>
        </w:numPr>
        <w:ind w:firstLine="66"/>
        <w:jc w:val="both"/>
      </w:pPr>
      <w:r w:rsidRPr="00912BE0">
        <w:rPr>
          <w:i/>
        </w:rPr>
        <w:t xml:space="preserve">приходите от ел. енергия и др. акцизни стоки </w:t>
      </w:r>
      <w:r w:rsidRPr="00912BE0">
        <w:t>възлизат на 21,4 млн. лева.</w:t>
      </w:r>
    </w:p>
    <w:p w14:paraId="4090CDB8" w14:textId="77777777" w:rsidR="001F66D5" w:rsidRPr="00F21EC6" w:rsidRDefault="001F66D5" w:rsidP="001F66D5">
      <w:pPr>
        <w:ind w:left="360"/>
        <w:jc w:val="both"/>
        <w:rPr>
          <w:color w:val="0070C0"/>
          <w:sz w:val="8"/>
          <w:szCs w:val="8"/>
        </w:rPr>
      </w:pPr>
    </w:p>
    <w:p w14:paraId="0E30DC05" w14:textId="77777777" w:rsidR="001F66D5" w:rsidRPr="00F21EC6" w:rsidRDefault="001F66D5" w:rsidP="001F66D5">
      <w:pPr>
        <w:ind w:left="360"/>
        <w:jc w:val="both"/>
        <w:rPr>
          <w:color w:val="0070C0"/>
          <w:sz w:val="8"/>
          <w:szCs w:val="8"/>
        </w:rPr>
      </w:pPr>
    </w:p>
    <w:p w14:paraId="03756CEF" w14:textId="77777777" w:rsidR="001F66D5" w:rsidRPr="00F21EC6" w:rsidRDefault="001F66D5" w:rsidP="001F66D5">
      <w:pPr>
        <w:ind w:left="360"/>
        <w:jc w:val="both"/>
        <w:rPr>
          <w:color w:val="0070C0"/>
          <w:sz w:val="8"/>
          <w:szCs w:val="8"/>
        </w:rPr>
      </w:pPr>
    </w:p>
    <w:p w14:paraId="4AE0BA61" w14:textId="77777777" w:rsidR="001F66D5" w:rsidRPr="00153C68" w:rsidRDefault="001F66D5" w:rsidP="001F66D5">
      <w:pPr>
        <w:spacing w:after="120"/>
        <w:jc w:val="both"/>
        <w:rPr>
          <w:color w:val="0070C0"/>
          <w:lang w:val="ru-RU"/>
        </w:rPr>
      </w:pPr>
      <w:r w:rsidRPr="00EB3361">
        <w:rPr>
          <w:b/>
        </w:rPr>
        <w:t>Приходите от данък върху застрахователните премии</w:t>
      </w:r>
      <w:r w:rsidRPr="00EB3361">
        <w:t xml:space="preserve"> са в размер на </w:t>
      </w:r>
      <w:r w:rsidRPr="00EB3361">
        <w:rPr>
          <w:b/>
        </w:rPr>
        <w:t>31,8 млн. лв</w:t>
      </w:r>
      <w:r w:rsidRPr="00EB3361">
        <w:t>., при планирани за годината 63,0 млн. лева. Изпълнението на приходите от данъка върху застрахователните премии по облагаеми застрахователни договори, рисковете по които са поети от застрахователи, зависят основно от ръста или спада на записаните застрахователни премии. В сравнение със същия период на 2023 г. приходите отчитат ръст от 4,2 млн. лв. (15,3 на сто).</w:t>
      </w:r>
    </w:p>
    <w:p w14:paraId="2A5B05DD" w14:textId="77777777" w:rsidR="001F66D5" w:rsidRPr="00F21EC6" w:rsidRDefault="001F66D5" w:rsidP="001F66D5">
      <w:pPr>
        <w:autoSpaceDE w:val="0"/>
        <w:autoSpaceDN w:val="0"/>
        <w:adjustRightInd w:val="0"/>
        <w:spacing w:after="120"/>
        <w:jc w:val="both"/>
        <w:rPr>
          <w:rFonts w:eastAsia="Batang"/>
          <w:bCs/>
          <w:color w:val="0070C0"/>
          <w:highlight w:val="cyan"/>
        </w:rPr>
      </w:pPr>
      <w:r w:rsidRPr="00A2268D">
        <w:rPr>
          <w:b/>
        </w:rPr>
        <w:t>Постъпленията от</w:t>
      </w:r>
      <w:r w:rsidRPr="00A2268D">
        <w:t xml:space="preserve"> </w:t>
      </w:r>
      <w:r w:rsidRPr="00A2268D">
        <w:rPr>
          <w:b/>
          <w:bCs/>
        </w:rPr>
        <w:t xml:space="preserve">мита </w:t>
      </w:r>
      <w:r w:rsidRPr="00A2268D">
        <w:t xml:space="preserve">възлизат на </w:t>
      </w:r>
      <w:r w:rsidRPr="00A2268D">
        <w:rPr>
          <w:b/>
        </w:rPr>
        <w:t>140,2 млн. лв</w:t>
      </w:r>
      <w:r w:rsidRPr="00A2268D">
        <w:t>. или 37,9 % от планираните със ЗДБРБ за 2024</w:t>
      </w:r>
      <w:r>
        <w:t> </w:t>
      </w:r>
      <w:r w:rsidRPr="00A2268D">
        <w:t>г., като заемат 0</w:t>
      </w:r>
      <w:r w:rsidRPr="002F7D2F">
        <w:t>,8 % относителен дял в общия размер на данъчните приходи по държавния бюджет. Събраните приходи от мита към месец юни са с 25,9 млн. лв. (1</w:t>
      </w:r>
      <w:r>
        <w:t>5</w:t>
      </w:r>
      <w:r w:rsidRPr="002F7D2F">
        <w:t>,6 %) по-малко спр</w:t>
      </w:r>
      <w:r w:rsidRPr="00A06D48">
        <w:t>ямо същия период на 2023 година. Влияние върху спада в приходите от мита оказват нарушените вериги на доставки в резултат на събитията в Червено море, както и въведените от ЕС ограничителни мерки спрямо Русия в съответствие с Регламент (ЕС) №</w:t>
      </w:r>
      <w:r>
        <w:t> </w:t>
      </w:r>
      <w:r w:rsidRPr="00A06D48">
        <w:t>833/2014  и неговите последващи изменения и допълнения. Друг фактор върху намалените постъпления от мита има удължения с Регламент (ЕС) 2023/1077  на ЕП и Съвета от 30 юни 2023 година преференциален режим спрямо Украйна под формата на пълно премахване на вносните мита върху вноса на промишлени продукти от страната, спиране на прилагането на механизма на „входните цени“ по отношение на плодовете и зеленчуците, спиране на прилагането на тарифните квоти и пълно премахване на вносните мита, и други.</w:t>
      </w:r>
    </w:p>
    <w:p w14:paraId="00FCB4F9" w14:textId="77777777" w:rsidR="001F66D5" w:rsidRPr="00F21EC6" w:rsidRDefault="001F66D5" w:rsidP="001F66D5">
      <w:pPr>
        <w:tabs>
          <w:tab w:val="right" w:pos="9072"/>
        </w:tabs>
        <w:spacing w:before="120" w:after="240"/>
        <w:contextualSpacing/>
        <w:jc w:val="both"/>
        <w:rPr>
          <w:color w:val="0070C0"/>
        </w:rPr>
      </w:pPr>
      <w:r w:rsidRPr="002624DE">
        <w:t xml:space="preserve">При </w:t>
      </w:r>
      <w:r>
        <w:t xml:space="preserve">два от </w:t>
      </w:r>
      <w:r w:rsidRPr="00831F6C">
        <w:t>показатели</w:t>
      </w:r>
      <w:r>
        <w:t>те</w:t>
      </w:r>
      <w:r w:rsidRPr="002624DE">
        <w:t>, които се използват за оценка на динамиката на приходите от мита при внесените стоки, обложени със ставка на митото, различна от „0“ се отбелязва спад през първи</w:t>
      </w:r>
      <w:r>
        <w:t>те шест месеца</w:t>
      </w:r>
      <w:r w:rsidRPr="002624DE">
        <w:t xml:space="preserve"> на 2024 г. спрямо същия период на предходната година. Намалените приходи от мита са в резултат от </w:t>
      </w:r>
      <w:r w:rsidRPr="002624DE">
        <w:rPr>
          <w:i/>
        </w:rPr>
        <w:t>спада на количествата</w:t>
      </w:r>
      <w:r w:rsidRPr="002624DE">
        <w:t xml:space="preserve"> на внесените стоки, обложени със ставка на митото, различна от „0“ с </w:t>
      </w:r>
      <w:r w:rsidRPr="001A4F02">
        <w:t>22</w:t>
      </w:r>
      <w:r>
        <w:t>,</w:t>
      </w:r>
      <w:r w:rsidRPr="001A4F02">
        <w:t>3</w:t>
      </w:r>
      <w:r>
        <w:t xml:space="preserve"> </w:t>
      </w:r>
      <w:r w:rsidRPr="002624DE">
        <w:t>%</w:t>
      </w:r>
      <w:r>
        <w:t xml:space="preserve"> и</w:t>
      </w:r>
      <w:r w:rsidRPr="002624DE">
        <w:t xml:space="preserve"> </w:t>
      </w:r>
      <w:r>
        <w:t>от спада на</w:t>
      </w:r>
      <w:r w:rsidRPr="00F11493">
        <w:t xml:space="preserve"> </w:t>
      </w:r>
      <w:r w:rsidRPr="00CA66EF">
        <w:rPr>
          <w:i/>
          <w:color w:val="000000"/>
        </w:rPr>
        <w:t>осреднената ставка</w:t>
      </w:r>
      <w:r>
        <w:rPr>
          <w:i/>
          <w:color w:val="000000"/>
        </w:rPr>
        <w:t xml:space="preserve"> на митото</w:t>
      </w:r>
      <w:r w:rsidRPr="00F11493">
        <w:t xml:space="preserve">, приложена за облагане на </w:t>
      </w:r>
      <w:r w:rsidRPr="00FD1BA4">
        <w:rPr>
          <w:color w:val="000000"/>
        </w:rPr>
        <w:t>внесените от трети страни стоки</w:t>
      </w:r>
      <w:r>
        <w:rPr>
          <w:color w:val="000000"/>
        </w:rPr>
        <w:t xml:space="preserve"> </w:t>
      </w:r>
      <w:r>
        <w:t xml:space="preserve">от </w:t>
      </w:r>
      <w:r w:rsidRPr="00B65BE9">
        <w:t>3</w:t>
      </w:r>
      <w:r>
        <w:t>,1 % на годишна база. При</w:t>
      </w:r>
      <w:r w:rsidRPr="002624DE">
        <w:t xml:space="preserve"> </w:t>
      </w:r>
      <w:r w:rsidRPr="002624DE">
        <w:rPr>
          <w:i/>
        </w:rPr>
        <w:t>осреднената статистическа стойност за килограм</w:t>
      </w:r>
      <w:r w:rsidRPr="002624DE">
        <w:t xml:space="preserve"> внесена стока </w:t>
      </w:r>
      <w:r>
        <w:t>се отчита ръст от</w:t>
      </w:r>
      <w:r w:rsidRPr="002624DE">
        <w:t xml:space="preserve"> </w:t>
      </w:r>
      <w:r>
        <w:t xml:space="preserve">11,7 </w:t>
      </w:r>
      <w:r w:rsidRPr="002624DE">
        <w:t xml:space="preserve">% </w:t>
      </w:r>
      <w:r>
        <w:t>спрямо същия период на предната година</w:t>
      </w:r>
      <w:r w:rsidRPr="00F21EC6">
        <w:rPr>
          <w:color w:val="0070C0"/>
        </w:rPr>
        <w:t>.</w:t>
      </w:r>
    </w:p>
    <w:p w14:paraId="79B76515" w14:textId="77777777" w:rsidR="001F66D5" w:rsidRPr="00F21EC6" w:rsidRDefault="001F66D5" w:rsidP="001F66D5">
      <w:pPr>
        <w:spacing w:after="240"/>
        <w:jc w:val="both"/>
        <w:rPr>
          <w:color w:val="0070C0"/>
        </w:rPr>
      </w:pPr>
      <w:r w:rsidRPr="00D84388">
        <w:t xml:space="preserve">В зависимост от произхода на внасяните стоки, през месец </w:t>
      </w:r>
      <w:r>
        <w:t>юни</w:t>
      </w:r>
      <w:r w:rsidRPr="00D84388">
        <w:t xml:space="preserve"> 2024 г. най-голям е делът на начислените приходи от мита при внос на стоки от Китай. Декларираната сума е </w:t>
      </w:r>
      <w:r>
        <w:t xml:space="preserve">70,6 </w:t>
      </w:r>
      <w:r w:rsidRPr="00C76647">
        <w:t xml:space="preserve"> </w:t>
      </w:r>
      <w:r w:rsidRPr="00D84388">
        <w:t xml:space="preserve">млн. лева, което представлява </w:t>
      </w:r>
      <w:r>
        <w:t>51,5</w:t>
      </w:r>
      <w:r w:rsidRPr="00D84388">
        <w:t xml:space="preserve"> % от всички начислени мита, като спрямо </w:t>
      </w:r>
      <w:r>
        <w:t>юни</w:t>
      </w:r>
      <w:r w:rsidRPr="00D84388">
        <w:t xml:space="preserve"> 2023 г. е отчетен спад от</w:t>
      </w:r>
      <w:r w:rsidRPr="00D84388" w:rsidDel="00925E69">
        <w:t xml:space="preserve"> </w:t>
      </w:r>
      <w:r>
        <w:t>22,0</w:t>
      </w:r>
      <w:r w:rsidRPr="00D84388">
        <w:t xml:space="preserve"> %</w:t>
      </w:r>
      <w:r w:rsidRPr="00F21EC6">
        <w:rPr>
          <w:color w:val="0070C0"/>
        </w:rPr>
        <w:t xml:space="preserve">. </w:t>
      </w:r>
    </w:p>
    <w:p w14:paraId="0BADD26A" w14:textId="77777777" w:rsidR="001F66D5" w:rsidRPr="002C1FBE" w:rsidRDefault="001F66D5" w:rsidP="001F66D5">
      <w:pPr>
        <w:numPr>
          <w:ilvl w:val="0"/>
          <w:numId w:val="4"/>
        </w:numPr>
        <w:tabs>
          <w:tab w:val="clear" w:pos="1440"/>
          <w:tab w:val="num" w:pos="540"/>
        </w:tabs>
        <w:ind w:left="0" w:firstLine="181"/>
        <w:jc w:val="both"/>
        <w:rPr>
          <w:b/>
          <w:bCs/>
        </w:rPr>
      </w:pPr>
      <w:r w:rsidRPr="002C1FBE">
        <w:rPr>
          <w:b/>
          <w:bCs/>
        </w:rPr>
        <w:t>Други данъци</w:t>
      </w:r>
    </w:p>
    <w:p w14:paraId="266DEE39" w14:textId="77777777" w:rsidR="001F66D5" w:rsidRPr="00F21EC6" w:rsidRDefault="001F66D5" w:rsidP="001F66D5">
      <w:pPr>
        <w:spacing w:after="120"/>
        <w:jc w:val="both"/>
        <w:rPr>
          <w:color w:val="0070C0"/>
        </w:rPr>
      </w:pPr>
      <w:r w:rsidRPr="00030B61">
        <w:t xml:space="preserve">Постъпленията от </w:t>
      </w:r>
      <w:r w:rsidRPr="00030B61">
        <w:rPr>
          <w:b/>
        </w:rPr>
        <w:t>други данъци</w:t>
      </w:r>
      <w:r w:rsidRPr="00030B61">
        <w:t xml:space="preserve"> по държавния бюджет </w:t>
      </w:r>
      <w:r w:rsidRPr="00030B61">
        <w:rPr>
          <w:bCs/>
        </w:rPr>
        <w:t>към края на юни 2024</w:t>
      </w:r>
      <w:r w:rsidRPr="00030B61">
        <w:t xml:space="preserve"> г. са в размер на </w:t>
      </w:r>
      <w:r w:rsidRPr="00030B61">
        <w:rPr>
          <w:b/>
        </w:rPr>
        <w:t>132,5 млн. лв.</w:t>
      </w:r>
      <w:r w:rsidRPr="00030B61">
        <w:rPr>
          <w:bCs/>
        </w:rPr>
        <w:t xml:space="preserve"> или 47,8 % от планираните със ЗДБРБ за 2024 г. Съпоставени с данните към юни 2023 г. приходите от други данъци са с 85,3 млн. лв. по-малко</w:t>
      </w:r>
      <w:r w:rsidRPr="00030B61">
        <w:rPr>
          <w:bCs/>
          <w:lang w:val="ru-RU"/>
        </w:rPr>
        <w:t>.</w:t>
      </w:r>
      <w:r w:rsidRPr="00030B61">
        <w:rPr>
          <w:bCs/>
        </w:rPr>
        <w:t xml:space="preserve"> Въведената мярка „временна солидарна вноска и енергийни вноски“ по Регламент (ЕС) 2022/1854 на Съвета от 6 октомври 2022</w:t>
      </w:r>
      <w:r>
        <w:rPr>
          <w:bCs/>
        </w:rPr>
        <w:t> </w:t>
      </w:r>
      <w:r w:rsidRPr="00030B61">
        <w:rPr>
          <w:bCs/>
        </w:rPr>
        <w:t>г. относно спешна намеса за справяне с високите цени на енергията с действие от 1 октомври 2022 година е с изтекъл срок на действие и не се прилага през 2024 година</w:t>
      </w:r>
      <w:r w:rsidRPr="00030B61">
        <w:t>.</w:t>
      </w:r>
    </w:p>
    <w:p w14:paraId="6258BFA5" w14:textId="77777777" w:rsidR="001F66D5" w:rsidRPr="00282870" w:rsidRDefault="001F66D5" w:rsidP="001F66D5">
      <w:pPr>
        <w:numPr>
          <w:ilvl w:val="0"/>
          <w:numId w:val="3"/>
        </w:numPr>
        <w:tabs>
          <w:tab w:val="num" w:pos="720"/>
        </w:tabs>
        <w:ind w:left="0" w:firstLine="181"/>
        <w:jc w:val="both"/>
      </w:pPr>
      <w:r w:rsidRPr="00282870">
        <w:rPr>
          <w:b/>
          <w:bCs/>
        </w:rPr>
        <w:t>Неданъчни приходи</w:t>
      </w:r>
    </w:p>
    <w:p w14:paraId="01BD0CF7" w14:textId="77777777" w:rsidR="001F66D5" w:rsidRPr="00F21EC6" w:rsidRDefault="00FA3DDE" w:rsidP="001F66D5">
      <w:pPr>
        <w:tabs>
          <w:tab w:val="left" w:pos="900"/>
        </w:tabs>
        <w:spacing w:after="120"/>
        <w:jc w:val="both"/>
        <w:rPr>
          <w:color w:val="0070C0"/>
        </w:rPr>
      </w:pPr>
      <w:r w:rsidRPr="00282870">
        <w:t>Отчетените</w:t>
      </w:r>
      <w:r w:rsidRPr="00282870">
        <w:rPr>
          <w:b/>
          <w:bCs/>
        </w:rPr>
        <w:t xml:space="preserve"> неданъчни приходи</w:t>
      </w:r>
      <w:r w:rsidRPr="00282870">
        <w:t xml:space="preserve"> по държавния бюджет </w:t>
      </w:r>
      <w:r w:rsidRPr="00282870">
        <w:rPr>
          <w:bCs/>
        </w:rPr>
        <w:t>към юни 2024 г.</w:t>
      </w:r>
      <w:r w:rsidRPr="00282870">
        <w:t xml:space="preserve"> са в размер на </w:t>
      </w:r>
      <w:r w:rsidRPr="00282870">
        <w:rPr>
          <w:b/>
        </w:rPr>
        <w:t>2 961,0 млн. лв</w:t>
      </w:r>
      <w:r w:rsidRPr="00282870">
        <w:t xml:space="preserve">. и се формират основно от приходи от държавни такси, приходи и доходи от собственост, вкл. приходи от дивидент за държавата от държавните предприятия, приходи от </w:t>
      </w:r>
      <w:r w:rsidRPr="00104703">
        <w:t>концесии и други неданъчни приходи.</w:t>
      </w:r>
      <w:r w:rsidRPr="00153C68">
        <w:rPr>
          <w:lang w:val="ru-RU"/>
        </w:rPr>
        <w:t xml:space="preserve"> </w:t>
      </w:r>
      <w:r w:rsidRPr="00104703">
        <w:t xml:space="preserve">Сравнени със същия период на предходната година неданъчните приходи нарастват с 226,5 млн. лв. </w:t>
      </w:r>
      <w:r w:rsidRPr="00153C68">
        <w:rPr>
          <w:lang w:val="ru-RU"/>
        </w:rPr>
        <w:t>(</w:t>
      </w:r>
      <w:r>
        <w:t>основно поради постъпилите през месец април</w:t>
      </w:r>
      <w:r w:rsidRPr="00104703">
        <w:t xml:space="preserve"> </w:t>
      </w:r>
      <w:r w:rsidRPr="00104703">
        <w:rPr>
          <w:rFonts w:eastAsia="Calibri"/>
        </w:rPr>
        <w:t>660 млн. лв.</w:t>
      </w:r>
      <w:r w:rsidRPr="00153C68">
        <w:rPr>
          <w:rFonts w:eastAsia="Calibri"/>
          <w:lang w:val="ru-RU"/>
        </w:rPr>
        <w:t xml:space="preserve"> </w:t>
      </w:r>
      <w:r w:rsidRPr="00104703">
        <w:rPr>
          <w:rFonts w:eastAsia="Calibri"/>
        </w:rPr>
        <w:t>от вноската от Българска народна банка, която се формира от превишението на приходите над разходите за 2023 година</w:t>
      </w:r>
      <w:r w:rsidRPr="00153C68">
        <w:rPr>
          <w:rFonts w:eastAsia="Calibri"/>
          <w:lang w:val="ru-RU"/>
        </w:rPr>
        <w:t>)</w:t>
      </w:r>
      <w:r w:rsidR="001F66D5" w:rsidRPr="00104703">
        <w:rPr>
          <w:rFonts w:eastAsia="Calibri"/>
        </w:rPr>
        <w:t>.</w:t>
      </w:r>
    </w:p>
    <w:p w14:paraId="4CA7020C" w14:textId="77777777" w:rsidR="001F66D5" w:rsidRPr="008B4860" w:rsidRDefault="001F66D5" w:rsidP="001F66D5">
      <w:pPr>
        <w:numPr>
          <w:ilvl w:val="0"/>
          <w:numId w:val="3"/>
        </w:numPr>
        <w:tabs>
          <w:tab w:val="num" w:pos="720"/>
        </w:tabs>
        <w:ind w:left="0" w:firstLine="181"/>
        <w:jc w:val="both"/>
        <w:rPr>
          <w:b/>
          <w:bCs/>
        </w:rPr>
      </w:pPr>
      <w:r w:rsidRPr="008B4860">
        <w:rPr>
          <w:b/>
          <w:bCs/>
        </w:rPr>
        <w:t>Помощи и дарения</w:t>
      </w:r>
    </w:p>
    <w:p w14:paraId="3E06678B" w14:textId="77777777" w:rsidR="001F66D5" w:rsidRPr="008B4860" w:rsidRDefault="001F66D5" w:rsidP="000A5397">
      <w:pPr>
        <w:spacing w:after="120"/>
        <w:jc w:val="both"/>
        <w:rPr>
          <w:b/>
        </w:rPr>
      </w:pPr>
      <w:r w:rsidRPr="008B4860">
        <w:t xml:space="preserve">Постъпилите </w:t>
      </w:r>
      <w:r w:rsidRPr="008B4860">
        <w:rPr>
          <w:b/>
        </w:rPr>
        <w:t>помощи</w:t>
      </w:r>
      <w:r w:rsidRPr="008B4860">
        <w:t xml:space="preserve"> </w:t>
      </w:r>
      <w:r w:rsidRPr="008B4860">
        <w:rPr>
          <w:b/>
        </w:rPr>
        <w:t>и дарения</w:t>
      </w:r>
      <w:r w:rsidRPr="008B4860">
        <w:t xml:space="preserve"> по държавния бюджет към юни 2024 г. са в размер на </w:t>
      </w:r>
      <w:r w:rsidRPr="00153C68">
        <w:rPr>
          <w:b/>
          <w:lang w:val="ru-RU"/>
        </w:rPr>
        <w:t>60</w:t>
      </w:r>
      <w:r w:rsidRPr="008B4860">
        <w:rPr>
          <w:b/>
        </w:rPr>
        <w:t>,3 млн. лева.</w:t>
      </w:r>
    </w:p>
    <w:p w14:paraId="16BF2088" w14:textId="77777777" w:rsidR="001F66D5" w:rsidRPr="00326D7C" w:rsidRDefault="001F66D5" w:rsidP="001F66D5">
      <w:pPr>
        <w:numPr>
          <w:ilvl w:val="0"/>
          <w:numId w:val="6"/>
        </w:numPr>
        <w:tabs>
          <w:tab w:val="clear" w:pos="7650"/>
          <w:tab w:val="num" w:pos="426"/>
        </w:tabs>
        <w:spacing w:before="240"/>
        <w:ind w:left="0" w:firstLine="0"/>
        <w:jc w:val="both"/>
        <w:rPr>
          <w:b/>
          <w:bCs/>
        </w:rPr>
      </w:pPr>
      <w:r w:rsidRPr="00326D7C">
        <w:rPr>
          <w:b/>
          <w:bCs/>
        </w:rPr>
        <w:t>Разходи по държавния бюджет</w:t>
      </w:r>
    </w:p>
    <w:p w14:paraId="3D4FBD80" w14:textId="77777777" w:rsidR="001F66D5" w:rsidRPr="00793C4E" w:rsidRDefault="001F66D5" w:rsidP="001F66D5">
      <w:pPr>
        <w:jc w:val="both"/>
        <w:rPr>
          <w:b/>
          <w:bCs/>
          <w:color w:val="0070C0"/>
          <w:sz w:val="4"/>
          <w:szCs w:val="4"/>
        </w:rPr>
      </w:pPr>
    </w:p>
    <w:p w14:paraId="3725A4E7" w14:textId="77777777" w:rsidR="001F66D5" w:rsidRPr="00F21EC6" w:rsidRDefault="001F66D5" w:rsidP="001F66D5">
      <w:pPr>
        <w:pStyle w:val="BodyTextIndent"/>
        <w:spacing w:after="0"/>
        <w:ind w:left="0"/>
        <w:jc w:val="both"/>
        <w:rPr>
          <w:color w:val="0070C0"/>
        </w:rPr>
      </w:pPr>
      <w:r w:rsidRPr="00750634">
        <w:t xml:space="preserve">Общият размер на </w:t>
      </w:r>
      <w:r w:rsidRPr="00750634">
        <w:rPr>
          <w:b/>
        </w:rPr>
        <w:t>разходите по държавния бюджет</w:t>
      </w:r>
      <w:r w:rsidRPr="00750634">
        <w:t xml:space="preserve"> </w:t>
      </w:r>
      <w:r w:rsidRPr="00750634">
        <w:rPr>
          <w:lang w:val="ru-RU"/>
        </w:rPr>
        <w:t xml:space="preserve">(вкл. трансферите за др. бюджети и </w:t>
      </w:r>
      <w:r w:rsidRPr="00812AC2">
        <w:rPr>
          <w:lang w:val="ru-RU"/>
        </w:rPr>
        <w:t xml:space="preserve">вноската в бюджета на ЕС) </w:t>
      </w:r>
      <w:r w:rsidRPr="00812AC2">
        <w:rPr>
          <w:bCs/>
        </w:rPr>
        <w:t>към юни 2024 г.</w:t>
      </w:r>
      <w:r w:rsidRPr="00812AC2">
        <w:t xml:space="preserve"> е </w:t>
      </w:r>
      <w:r w:rsidRPr="00812AC2">
        <w:rPr>
          <w:b/>
        </w:rPr>
        <w:t>22 787,3 млн. лв</w:t>
      </w:r>
      <w:r w:rsidRPr="00812AC2">
        <w:t>., 44,3 % от годишните разчети. С оглед постигане на съпоставимост с предходната година на графиката по-долу е елиминирано влиянието на трансакцията по</w:t>
      </w:r>
      <w:r w:rsidRPr="00812AC2">
        <w:rPr>
          <w:rFonts w:eastAsia="Calibri"/>
        </w:rPr>
        <w:t xml:space="preserve"> чл. 71, ал.1 от Постановление № 13 на Министерския съвет от 2024</w:t>
      </w:r>
      <w:r>
        <w:rPr>
          <w:rFonts w:eastAsia="Calibri"/>
        </w:rPr>
        <w:t> </w:t>
      </w:r>
      <w:r w:rsidRPr="00812AC2">
        <w:rPr>
          <w:rFonts w:eastAsia="Calibri"/>
        </w:rPr>
        <w:t>г. (възстановени разходи в размер на 1 200 млн. лв. от сметката за чужди средства по бюджета на Министерството на регионалното развитие и благоустройството</w:t>
      </w:r>
      <w:r w:rsidRPr="00153C68">
        <w:rPr>
          <w:rFonts w:eastAsia="Calibri"/>
          <w:lang w:val="ru-RU"/>
        </w:rPr>
        <w:t>)</w:t>
      </w:r>
      <w:r w:rsidRPr="00812AC2">
        <w:rPr>
          <w:rFonts w:eastAsia="Calibri"/>
        </w:rPr>
        <w:t xml:space="preserve">. </w:t>
      </w:r>
    </w:p>
    <w:p w14:paraId="3A33FDBF" w14:textId="77777777" w:rsidR="001F66D5" w:rsidRPr="00F21EC6" w:rsidRDefault="001F66D5" w:rsidP="001F66D5">
      <w:pPr>
        <w:pStyle w:val="BodyTextIndent"/>
        <w:spacing w:after="0"/>
        <w:ind w:left="0"/>
        <w:jc w:val="both"/>
        <w:rPr>
          <w:color w:val="0070C0"/>
          <w:sz w:val="2"/>
        </w:rPr>
      </w:pPr>
    </w:p>
    <w:p w14:paraId="779A5B54" w14:textId="77777777" w:rsidR="001F66D5" w:rsidRPr="00F21EC6" w:rsidRDefault="001F66D5" w:rsidP="001F66D5">
      <w:pPr>
        <w:pStyle w:val="BodyTextIndent"/>
        <w:spacing w:after="0"/>
        <w:ind w:left="0"/>
        <w:jc w:val="both"/>
        <w:rPr>
          <w:color w:val="0070C0"/>
          <w:sz w:val="8"/>
          <w:lang w:val="ru-RU"/>
        </w:rPr>
      </w:pPr>
    </w:p>
    <w:p w14:paraId="77AEA8A3" w14:textId="77777777" w:rsidR="001F66D5" w:rsidRPr="00F21EC6" w:rsidRDefault="001F66D5" w:rsidP="001F66D5">
      <w:pPr>
        <w:pStyle w:val="BodyTextIndent"/>
        <w:spacing w:after="0"/>
        <w:ind w:left="0"/>
        <w:jc w:val="center"/>
        <w:rPr>
          <w:b/>
          <w:color w:val="0070C0"/>
          <w:sz w:val="4"/>
          <w:szCs w:val="4"/>
          <w:u w:val="single"/>
        </w:rPr>
      </w:pPr>
    </w:p>
    <w:p w14:paraId="028870A0" w14:textId="77777777" w:rsidR="001F66D5" w:rsidRPr="008E299B" w:rsidRDefault="001F66D5" w:rsidP="001F66D5">
      <w:pPr>
        <w:pStyle w:val="BodyTextIndent"/>
        <w:spacing w:after="0"/>
        <w:ind w:left="0"/>
        <w:jc w:val="center"/>
        <w:rPr>
          <w:b/>
          <w:u w:val="single"/>
        </w:rPr>
      </w:pPr>
      <w:r w:rsidRPr="008E299B">
        <w:rPr>
          <w:b/>
          <w:u w:val="single"/>
        </w:rPr>
        <w:t xml:space="preserve">Разходи, трансфери за други бюджети и вноска в бюджета на ЕС </w:t>
      </w:r>
    </w:p>
    <w:p w14:paraId="475563E5" w14:textId="77777777" w:rsidR="001F66D5" w:rsidRPr="008E299B" w:rsidRDefault="001F66D5" w:rsidP="001F66D5">
      <w:pPr>
        <w:pStyle w:val="BodyTextIndent"/>
        <w:spacing w:after="0"/>
        <w:ind w:left="0"/>
        <w:jc w:val="center"/>
        <w:rPr>
          <w:b/>
          <w:u w:val="single"/>
        </w:rPr>
      </w:pPr>
      <w:r w:rsidRPr="008E299B">
        <w:rPr>
          <w:b/>
          <w:u w:val="single"/>
        </w:rPr>
        <w:t>към юни 2023 г. и 2024 г. на съпоставима база</w:t>
      </w:r>
    </w:p>
    <w:p w14:paraId="31E623C2" w14:textId="77777777" w:rsidR="001F66D5" w:rsidRDefault="001F66D5" w:rsidP="001F66D5">
      <w:pPr>
        <w:pStyle w:val="BodyTextIndent"/>
        <w:spacing w:after="0"/>
        <w:ind w:left="0"/>
        <w:jc w:val="center"/>
        <w:rPr>
          <w:b/>
          <w:color w:val="0070C0"/>
          <w:u w:val="single"/>
          <w:lang w:val="ru-RU"/>
        </w:rPr>
      </w:pPr>
    </w:p>
    <w:p w14:paraId="64F6929B" w14:textId="77777777" w:rsidR="00760ED5" w:rsidRPr="00153C68" w:rsidRDefault="00FF6D0A" w:rsidP="001F66D5">
      <w:pPr>
        <w:pStyle w:val="BodyTextIndent"/>
        <w:spacing w:after="0"/>
        <w:ind w:left="0"/>
        <w:jc w:val="center"/>
        <w:rPr>
          <w:b/>
          <w:color w:val="0070C0"/>
          <w:u w:val="single"/>
          <w:lang w:val="ru-RU"/>
        </w:rPr>
      </w:pPr>
      <w:r>
        <w:rPr>
          <w:b/>
          <w:noProof/>
          <w:color w:val="0070C0"/>
          <w:u w:val="single"/>
          <w:lang w:eastAsia="bg-BG"/>
        </w:rPr>
        <w:drawing>
          <wp:inline distT="0" distB="0" distL="0" distR="0" wp14:anchorId="43454325" wp14:editId="532DC75E">
            <wp:extent cx="5322570" cy="25666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570" cy="2566670"/>
                    </a:xfrm>
                    <a:prstGeom prst="rect">
                      <a:avLst/>
                    </a:prstGeom>
                    <a:noFill/>
                  </pic:spPr>
                </pic:pic>
              </a:graphicData>
            </a:graphic>
          </wp:inline>
        </w:drawing>
      </w:r>
    </w:p>
    <w:p w14:paraId="626328EF" w14:textId="77777777" w:rsidR="001F66D5" w:rsidRPr="00F21EC6" w:rsidRDefault="001F66D5" w:rsidP="001F66D5">
      <w:pPr>
        <w:pStyle w:val="BodyTextIndent"/>
        <w:spacing w:after="0"/>
        <w:ind w:left="0"/>
        <w:jc w:val="center"/>
        <w:rPr>
          <w:b/>
          <w:color w:val="0070C0"/>
          <w:u w:val="single"/>
        </w:rPr>
      </w:pPr>
    </w:p>
    <w:p w14:paraId="112656DB" w14:textId="77777777" w:rsidR="001F66D5" w:rsidRPr="00793C4E" w:rsidRDefault="001F66D5" w:rsidP="001F66D5">
      <w:pPr>
        <w:pStyle w:val="BodyTextIndent"/>
        <w:spacing w:after="0"/>
        <w:ind w:left="0"/>
        <w:jc w:val="center"/>
        <w:rPr>
          <w:b/>
          <w:color w:val="0070C0"/>
          <w:sz w:val="8"/>
          <w:szCs w:val="8"/>
          <w:u w:val="single"/>
        </w:rPr>
      </w:pPr>
    </w:p>
    <w:p w14:paraId="06DED6F8" w14:textId="77777777" w:rsidR="001F66D5" w:rsidRPr="00326D7C" w:rsidRDefault="001F66D5" w:rsidP="001F66D5">
      <w:pPr>
        <w:pStyle w:val="BodyTextIndent"/>
        <w:numPr>
          <w:ilvl w:val="0"/>
          <w:numId w:val="17"/>
        </w:numPr>
        <w:spacing w:before="120" w:after="0"/>
        <w:jc w:val="both"/>
        <w:rPr>
          <w:b/>
          <w:bCs/>
        </w:rPr>
      </w:pPr>
      <w:bookmarkStart w:id="3" w:name="_MON_1562146415"/>
      <w:bookmarkStart w:id="4" w:name="_MON_1562146493"/>
      <w:bookmarkStart w:id="5" w:name="_MON_1562146700"/>
      <w:bookmarkStart w:id="6" w:name="_MON_1562146782"/>
      <w:bookmarkStart w:id="7" w:name="_MON_1562146967"/>
      <w:bookmarkStart w:id="8" w:name="_MON_1562147372"/>
      <w:bookmarkStart w:id="9" w:name="_MON_1562147473"/>
      <w:bookmarkStart w:id="10" w:name="_MON_1562147677"/>
      <w:bookmarkStart w:id="11" w:name="_MON_1562147743"/>
      <w:bookmarkStart w:id="12" w:name="_MON_1562147867"/>
      <w:bookmarkStart w:id="13" w:name="_MON_1562147934"/>
      <w:bookmarkStart w:id="14" w:name="_MON_1562148056"/>
      <w:bookmarkStart w:id="15" w:name="_MON_1562148171"/>
      <w:bookmarkStart w:id="16" w:name="_MON_1562148229"/>
      <w:bookmarkStart w:id="17" w:name="_MON_1562148307"/>
      <w:bookmarkStart w:id="18" w:name="_MON_1562148447"/>
      <w:bookmarkStart w:id="19" w:name="_MON_1562148558"/>
      <w:bookmarkStart w:id="20" w:name="_MON_1562152805"/>
      <w:bookmarkStart w:id="21" w:name="_MON_1562152984"/>
      <w:bookmarkStart w:id="22" w:name="_MON_1562153459"/>
      <w:bookmarkStart w:id="23" w:name="_MON_1562153503"/>
      <w:bookmarkStart w:id="24" w:name="_MON_1562153559"/>
      <w:bookmarkStart w:id="25" w:name="_MON_1562153646"/>
      <w:bookmarkStart w:id="26" w:name="_MON_1562153939"/>
      <w:bookmarkStart w:id="27" w:name="_MON_1562154053"/>
      <w:bookmarkStart w:id="28" w:name="_MON_1562154282"/>
      <w:bookmarkStart w:id="29" w:name="_MON_1562146286"/>
      <w:bookmarkStart w:id="30" w:name="_MON_1562154881"/>
      <w:bookmarkStart w:id="31" w:name="_MON_1562154973"/>
      <w:bookmarkStart w:id="32" w:name="_MON_1562155194"/>
      <w:bookmarkStart w:id="33" w:name="_MON_1562155231"/>
      <w:bookmarkStart w:id="34" w:name="_MON_1562155321"/>
      <w:bookmarkStart w:id="35" w:name="_MON_156215539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326D7C">
        <w:rPr>
          <w:b/>
          <w:bCs/>
        </w:rPr>
        <w:t>Нелихвени разходи</w:t>
      </w:r>
    </w:p>
    <w:p w14:paraId="2DE99F8B" w14:textId="77777777" w:rsidR="001F66D5" w:rsidRPr="00BA491D" w:rsidRDefault="001F66D5" w:rsidP="001F66D5">
      <w:pPr>
        <w:spacing w:before="120" w:after="120"/>
        <w:jc w:val="both"/>
        <w:rPr>
          <w:bCs/>
        </w:rPr>
      </w:pPr>
      <w:r w:rsidRPr="00BA491D">
        <w:rPr>
          <w:b/>
          <w:bCs/>
        </w:rPr>
        <w:t>Нелихвените разходи</w:t>
      </w:r>
      <w:r w:rsidRPr="00BA491D">
        <w:rPr>
          <w:bCs/>
        </w:rPr>
        <w:t xml:space="preserve"> по държавния бюджет към юни 2024 г.</w:t>
      </w:r>
      <w:r w:rsidRPr="00BA491D">
        <w:t xml:space="preserve"> </w:t>
      </w:r>
      <w:r w:rsidRPr="00BA491D">
        <w:rPr>
          <w:bCs/>
        </w:rPr>
        <w:t xml:space="preserve">на съпоставима база са в размер на </w:t>
      </w:r>
      <w:r w:rsidRPr="00BA491D">
        <w:rPr>
          <w:b/>
          <w:bCs/>
        </w:rPr>
        <w:t>9 476,7 млн. лева.</w:t>
      </w:r>
      <w:r w:rsidRPr="00BA491D">
        <w:rPr>
          <w:bCs/>
        </w:rPr>
        <w:t xml:space="preserve"> </w:t>
      </w:r>
    </w:p>
    <w:p w14:paraId="769A5ADB" w14:textId="77777777" w:rsidR="001F66D5" w:rsidRPr="00092DAF" w:rsidRDefault="001F66D5" w:rsidP="001F66D5">
      <w:pPr>
        <w:jc w:val="both"/>
        <w:rPr>
          <w:bCs/>
        </w:rPr>
      </w:pPr>
      <w:r w:rsidRPr="001B7C5E">
        <w:rPr>
          <w:bCs/>
        </w:rPr>
        <w:t xml:space="preserve">Разходите за персонал (заплати и възнаграждения, други възнаграждения и плащания за персонала и осигурителни вноски) са в общ размер на </w:t>
      </w:r>
      <w:r w:rsidRPr="001B7C5E">
        <w:rPr>
          <w:bCs/>
          <w:lang w:val="ru-RU"/>
        </w:rPr>
        <w:t>4 778,7</w:t>
      </w:r>
      <w:r w:rsidRPr="001B7C5E">
        <w:rPr>
          <w:bCs/>
        </w:rPr>
        <w:t xml:space="preserve"> млн. лв. или 48,9 % от планираните за 202</w:t>
      </w:r>
      <w:r w:rsidRPr="00153C68">
        <w:rPr>
          <w:bCs/>
          <w:lang w:val="ru-RU"/>
        </w:rPr>
        <w:t>4</w:t>
      </w:r>
      <w:r w:rsidRPr="001B7C5E">
        <w:rPr>
          <w:bCs/>
        </w:rPr>
        <w:t xml:space="preserve"> г.</w:t>
      </w:r>
      <w:r w:rsidRPr="00153C68">
        <w:rPr>
          <w:bCs/>
          <w:lang w:val="ru-RU"/>
        </w:rPr>
        <w:t xml:space="preserve"> </w:t>
      </w:r>
      <w:r w:rsidRPr="001B7C5E">
        <w:rPr>
          <w:bCs/>
        </w:rPr>
        <w:t xml:space="preserve">и ръст от 904,3 млн. лв. (23,3 %) спрямо същия период на 2023 г. </w:t>
      </w:r>
      <w:r w:rsidRPr="0099635D">
        <w:rPr>
          <w:bCs/>
        </w:rPr>
        <w:t xml:space="preserve">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1 433,1 млн. </w:t>
      </w:r>
      <w:r w:rsidRPr="00471309">
        <w:rPr>
          <w:bCs/>
        </w:rPr>
        <w:t xml:space="preserve">лв. или 30,3 % от планираните за годината. Социалните разходи (вкл. разходите за стипендии) са в размер на 746,3 млн. лв. или 27,9 % от предвидените </w:t>
      </w:r>
      <w:r w:rsidRPr="00471309">
        <w:t>за годината</w:t>
      </w:r>
      <w:r w:rsidR="00FB7401">
        <w:t>,</w:t>
      </w:r>
      <w:r w:rsidRPr="00471309">
        <w:rPr>
          <w:bCs/>
        </w:rPr>
        <w:t xml:space="preserve"> като </w:t>
      </w:r>
      <w:r w:rsidRPr="00ED79C9">
        <w:rPr>
          <w:bCs/>
        </w:rPr>
        <w:t xml:space="preserve">нарастват с 293,6 млн. лв. (64,9 %) спрямо същия период на 2023 г. </w:t>
      </w:r>
      <w:r w:rsidRPr="00ED79C9">
        <w:t>Част от планираните социални разходи по държавния бюджет се предоставят като трансфери за общинските бюджети.</w:t>
      </w:r>
      <w:r w:rsidRPr="00ED79C9">
        <w:rPr>
          <w:bCs/>
        </w:rPr>
        <w:t xml:space="preserve"> Предоставените текущи и капиталови трансфери за чужбина са в размер на 6,5 млн. лв. Разходите за субсидии са в размер на 1 141,0 млн. лв. или 58,5 % от планираните за годината и нарастват с 358,9 млн. лв. </w:t>
      </w:r>
      <w:r w:rsidRPr="00ED79C9">
        <w:rPr>
          <w:bCs/>
          <w:lang w:val="ru-RU"/>
        </w:rPr>
        <w:t>(</w:t>
      </w:r>
      <w:r w:rsidRPr="00ED79C9">
        <w:rPr>
          <w:bCs/>
        </w:rPr>
        <w:t>45,9 %</w:t>
      </w:r>
      <w:r w:rsidRPr="00ED79C9">
        <w:rPr>
          <w:bCs/>
          <w:lang w:val="ru-RU"/>
        </w:rPr>
        <w:t xml:space="preserve">) сравнени със същия </w:t>
      </w:r>
      <w:r w:rsidRPr="00ED79C9">
        <w:rPr>
          <w:bCs/>
        </w:rPr>
        <w:t xml:space="preserve">период </w:t>
      </w:r>
      <w:r w:rsidRPr="00ED79C9">
        <w:rPr>
          <w:bCs/>
          <w:lang w:val="ru-RU"/>
        </w:rPr>
        <w:t xml:space="preserve">на предходната </w:t>
      </w:r>
      <w:r w:rsidRPr="00D040D4">
        <w:rPr>
          <w:bCs/>
          <w:lang w:val="ru-RU"/>
        </w:rPr>
        <w:t>година</w:t>
      </w:r>
      <w:r w:rsidRPr="00D040D4">
        <w:rPr>
          <w:bCs/>
        </w:rPr>
        <w:t>.</w:t>
      </w:r>
      <w:r w:rsidRPr="00D040D4">
        <w:rPr>
          <w:bCs/>
          <w:lang w:val="ru-RU"/>
        </w:rPr>
        <w:t xml:space="preserve"> </w:t>
      </w:r>
      <w:r w:rsidRPr="00D040D4">
        <w:rPr>
          <w:bCs/>
        </w:rPr>
        <w:t xml:space="preserve">Към юни 2024 г. субсидиите за „БДЖ – Пътнически превози” ЕООД са в размер на </w:t>
      </w:r>
      <w:r w:rsidRPr="00153C68">
        <w:rPr>
          <w:bCs/>
          <w:lang w:val="ru-RU"/>
        </w:rPr>
        <w:t>104</w:t>
      </w:r>
      <w:r w:rsidRPr="007A25E3">
        <w:rPr>
          <w:bCs/>
        </w:rPr>
        <w:t>,6 млн. лв., субсидиите за Национална компания „Железопътна инфраструктура” са 150,6 млн. лв. и 29,9</w:t>
      </w:r>
      <w:r w:rsidRPr="007A25E3">
        <w:rPr>
          <w:bCs/>
          <w:lang w:val="en-US"/>
        </w:rPr>
        <w:t> </w:t>
      </w:r>
      <w:r w:rsidRPr="007A25E3">
        <w:rPr>
          <w:bCs/>
        </w:rPr>
        <w:t xml:space="preserve">млн. лв. са за „Български пощи” ЕАД, в т.ч. 14,2 млн. лв. за извършване на универсална пощенска услуга, 13,5 млн. лв. за разпространение на периодични печатни издания - вестници и списания и 2,1 млн. лв. за предоставяне на административни услуги. </w:t>
      </w:r>
      <w:r w:rsidRPr="00092DAF">
        <w:rPr>
          <w:bCs/>
        </w:rPr>
        <w:t>Към края на юни 2024</w:t>
      </w:r>
      <w:r w:rsidRPr="00092DAF">
        <w:rPr>
          <w:bCs/>
          <w:lang w:val="en-US"/>
        </w:rPr>
        <w:t> </w:t>
      </w:r>
      <w:r w:rsidRPr="00092DAF">
        <w:rPr>
          <w:bCs/>
        </w:rPr>
        <w:t xml:space="preserve">г. ДФ „Земеделие“ e изплатил субсидии в общ размер на </w:t>
      </w:r>
      <w:r w:rsidRPr="00153C68">
        <w:rPr>
          <w:bCs/>
          <w:lang w:val="ru-RU"/>
        </w:rPr>
        <w:t>445</w:t>
      </w:r>
      <w:r w:rsidRPr="00092DAF">
        <w:rPr>
          <w:bCs/>
        </w:rPr>
        <w:t>,</w:t>
      </w:r>
      <w:r w:rsidRPr="00153C68">
        <w:rPr>
          <w:bCs/>
          <w:lang w:val="ru-RU"/>
        </w:rPr>
        <w:t>6</w:t>
      </w:r>
      <w:r w:rsidRPr="00092DAF">
        <w:rPr>
          <w:bCs/>
        </w:rPr>
        <w:t xml:space="preserve"> млн. лв., от които 369,9 млн. лв. държавна помощ; 69,5 млн. лв. преходна национална помощ за тютюн и 5,8 млн. лв. средства за ДДС по схеми „Училищен плод“ и „Училищно мляко“. </w:t>
      </w:r>
    </w:p>
    <w:p w14:paraId="1A9C68B7" w14:textId="77777777" w:rsidR="001F66D5" w:rsidRPr="00BA491D" w:rsidRDefault="001F66D5" w:rsidP="001F66D5">
      <w:pPr>
        <w:spacing w:before="120" w:after="240"/>
        <w:jc w:val="both"/>
        <w:rPr>
          <w:bCs/>
        </w:rPr>
      </w:pPr>
      <w:r w:rsidRPr="00BA491D">
        <w:rPr>
          <w:bCs/>
          <w:i/>
        </w:rPr>
        <w:t>Капиталовите разходи</w:t>
      </w:r>
      <w:r w:rsidRPr="00BA491D">
        <w:rPr>
          <w:bCs/>
        </w:rPr>
        <w:t xml:space="preserve"> (вкл. нетния прираст на държавния резерв) по държавния бюджет на съпоставима база възлизат на 1 371,1 млн. лева.</w:t>
      </w:r>
    </w:p>
    <w:p w14:paraId="7D69F058" w14:textId="77777777" w:rsidR="00162F31" w:rsidRPr="002F4AD4" w:rsidRDefault="00162F31" w:rsidP="00162F31">
      <w:pPr>
        <w:numPr>
          <w:ilvl w:val="0"/>
          <w:numId w:val="7"/>
        </w:numPr>
        <w:spacing w:after="120"/>
        <w:ind w:left="0" w:firstLine="360"/>
        <w:jc w:val="both"/>
        <w:rPr>
          <w:b/>
        </w:rPr>
      </w:pPr>
      <w:r w:rsidRPr="002F4AD4">
        <w:rPr>
          <w:b/>
        </w:rPr>
        <w:t xml:space="preserve">Разходи за лихви </w:t>
      </w:r>
    </w:p>
    <w:p w14:paraId="64366530" w14:textId="77777777" w:rsidR="00162F31" w:rsidRPr="00463454" w:rsidRDefault="00162F31" w:rsidP="00162F31">
      <w:pPr>
        <w:spacing w:after="60"/>
        <w:jc w:val="both"/>
      </w:pPr>
      <w:r w:rsidRPr="00463454">
        <w:rPr>
          <w:b/>
        </w:rPr>
        <w:t xml:space="preserve">Лихвените плащания </w:t>
      </w:r>
      <w:r w:rsidRPr="00463454">
        <w:t xml:space="preserve">по държавния бюджет към </w:t>
      </w:r>
      <w:r w:rsidRPr="00463454">
        <w:rPr>
          <w:lang w:val="ru-RU"/>
        </w:rPr>
        <w:t>30.06.2024</w:t>
      </w:r>
      <w:r w:rsidRPr="00463454">
        <w:t xml:space="preserve"> г. са в общ размер на </w:t>
      </w:r>
      <w:r w:rsidRPr="00463454">
        <w:rPr>
          <w:b/>
        </w:rPr>
        <w:t>467,6 млн. лв</w:t>
      </w:r>
      <w:r w:rsidRPr="00463454">
        <w:t>. или 48,4 % от предвидените в годишните разчети.</w:t>
      </w:r>
    </w:p>
    <w:p w14:paraId="15D4E125" w14:textId="77777777" w:rsidR="00162F31" w:rsidRPr="00F21EC6" w:rsidRDefault="00162F31" w:rsidP="00162F31">
      <w:pPr>
        <w:spacing w:after="120"/>
        <w:jc w:val="both"/>
        <w:rPr>
          <w:color w:val="0070C0"/>
        </w:rPr>
      </w:pPr>
      <w:r w:rsidRPr="007F08FF">
        <w:t xml:space="preserve">Разходите за </w:t>
      </w:r>
      <w:r w:rsidRPr="007F08FF">
        <w:rPr>
          <w:b/>
        </w:rPr>
        <w:t>лихви по външни заеми</w:t>
      </w:r>
      <w:r w:rsidRPr="007F08FF">
        <w:t xml:space="preserve"> са в размер на </w:t>
      </w:r>
      <w:r w:rsidRPr="007F08FF">
        <w:rPr>
          <w:lang w:val="ru-RU"/>
        </w:rPr>
        <w:t xml:space="preserve">419,0 </w:t>
      </w:r>
      <w:r w:rsidRPr="007F08FF">
        <w:t xml:space="preserve">млн. лв., в т.ч. 410,0 млн. лв. по </w:t>
      </w:r>
      <w:r w:rsidRPr="00ED4019">
        <w:t>централния бюджет. По ДИЗ, управлявани от министерства и ведомства са изплатени 8,9 млн. лв. (от тях 0,5 млн. лв. са лихвите по заемите с краен бенефициент - търговско дружество).</w:t>
      </w:r>
    </w:p>
    <w:p w14:paraId="22CE01D7" w14:textId="77777777" w:rsidR="00162F31" w:rsidRPr="00373AFC" w:rsidRDefault="00162F31" w:rsidP="00162F31">
      <w:pPr>
        <w:spacing w:after="120"/>
        <w:jc w:val="both"/>
        <w:rPr>
          <w:b/>
        </w:rPr>
      </w:pPr>
      <w:r w:rsidRPr="00373AFC">
        <w:t>През отчетния месец не са използвани средствата, предвидени в ЗДБРБ за 2024 г., за покриване на риска от активиране на държавни гаранции.</w:t>
      </w:r>
      <w:r w:rsidRPr="00373AFC">
        <w:rPr>
          <w:b/>
        </w:rPr>
        <w:t xml:space="preserve"> </w:t>
      </w:r>
    </w:p>
    <w:p w14:paraId="54294DD3" w14:textId="77777777" w:rsidR="00162F31" w:rsidRPr="00373AFC" w:rsidRDefault="00162F31" w:rsidP="00162F31">
      <w:pPr>
        <w:spacing w:after="60"/>
        <w:jc w:val="both"/>
      </w:pPr>
      <w:r w:rsidRPr="00373AFC">
        <w:rPr>
          <w:b/>
        </w:rPr>
        <w:t>Лихвите по вътрешни заеми</w:t>
      </w:r>
      <w:r w:rsidRPr="00373AFC">
        <w:t xml:space="preserve"> по държавния бюджет </w:t>
      </w:r>
      <w:r w:rsidRPr="00373AFC">
        <w:rPr>
          <w:bCs/>
        </w:rPr>
        <w:t>към юни 2024 г.</w:t>
      </w:r>
      <w:r w:rsidRPr="00373AFC">
        <w:t xml:space="preserve"> са в размер на </w:t>
      </w:r>
      <w:r w:rsidRPr="00373AFC">
        <w:rPr>
          <w:b/>
        </w:rPr>
        <w:t>48,7 млн. лв.</w:t>
      </w:r>
      <w:r w:rsidRPr="00373AFC">
        <w:t xml:space="preserve"> и представляват лихви по емисии на ДЦК на вътрешния пазар. </w:t>
      </w:r>
    </w:p>
    <w:p w14:paraId="4F9B84BF" w14:textId="77777777" w:rsidR="00162F31" w:rsidRPr="00A77942" w:rsidRDefault="00162F31" w:rsidP="00162F31">
      <w:pPr>
        <w:numPr>
          <w:ilvl w:val="0"/>
          <w:numId w:val="45"/>
        </w:numPr>
        <w:tabs>
          <w:tab w:val="clear" w:pos="700"/>
          <w:tab w:val="num" w:pos="426"/>
        </w:tabs>
        <w:spacing w:before="240" w:after="120"/>
        <w:ind w:left="0" w:firstLine="0"/>
        <w:jc w:val="both"/>
        <w:rPr>
          <w:b/>
        </w:rPr>
      </w:pPr>
      <w:r w:rsidRPr="00B12A26">
        <w:rPr>
          <w:b/>
        </w:rPr>
        <w:t>Нетният размер на трансферите по държавния бюджет  към юни 2024 г. е 13 329</w:t>
      </w:r>
      <w:r w:rsidRPr="00A77942">
        <w:rPr>
          <w:b/>
        </w:rPr>
        <w:t xml:space="preserve">,4 млн. лв.,  в т.ч.: </w:t>
      </w:r>
    </w:p>
    <w:p w14:paraId="1C407F36" w14:textId="77777777" w:rsidR="00162F31" w:rsidRPr="00A77942" w:rsidRDefault="00162F31" w:rsidP="00162F31">
      <w:pPr>
        <w:numPr>
          <w:ilvl w:val="0"/>
          <w:numId w:val="18"/>
        </w:numPr>
        <w:tabs>
          <w:tab w:val="clear" w:pos="700"/>
          <w:tab w:val="left" w:pos="180"/>
          <w:tab w:val="num" w:pos="540"/>
          <w:tab w:val="num" w:pos="1495"/>
          <w:tab w:val="num" w:pos="9858"/>
        </w:tabs>
        <w:ind w:left="538" w:hanging="357"/>
        <w:jc w:val="both"/>
      </w:pPr>
      <w:r w:rsidRPr="00A77942">
        <w:t>бюджетните  взаимоотношения  с  общините  включват  нето трансфери  и временни безлихвени заеми в  размер  на 5 238,1 млн. лв.,</w:t>
      </w:r>
      <w:r w:rsidRPr="00A77942">
        <w:rPr>
          <w:lang w:val="ru-RU"/>
        </w:rPr>
        <w:t xml:space="preserve"> </w:t>
      </w:r>
      <w:r w:rsidRPr="00A77942">
        <w:t>от които субсидии от централния бюджет в размер на 4 358,4 млн. лв., други целеви трансфери от централния бюджет в размер на 319,9 млн. лв., нетни трансфери от/за други бюджети в размер на 585,9 млн. лв. и възстановени трансфери от предходни години в централния бюджет – 26,0 млн. лв</w:t>
      </w:r>
      <w:r>
        <w:t>.</w:t>
      </w:r>
      <w:r w:rsidRPr="00A77942">
        <w:t>;</w:t>
      </w:r>
    </w:p>
    <w:p w14:paraId="715CFCB4" w14:textId="77777777" w:rsidR="00162F31" w:rsidRPr="008B0888" w:rsidRDefault="00162F31" w:rsidP="00162F31">
      <w:pPr>
        <w:numPr>
          <w:ilvl w:val="0"/>
          <w:numId w:val="18"/>
        </w:numPr>
        <w:tabs>
          <w:tab w:val="clear" w:pos="700"/>
          <w:tab w:val="left" w:pos="180"/>
          <w:tab w:val="num" w:pos="540"/>
          <w:tab w:val="num" w:pos="1495"/>
          <w:tab w:val="num" w:pos="9858"/>
        </w:tabs>
        <w:ind w:left="538" w:hanging="357"/>
        <w:jc w:val="both"/>
      </w:pPr>
      <w:r w:rsidRPr="008B0888">
        <w:t>на социалноосигурителните фондове (нето) – 6 878,4 млн. лв.;</w:t>
      </w:r>
    </w:p>
    <w:p w14:paraId="1757672D" w14:textId="77777777" w:rsidR="00162F31" w:rsidRPr="008B0888" w:rsidRDefault="00162F31" w:rsidP="00162F31">
      <w:pPr>
        <w:numPr>
          <w:ilvl w:val="0"/>
          <w:numId w:val="18"/>
        </w:numPr>
        <w:tabs>
          <w:tab w:val="clear" w:pos="700"/>
          <w:tab w:val="left" w:pos="180"/>
          <w:tab w:val="num" w:pos="540"/>
          <w:tab w:val="num" w:pos="1495"/>
          <w:tab w:val="num" w:pos="9858"/>
        </w:tabs>
        <w:ind w:left="538" w:hanging="357"/>
        <w:jc w:val="both"/>
      </w:pPr>
      <w:r w:rsidRPr="008B0888">
        <w:t xml:space="preserve">на други автономни бюджети (ДВУ, БАН, ССА, БНТ, БНР и БТА) – 753,7 млн. лева. </w:t>
      </w:r>
    </w:p>
    <w:p w14:paraId="0F1DDE7A" w14:textId="77777777" w:rsidR="00162F31" w:rsidRPr="000A78D0" w:rsidRDefault="00162F31" w:rsidP="00162F31">
      <w:pPr>
        <w:pStyle w:val="ListParagraph"/>
        <w:numPr>
          <w:ilvl w:val="0"/>
          <w:numId w:val="46"/>
        </w:numPr>
        <w:tabs>
          <w:tab w:val="left" w:pos="426"/>
        </w:tabs>
        <w:spacing w:before="240" w:after="0" w:line="240" w:lineRule="auto"/>
        <w:ind w:left="0" w:firstLine="0"/>
        <w:contextualSpacing w:val="0"/>
        <w:rPr>
          <w:rFonts w:ascii="Times New Roman" w:hAnsi="Times New Roman"/>
          <w:bCs/>
        </w:rPr>
      </w:pPr>
      <w:r w:rsidRPr="000A78D0">
        <w:rPr>
          <w:rFonts w:ascii="Times New Roman" w:hAnsi="Times New Roman"/>
        </w:rPr>
        <w:t>Частта от</w:t>
      </w:r>
      <w:r w:rsidRPr="000A78D0">
        <w:rPr>
          <w:rFonts w:ascii="Times New Roman" w:hAnsi="Times New Roman"/>
          <w:b/>
        </w:rPr>
        <w:t xml:space="preserve"> вноската на Република България в общия бюджет на ЕС, </w:t>
      </w:r>
      <w:r w:rsidRPr="000A78D0">
        <w:rPr>
          <w:rFonts w:ascii="Times New Roman" w:hAnsi="Times New Roman"/>
        </w:rPr>
        <w:t>изплатена към 30.06.2024 г. от централния бюджет, възлиза на</w:t>
      </w:r>
      <w:r w:rsidRPr="000A78D0">
        <w:rPr>
          <w:rFonts w:ascii="Times New Roman" w:hAnsi="Times New Roman"/>
          <w:b/>
        </w:rPr>
        <w:t xml:space="preserve"> 713,5 млн. лева.</w:t>
      </w:r>
      <w:r w:rsidRPr="000A78D0">
        <w:rPr>
          <w:rFonts w:ascii="Times New Roman" w:hAnsi="Times New Roman"/>
        </w:rPr>
        <w:t xml:space="preserve"> </w:t>
      </w:r>
    </w:p>
    <w:p w14:paraId="07EC997C" w14:textId="3899D969" w:rsidR="00162F31" w:rsidRPr="004F266A" w:rsidRDefault="00162F31" w:rsidP="00162F31">
      <w:pPr>
        <w:numPr>
          <w:ilvl w:val="0"/>
          <w:numId w:val="6"/>
        </w:numPr>
        <w:tabs>
          <w:tab w:val="clear" w:pos="7650"/>
          <w:tab w:val="num" w:pos="426"/>
        </w:tabs>
        <w:spacing w:before="240" w:after="240"/>
        <w:ind w:left="0" w:firstLine="0"/>
        <w:jc w:val="both"/>
        <w:rPr>
          <w:sz w:val="16"/>
          <w:szCs w:val="16"/>
        </w:rPr>
      </w:pPr>
      <w:r w:rsidRPr="00D07D3D">
        <w:rPr>
          <w:b/>
        </w:rPr>
        <w:t>Бюджетното салдо по държавния бюджет</w:t>
      </w:r>
      <w:r w:rsidRPr="00D07D3D">
        <w:t xml:space="preserve"> към </w:t>
      </w:r>
      <w:r w:rsidRPr="00D07D3D">
        <w:rPr>
          <w:lang w:val="ru-RU"/>
        </w:rPr>
        <w:t>30.06.2024</w:t>
      </w:r>
      <w:r w:rsidRPr="00D07D3D">
        <w:t xml:space="preserve"> г. </w:t>
      </w:r>
      <w:r w:rsidRPr="00D07D3D">
        <w:rPr>
          <w:b/>
        </w:rPr>
        <w:t>е отрицателно</w:t>
      </w:r>
      <w:r w:rsidRPr="00D07D3D">
        <w:t xml:space="preserve"> в размер на </w:t>
      </w:r>
      <w:r w:rsidRPr="00D07D3D">
        <w:rPr>
          <w:b/>
        </w:rPr>
        <w:t>2 411,7 млн. лева</w:t>
      </w:r>
      <w:r w:rsidRPr="00D07D3D">
        <w:t xml:space="preserve">. </w:t>
      </w:r>
    </w:p>
    <w:p w14:paraId="167FC926" w14:textId="77777777" w:rsidR="004F266A" w:rsidRPr="004F266A" w:rsidRDefault="004F266A" w:rsidP="004F266A">
      <w:pPr>
        <w:numPr>
          <w:ilvl w:val="0"/>
          <w:numId w:val="6"/>
        </w:numPr>
        <w:tabs>
          <w:tab w:val="clear" w:pos="7650"/>
          <w:tab w:val="num" w:pos="426"/>
        </w:tabs>
        <w:spacing w:before="120"/>
        <w:ind w:left="0" w:firstLine="0"/>
        <w:jc w:val="both"/>
        <w:rPr>
          <w:b/>
        </w:rPr>
      </w:pPr>
      <w:r w:rsidRPr="004F266A">
        <w:rPr>
          <w:b/>
        </w:rPr>
        <w:t>Финансиране на държавния бюджет чрез операции по дълга</w:t>
      </w:r>
    </w:p>
    <w:p w14:paraId="3F54869B" w14:textId="77777777" w:rsidR="004F266A" w:rsidRPr="00FB2D8D" w:rsidRDefault="004F266A" w:rsidP="004F266A">
      <w:pPr>
        <w:spacing w:before="120"/>
        <w:jc w:val="both"/>
      </w:pPr>
      <w:r w:rsidRPr="00FB2D8D">
        <w:t>Към 30.06.2024 г. е отчетено положително нетно дългово финансиране на държавния бюджет в размер на 974,0 млн. лв., което се дължи на  постъпленията от емисии на ДЦК на вътрешния пазар в размер на 1 092,8 млн. лв. и извършените погашения по външния държавен дълг в размер на 118,8 млн. лв.</w:t>
      </w:r>
    </w:p>
    <w:p w14:paraId="28BCACF2" w14:textId="77777777" w:rsidR="004F266A" w:rsidRPr="00A625E0" w:rsidRDefault="004F266A" w:rsidP="004F266A">
      <w:pPr>
        <w:tabs>
          <w:tab w:val="left" w:pos="567"/>
        </w:tabs>
        <w:jc w:val="both"/>
      </w:pPr>
      <w:r w:rsidRPr="00A625E0">
        <w:t>Към 3</w:t>
      </w:r>
      <w:r w:rsidRPr="00153C68">
        <w:rPr>
          <w:lang w:val="ru-RU"/>
        </w:rPr>
        <w:t>0</w:t>
      </w:r>
      <w:r w:rsidRPr="00A625E0">
        <w:t>.</w:t>
      </w:r>
      <w:r w:rsidRPr="00153C68">
        <w:rPr>
          <w:lang w:val="ru-RU"/>
        </w:rPr>
        <w:t>06</w:t>
      </w:r>
      <w:r w:rsidRPr="00A625E0">
        <w:t>.202</w:t>
      </w:r>
      <w:r w:rsidRPr="00153C68">
        <w:rPr>
          <w:lang w:val="ru-RU"/>
        </w:rPr>
        <w:t>4</w:t>
      </w:r>
      <w:r w:rsidRPr="00A625E0">
        <w:t xml:space="preserve"> г. е отчетено положително нетно </w:t>
      </w:r>
      <w:r w:rsidRPr="008F4B82">
        <w:rPr>
          <w:b/>
          <w:i/>
        </w:rPr>
        <w:t>вътрешно финансиране</w:t>
      </w:r>
      <w:r w:rsidRPr="008F4B82">
        <w:t xml:space="preserve"> </w:t>
      </w:r>
      <w:r w:rsidRPr="00A625E0">
        <w:t xml:space="preserve">на държавния бюджет с ДЦК в размер на </w:t>
      </w:r>
      <w:r w:rsidRPr="00153C68">
        <w:rPr>
          <w:lang w:val="ru-RU"/>
        </w:rPr>
        <w:t>1</w:t>
      </w:r>
      <w:r w:rsidRPr="00A625E0">
        <w:rPr>
          <w:lang w:val="en-US"/>
        </w:rPr>
        <w:t> </w:t>
      </w:r>
      <w:r w:rsidRPr="00153C68">
        <w:rPr>
          <w:lang w:val="ru-RU"/>
        </w:rPr>
        <w:t>092</w:t>
      </w:r>
      <w:r w:rsidRPr="00A625E0">
        <w:t xml:space="preserve">,8 млн. лв., което се дължи на постъпленията от емисия на ДЦК на вътрешния пазар без извършване на погашения по вътрешния дълг. Общият размер на постъпленията от емисии на ДЦК на вътрешния пазар възлиза на </w:t>
      </w:r>
      <w:r w:rsidRPr="00153C68">
        <w:rPr>
          <w:lang w:val="ru-RU"/>
        </w:rPr>
        <w:t>1</w:t>
      </w:r>
      <w:r w:rsidRPr="00A625E0">
        <w:rPr>
          <w:lang w:val="en-US"/>
        </w:rPr>
        <w:t> </w:t>
      </w:r>
      <w:r w:rsidRPr="00153C68">
        <w:rPr>
          <w:lang w:val="ru-RU"/>
        </w:rPr>
        <w:t>092</w:t>
      </w:r>
      <w:r w:rsidRPr="00A625E0">
        <w:t>,8 млн. лв. или са емитирани ДЦК на обща номинална стойност 1 100,0 млн. лв., разпределени в две емисии, както следва:</w:t>
      </w:r>
    </w:p>
    <w:p w14:paraId="69438213" w14:textId="77777777" w:rsidR="004F266A" w:rsidRPr="001A262E" w:rsidRDefault="004F266A" w:rsidP="004F266A">
      <w:pPr>
        <w:numPr>
          <w:ilvl w:val="0"/>
          <w:numId w:val="47"/>
        </w:numPr>
        <w:spacing w:after="120"/>
        <w:ind w:left="709" w:hanging="283"/>
        <w:jc w:val="both"/>
      </w:pPr>
      <w:r w:rsidRPr="001A262E">
        <w:rPr>
          <w:i/>
        </w:rPr>
        <w:t>3-годишни ДЦК</w:t>
      </w:r>
      <w:r w:rsidRPr="001A262E">
        <w:t xml:space="preserve"> (емисията е пусната в обращение през април 2024 г., деноминирана е в лева, с падеж 17.04.2027 г. и годишен лихвен купон от 3 %) с общ пласиран обем от 700,0 млн. лв., в т.ч. през април 200,0 млн. лв., през май 300,0 млн. лв. и през юни 200,0 млн. лв.; </w:t>
      </w:r>
    </w:p>
    <w:p w14:paraId="5DE1FBA7" w14:textId="77777777" w:rsidR="004F266A" w:rsidRPr="00B4321D" w:rsidRDefault="004F266A" w:rsidP="004F266A">
      <w:pPr>
        <w:numPr>
          <w:ilvl w:val="0"/>
          <w:numId w:val="47"/>
        </w:numPr>
        <w:spacing w:after="120"/>
        <w:ind w:left="709" w:hanging="283"/>
        <w:jc w:val="both"/>
      </w:pPr>
      <w:r w:rsidRPr="001A262E">
        <w:rPr>
          <w:i/>
        </w:rPr>
        <w:t>6-годишни ДЦК</w:t>
      </w:r>
      <w:r w:rsidRPr="001A262E">
        <w:t xml:space="preserve"> (пуснати</w:t>
      </w:r>
      <w:r w:rsidRPr="00B4321D">
        <w:rPr>
          <w:rFonts w:ascii="Calibri" w:eastAsia="Calibri" w:hAnsi="Calibri"/>
        </w:rPr>
        <w:t xml:space="preserve"> </w:t>
      </w:r>
      <w:r w:rsidRPr="00B4321D">
        <w:t>в обращение през май 2024 г., деноминирани са в лева, с падеж 15.05.2030 г. и годишен лихвен купон от 3,35</w:t>
      </w:r>
      <w:r>
        <w:t xml:space="preserve"> </w:t>
      </w:r>
      <w:r w:rsidRPr="00B4321D">
        <w:t>%) с общ пласиран обем от 400,0</w:t>
      </w:r>
      <w:r>
        <w:t> </w:t>
      </w:r>
      <w:r w:rsidRPr="00B4321D">
        <w:t>млн. лв., в т.ч.  през месец май и юни по 200,0 млн. лв.;</w:t>
      </w:r>
    </w:p>
    <w:p w14:paraId="41800CF6" w14:textId="77777777" w:rsidR="004F266A" w:rsidRPr="00B473C0" w:rsidRDefault="004F266A" w:rsidP="004F266A">
      <w:pPr>
        <w:jc w:val="both"/>
      </w:pPr>
      <w:r w:rsidRPr="00B473C0">
        <w:t xml:space="preserve">Към 30 юни 2024 г. е отчетено отрицателно нетно </w:t>
      </w:r>
      <w:r w:rsidRPr="001A262E">
        <w:rPr>
          <w:b/>
          <w:i/>
        </w:rPr>
        <w:t>външно финансиране</w:t>
      </w:r>
      <w:r w:rsidRPr="00B473C0">
        <w:t xml:space="preserve"> по </w:t>
      </w:r>
      <w:r w:rsidRPr="00CD1E38">
        <w:t xml:space="preserve">държавния бюджет </w:t>
      </w:r>
      <w:r w:rsidRPr="00B473C0">
        <w:t xml:space="preserve">в размер </w:t>
      </w:r>
      <w:r w:rsidRPr="003217F0">
        <w:t>на 118,8 млн</w:t>
      </w:r>
      <w:r w:rsidRPr="00B473C0">
        <w:t>. лв.</w:t>
      </w:r>
      <w:r>
        <w:t>, което се дължи на извършените погашения по външния държавен дълг без усвоявания</w:t>
      </w:r>
      <w:r w:rsidRPr="00024F3B">
        <w:t xml:space="preserve"> на средства по държавни заеми</w:t>
      </w:r>
      <w:r>
        <w:t xml:space="preserve"> или </w:t>
      </w:r>
      <w:r w:rsidRPr="00024F3B">
        <w:t>еврооблигации на международните капиталови пазари (МКП)</w:t>
      </w:r>
      <w:r w:rsidRPr="00B473C0">
        <w:t>.</w:t>
      </w:r>
    </w:p>
    <w:p w14:paraId="687E044B" w14:textId="77777777" w:rsidR="004F266A" w:rsidRPr="00F21EC6" w:rsidRDefault="004F266A" w:rsidP="004F266A">
      <w:pPr>
        <w:tabs>
          <w:tab w:val="left" w:pos="9356"/>
        </w:tabs>
        <w:spacing w:before="120"/>
        <w:jc w:val="both"/>
        <w:rPr>
          <w:color w:val="0070C0"/>
        </w:rPr>
      </w:pPr>
      <w:r w:rsidRPr="00DD360E">
        <w:t>Извършените погашения</w:t>
      </w:r>
      <w:r w:rsidRPr="00DE6F3E">
        <w:rPr>
          <w:b/>
        </w:rPr>
        <w:t xml:space="preserve"> </w:t>
      </w:r>
      <w:r w:rsidRPr="006317CE">
        <w:t>от централен бюджет възлизат на 61,9 млн. лв.,</w:t>
      </w:r>
      <w:r w:rsidRPr="00DD360E">
        <w:t xml:space="preserve"> </w:t>
      </w:r>
      <w:r>
        <w:t>като същите са изплатени през месец май, в т.ч. 29</w:t>
      </w:r>
      <w:r w:rsidRPr="003E2D6C">
        <w:t>,8 млн. лв. към Международната бан</w:t>
      </w:r>
      <w:r>
        <w:t>ка за възстановяване и развитие (МБВР) и 32</w:t>
      </w:r>
      <w:r w:rsidRPr="003E2D6C">
        <w:t xml:space="preserve">,1 млн. лв. </w:t>
      </w:r>
      <w:r>
        <w:t xml:space="preserve">към </w:t>
      </w:r>
      <w:r w:rsidRPr="003E2D6C">
        <w:t>Европейската инвестиционна банка</w:t>
      </w:r>
      <w:r>
        <w:t xml:space="preserve"> (ЕИБ)</w:t>
      </w:r>
      <w:r w:rsidRPr="00F21EC6">
        <w:rPr>
          <w:color w:val="0070C0"/>
        </w:rPr>
        <w:t xml:space="preserve">. </w:t>
      </w:r>
    </w:p>
    <w:p w14:paraId="4577A3A9" w14:textId="77777777" w:rsidR="004F266A" w:rsidRPr="002E0C09" w:rsidRDefault="004F266A" w:rsidP="004F266A">
      <w:pPr>
        <w:spacing w:before="120"/>
        <w:jc w:val="both"/>
      </w:pPr>
      <w:r w:rsidRPr="002E0C09">
        <w:t xml:space="preserve">Погашенията по държавни инвестиционни заеми (ДИЗ), управлявани от министерства и ведомства в края на юни са в размер на </w:t>
      </w:r>
      <w:r w:rsidRPr="002F152A">
        <w:t>52,</w:t>
      </w:r>
      <w:r>
        <w:t>4</w:t>
      </w:r>
      <w:r w:rsidRPr="002F152A">
        <w:t xml:space="preserve"> млн. лв. По заемите с краен бенефициент търговско дружество извършените погашения са в размер на </w:t>
      </w:r>
      <w:r w:rsidRPr="002F152A">
        <w:rPr>
          <w:lang w:val="ru-RU"/>
        </w:rPr>
        <w:t>4,</w:t>
      </w:r>
      <w:r>
        <w:rPr>
          <w:lang w:val="ru-RU"/>
        </w:rPr>
        <w:t>5</w:t>
      </w:r>
      <w:r w:rsidRPr="002E0C09">
        <w:t xml:space="preserve"> млн. лева.</w:t>
      </w:r>
    </w:p>
    <w:p w14:paraId="19CE723F" w14:textId="77777777" w:rsidR="004F266A" w:rsidRPr="00C0582A" w:rsidRDefault="004F266A" w:rsidP="004F266A">
      <w:pPr>
        <w:spacing w:before="120"/>
        <w:jc w:val="both"/>
      </w:pPr>
      <w:r w:rsidRPr="00C0582A">
        <w:t>Не са използвани средствата, предвидени в ЗДБРБ за 2024 г., за покриване на риска от активиране на държавни гаранции.</w:t>
      </w:r>
    </w:p>
    <w:p w14:paraId="1AC8CF24" w14:textId="77777777" w:rsidR="00162F31" w:rsidRPr="00762B3B" w:rsidRDefault="00162F31" w:rsidP="003130D1">
      <w:pPr>
        <w:pStyle w:val="BodyTextIndent"/>
        <w:numPr>
          <w:ilvl w:val="1"/>
          <w:numId w:val="9"/>
        </w:numPr>
        <w:tabs>
          <w:tab w:val="num" w:pos="900"/>
        </w:tabs>
        <w:spacing w:before="240" w:after="0"/>
        <w:ind w:left="714" w:hanging="357"/>
        <w:jc w:val="both"/>
        <w:rPr>
          <w:b/>
          <w:bCs/>
        </w:rPr>
      </w:pPr>
      <w:r w:rsidRPr="00762B3B">
        <w:rPr>
          <w:b/>
          <w:bCs/>
        </w:rPr>
        <w:t>Разходи по централн</w:t>
      </w:r>
      <w:r w:rsidRPr="00762B3B">
        <w:rPr>
          <w:b/>
          <w:bCs/>
          <w:szCs w:val="26"/>
        </w:rPr>
        <w:t xml:space="preserve">ия бюджет </w:t>
      </w:r>
      <w:r w:rsidRPr="00762B3B">
        <w:rPr>
          <w:b/>
          <w:bCs/>
        </w:rPr>
        <w:t>за субсидии, капиталови трансфери</w:t>
      </w:r>
      <w:r w:rsidRPr="00762B3B">
        <w:rPr>
          <w:bCs/>
        </w:rPr>
        <w:t xml:space="preserve"> </w:t>
      </w:r>
      <w:r w:rsidRPr="00762B3B">
        <w:rPr>
          <w:b/>
          <w:bCs/>
        </w:rPr>
        <w:t xml:space="preserve">и други разходи, свързани с дейността на реалния сектор </w:t>
      </w:r>
    </w:p>
    <w:p w14:paraId="24BF482F" w14:textId="77777777" w:rsidR="00162F31" w:rsidRPr="00793C4E" w:rsidRDefault="00162F31" w:rsidP="00162F31">
      <w:pPr>
        <w:pStyle w:val="Header"/>
        <w:jc w:val="both"/>
        <w:rPr>
          <w:color w:val="0070C0"/>
          <w:sz w:val="8"/>
          <w:szCs w:val="8"/>
        </w:rPr>
      </w:pPr>
    </w:p>
    <w:p w14:paraId="5940FE14" w14:textId="77777777" w:rsidR="00162F31" w:rsidRPr="00793C4E" w:rsidRDefault="00162F31" w:rsidP="00162F31">
      <w:pPr>
        <w:pStyle w:val="Header"/>
        <w:ind w:firstLine="567"/>
        <w:jc w:val="both"/>
        <w:rPr>
          <w:color w:val="0070C0"/>
          <w:sz w:val="4"/>
          <w:szCs w:val="4"/>
        </w:rPr>
      </w:pPr>
    </w:p>
    <w:p w14:paraId="2D60184A" w14:textId="77777777" w:rsidR="00162F31" w:rsidRPr="00CC10DA" w:rsidRDefault="00162F31" w:rsidP="00162F31">
      <w:pPr>
        <w:pStyle w:val="BodyText2"/>
        <w:spacing w:after="0" w:line="240" w:lineRule="auto"/>
        <w:ind w:firstLine="567"/>
        <w:jc w:val="both"/>
      </w:pPr>
      <w:r w:rsidRPr="00CC10DA">
        <w:t xml:space="preserve">Средствата за </w:t>
      </w:r>
      <w:r w:rsidRPr="00CC10DA">
        <w:rPr>
          <w:bCs/>
        </w:rPr>
        <w:t>субсидии</w:t>
      </w:r>
      <w:r w:rsidRPr="00CC10DA">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транспорта в планински и други райони.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p>
    <w:p w14:paraId="5A908C3F" w14:textId="77777777" w:rsidR="00162F31" w:rsidRPr="00793C4E" w:rsidRDefault="00162F31" w:rsidP="00162F31">
      <w:pPr>
        <w:widowControl w:val="0"/>
        <w:ind w:firstLine="567"/>
        <w:jc w:val="both"/>
        <w:rPr>
          <w:color w:val="0070C0"/>
        </w:rPr>
      </w:pPr>
      <w:r w:rsidRPr="00272952">
        <w:rPr>
          <w:noProof/>
        </w:rPr>
        <w:t>Към 30.06.2024 г. предоставените за тази цел средства са в размер на 84, 9 млн. лв., в т.</w:t>
      </w:r>
      <w:r w:rsidRPr="00153C68">
        <w:rPr>
          <w:noProof/>
          <w:lang w:val="ru-RU"/>
        </w:rPr>
        <w:t xml:space="preserve"> </w:t>
      </w:r>
      <w:r w:rsidRPr="00272952">
        <w:rPr>
          <w:noProof/>
        </w:rPr>
        <w:t>ч. за Столична община – в размер на 44</w:t>
      </w:r>
      <w:r>
        <w:rPr>
          <w:noProof/>
        </w:rPr>
        <w:t>,</w:t>
      </w:r>
      <w:r w:rsidRPr="00272952">
        <w:rPr>
          <w:noProof/>
        </w:rPr>
        <w:t>5 млн. лв. Средствата се разпределят по общини по предложение на Министерството на транспорта и съобщенията, с изключение на тези за Столична община</w:t>
      </w:r>
      <w:r w:rsidRPr="00793C4E">
        <w:rPr>
          <w:color w:val="0070C0"/>
        </w:rPr>
        <w:t xml:space="preserve">. </w:t>
      </w:r>
    </w:p>
    <w:p w14:paraId="76614405" w14:textId="77777777" w:rsidR="00162F31" w:rsidRPr="00B00498" w:rsidRDefault="00162F31" w:rsidP="00162F31">
      <w:pPr>
        <w:ind w:firstLine="567"/>
        <w:jc w:val="both"/>
      </w:pPr>
      <w:r w:rsidRPr="00B00498">
        <w:t>За първите шест месеца на 2024 г.</w:t>
      </w:r>
      <w:r w:rsidRPr="00B00498">
        <w:rPr>
          <w:b/>
          <w:i/>
        </w:rPr>
        <w:t xml:space="preserve"> от капиталови трансфери</w:t>
      </w:r>
      <w:r w:rsidRPr="00B00498">
        <w:t xml:space="preserve"> по централния бюджет предвидени за изпълнение на Програмите за отстраняване на нанесени щети </w:t>
      </w:r>
      <w:r w:rsidRPr="00B00498">
        <w:rPr>
          <w:noProof/>
        </w:rPr>
        <w:t>върху околната среда</w:t>
      </w:r>
      <w:r w:rsidRPr="00B00498">
        <w:t>, настъпили от минали действия или бездействия, при приватизация, не са изразходвани средства.</w:t>
      </w:r>
    </w:p>
    <w:p w14:paraId="0C7B6CAE" w14:textId="77777777" w:rsidR="00162F31" w:rsidRPr="00257176" w:rsidRDefault="00162F31" w:rsidP="00162F31">
      <w:pPr>
        <w:spacing w:before="120" w:after="120"/>
        <w:ind w:firstLine="567"/>
        <w:jc w:val="both"/>
      </w:pPr>
      <w:r w:rsidRPr="00A401B4">
        <w:rPr>
          <w:bCs/>
        </w:rPr>
        <w:t xml:space="preserve">По централния бюджет са предвидени и </w:t>
      </w:r>
      <w:r w:rsidRPr="00A401B4">
        <w:rPr>
          <w:b/>
          <w:bCs/>
        </w:rPr>
        <w:t>други разходи</w:t>
      </w:r>
      <w:r w:rsidRPr="00A401B4">
        <w:rPr>
          <w:bCs/>
        </w:rPr>
        <w:t>, свързани с к</w:t>
      </w:r>
      <w:r w:rsidRPr="00A401B4">
        <w:t xml:space="preserve">омпенсиране със средства от държавния бюджет на </w:t>
      </w:r>
      <w:r w:rsidRPr="00A401B4">
        <w:rPr>
          <w:bCs/>
        </w:rPr>
        <w:t>намалените приходи от прилагането на цени за пътуване, предвидени в нормативни актове за определени категории пътници</w:t>
      </w:r>
      <w:r w:rsidRPr="00A401B4">
        <w:t xml:space="preserve"> по железопътния и автомобилния транспорт. Средствата </w:t>
      </w:r>
      <w:r w:rsidRPr="00A401B4">
        <w:rPr>
          <w:bCs/>
        </w:rPr>
        <w:t xml:space="preserve">се предоставят на „БДЖ-Пътнически превози“ ЕООД за компенсации за пътувания с железопътния транспорт и под формата на целеви трансфер на </w:t>
      </w:r>
      <w:r w:rsidRPr="00257176">
        <w:rPr>
          <w:bCs/>
        </w:rPr>
        <w:t xml:space="preserve">общините - </w:t>
      </w:r>
      <w:r w:rsidRPr="00257176">
        <w:t xml:space="preserve">за автомобилния транспорт. </w:t>
      </w:r>
    </w:p>
    <w:p w14:paraId="7605023C" w14:textId="77777777" w:rsidR="00162F31" w:rsidRPr="00A6101F" w:rsidRDefault="00162F31" w:rsidP="00162F31">
      <w:pPr>
        <w:tabs>
          <w:tab w:val="left" w:pos="851"/>
        </w:tabs>
        <w:ind w:firstLine="567"/>
        <w:jc w:val="both"/>
        <w:rPr>
          <w:sz w:val="8"/>
          <w:szCs w:val="8"/>
        </w:rPr>
      </w:pPr>
      <w:r w:rsidRPr="00257176">
        <w:t xml:space="preserve"> Предоставените средства за първото полугодие на 2024 г. са общо в размер на 114,2 млн. лв., в т.ч. за вътрешноградския транспорт, междуселищния автомобилен транспорт и железопътния транспорт.</w:t>
      </w:r>
      <w:r w:rsidRPr="00A6101F">
        <w:t xml:space="preserve"> </w:t>
      </w:r>
    </w:p>
    <w:p w14:paraId="3933AC63" w14:textId="77777777" w:rsidR="00162F31" w:rsidRPr="00303E9C" w:rsidRDefault="00162F31" w:rsidP="00162F31">
      <w:pPr>
        <w:tabs>
          <w:tab w:val="left" w:pos="851"/>
        </w:tabs>
        <w:ind w:firstLine="567"/>
        <w:jc w:val="both"/>
      </w:pPr>
      <w:r w:rsidRPr="00303E9C">
        <w:t xml:space="preserve">Предоставените средства към 30.06.2024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303E9C">
        <w:rPr>
          <w:noProof/>
        </w:rPr>
        <w:t xml:space="preserve">вътрешноградски транспорт и междуселищен </w:t>
      </w:r>
      <w:r w:rsidRPr="00303E9C">
        <w:t>автомобилен транспорт или железопътен транспорт са както следва:</w:t>
      </w:r>
    </w:p>
    <w:p w14:paraId="0E691DB8" w14:textId="77777777" w:rsidR="00162F31" w:rsidRPr="00586229" w:rsidRDefault="00162F31" w:rsidP="00162F31">
      <w:pPr>
        <w:ind w:firstLine="567"/>
        <w:jc w:val="both"/>
      </w:pPr>
      <w:r w:rsidRPr="00586229">
        <w:t xml:space="preserve">- компенсации за пътувания с железопътния транспорт в размер на 4,0 млн. лв.; </w:t>
      </w:r>
    </w:p>
    <w:p w14:paraId="71A5E7D1" w14:textId="520F6B86" w:rsidR="00162F31" w:rsidRPr="00793C4E" w:rsidRDefault="00162F31" w:rsidP="00162F31">
      <w:pPr>
        <w:tabs>
          <w:tab w:val="left" w:pos="540"/>
          <w:tab w:val="left" w:pos="709"/>
        </w:tabs>
        <w:ind w:firstLine="567"/>
        <w:jc w:val="both"/>
        <w:rPr>
          <w:noProof/>
          <w:color w:val="0070C0"/>
        </w:rPr>
      </w:pPr>
      <w:r w:rsidRPr="00793C4E">
        <w:rPr>
          <w:noProof/>
          <w:color w:val="0070C0"/>
        </w:rPr>
        <w:t>- </w:t>
      </w:r>
      <w:r w:rsidRPr="00D123B3">
        <w:rPr>
          <w:noProof/>
        </w:rPr>
        <w:t>компенсации за пътувания с вътрешноградски транспорт и междуселищния автомобилен транспорт в страната</w:t>
      </w:r>
      <w:r w:rsidR="006F5C63">
        <w:rPr>
          <w:noProof/>
        </w:rPr>
        <w:t xml:space="preserve"> </w:t>
      </w:r>
      <w:r w:rsidRPr="00D123B3">
        <w:rPr>
          <w:noProof/>
        </w:rPr>
        <w:t xml:space="preserve">– 110,2 млн. лв. </w:t>
      </w:r>
    </w:p>
    <w:p w14:paraId="04BB442D" w14:textId="77777777" w:rsidR="00162F31" w:rsidRPr="008060B9" w:rsidRDefault="00162F31" w:rsidP="00162F31">
      <w:pPr>
        <w:ind w:firstLine="567"/>
        <w:jc w:val="both"/>
        <w:rPr>
          <w:noProof/>
        </w:rPr>
      </w:pPr>
      <w:r w:rsidRPr="008060B9">
        <w:rPr>
          <w:noProof/>
        </w:rPr>
        <w:t xml:space="preserve">Предоставените средства за </w:t>
      </w:r>
      <w:r w:rsidRPr="008060B9">
        <w:t>компенсиране на намалените приходи от прилагането на цени за пътуване, предвидени в нормативни актове за определени категории пътници,</w:t>
      </w:r>
      <w:r w:rsidRPr="008060B9">
        <w:rPr>
          <w:noProof/>
        </w:rPr>
        <w:t xml:space="preserve"> по вътрешноградския транспорт и междуселищния автомобилен транспорт за първите шест месеца на 2024 г., диференцирани по групи правоимащи лица и размер на намалението спрямо редовната цена, са както следва:</w:t>
      </w:r>
    </w:p>
    <w:p w14:paraId="1F332095" w14:textId="77777777" w:rsidR="00162F31" w:rsidRPr="00777E18" w:rsidRDefault="00162F31" w:rsidP="00162F31">
      <w:pPr>
        <w:pStyle w:val="BodyTextIndent"/>
        <w:spacing w:after="0"/>
        <w:ind w:left="0" w:firstLine="567"/>
        <w:jc w:val="both"/>
      </w:pPr>
      <w:r w:rsidRPr="00777E18">
        <w:t xml:space="preserve">- 42,4 млн. лв. за транспорт на деца и ученици; </w:t>
      </w:r>
    </w:p>
    <w:p w14:paraId="0775AA61" w14:textId="77777777" w:rsidR="00162F31" w:rsidRPr="00777E18" w:rsidRDefault="00162F31" w:rsidP="00162F31">
      <w:pPr>
        <w:pStyle w:val="BodyTextIndent"/>
        <w:tabs>
          <w:tab w:val="left" w:pos="1026"/>
        </w:tabs>
        <w:spacing w:after="0"/>
        <w:ind w:left="0" w:firstLine="567"/>
        <w:jc w:val="both"/>
      </w:pPr>
      <w:r w:rsidRPr="00777E18">
        <w:t>- 67,8 млн. лв. за безплатни и по намалени цени пътувания по общини, в това число:</w:t>
      </w:r>
    </w:p>
    <w:p w14:paraId="48161232" w14:textId="77777777" w:rsidR="00162F31" w:rsidRPr="00793949" w:rsidRDefault="00162F31" w:rsidP="00162F31">
      <w:pPr>
        <w:numPr>
          <w:ilvl w:val="0"/>
          <w:numId w:val="30"/>
        </w:numPr>
        <w:tabs>
          <w:tab w:val="left" w:pos="993"/>
        </w:tabs>
        <w:jc w:val="both"/>
      </w:pPr>
      <w:r w:rsidRPr="00793949">
        <w:t xml:space="preserve">59,3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14 навършени години, учащи се и лица, получаващи пенсия, </w:t>
      </w:r>
      <w:r w:rsidRPr="00793949">
        <w:rPr>
          <w:noProof/>
        </w:rPr>
        <w:t>лица с намалена работоспособност над 70,99 на 100 с вътрешноградския транспорт и междуселищния автомобилен транспорт</w:t>
      </w:r>
      <w:r w:rsidRPr="00793949">
        <w:t xml:space="preserve">; </w:t>
      </w:r>
    </w:p>
    <w:p w14:paraId="11C4E288" w14:textId="77777777" w:rsidR="00162F31" w:rsidRDefault="00162F31" w:rsidP="00162F31">
      <w:pPr>
        <w:numPr>
          <w:ilvl w:val="0"/>
          <w:numId w:val="30"/>
        </w:numPr>
        <w:tabs>
          <w:tab w:val="left" w:pos="993"/>
        </w:tabs>
        <w:jc w:val="both"/>
      </w:pPr>
      <w:r w:rsidRPr="00FB094A">
        <w:t>8,5 млн. лв. за превоз на служители, ползващи право на безплатно пътуване при изпълнение на служебните си задължения.</w:t>
      </w:r>
    </w:p>
    <w:p w14:paraId="49333121" w14:textId="77777777" w:rsidR="00162F31" w:rsidRPr="00FB094A" w:rsidRDefault="00162F31" w:rsidP="00162F31">
      <w:pPr>
        <w:tabs>
          <w:tab w:val="left" w:pos="567"/>
        </w:tabs>
        <w:ind w:firstLine="567"/>
        <w:jc w:val="both"/>
      </w:pPr>
      <w:r w:rsidRPr="007E2A21">
        <w:t>Средствата се разпределят по общини по предложение на Министерството на транспорта и съобщенията, Министерството на образованието и науката и на министерствата и ведомствата, чиито служители ползват право на безплатно пътуване за изпълнение на служебните си задължения в изпълнение на законови разпоредби.</w:t>
      </w:r>
    </w:p>
    <w:p w14:paraId="77A2C9EA" w14:textId="77777777" w:rsidR="00162F31" w:rsidRPr="00162F31" w:rsidRDefault="00162F31" w:rsidP="005E6235">
      <w:pPr>
        <w:pStyle w:val="BodyTextIndent"/>
        <w:numPr>
          <w:ilvl w:val="1"/>
          <w:numId w:val="9"/>
        </w:numPr>
        <w:tabs>
          <w:tab w:val="num" w:pos="900"/>
        </w:tabs>
        <w:spacing w:before="240" w:after="0"/>
        <w:ind w:left="714" w:hanging="357"/>
        <w:jc w:val="both"/>
        <w:rPr>
          <w:b/>
          <w:bCs/>
        </w:rPr>
      </w:pPr>
      <w:r w:rsidRPr="00162F31">
        <w:rPr>
          <w:b/>
          <w:bCs/>
        </w:rPr>
        <w:t>Бюджет на съдебната власт</w:t>
      </w:r>
    </w:p>
    <w:p w14:paraId="3B291EE7" w14:textId="77777777" w:rsidR="00162F31" w:rsidRPr="00EE1E58" w:rsidRDefault="00162F31" w:rsidP="005E6235">
      <w:pPr>
        <w:spacing w:before="120"/>
        <w:jc w:val="both"/>
      </w:pPr>
      <w:r w:rsidRPr="00EE1E58">
        <w:t>За първото полугодие на 202</w:t>
      </w:r>
      <w:r w:rsidRPr="00EE1E58">
        <w:rPr>
          <w:lang w:val="ru-RU"/>
        </w:rPr>
        <w:t>4</w:t>
      </w:r>
      <w:r w:rsidRPr="00EE1E58">
        <w:t xml:space="preserve"> г. по бюджета на съдебната власт са отчетени </w:t>
      </w:r>
      <w:r w:rsidRPr="00EE1E58">
        <w:rPr>
          <w:b/>
        </w:rPr>
        <w:t>приходи</w:t>
      </w:r>
      <w:r w:rsidRPr="00EE1E58">
        <w:t xml:space="preserve"> в размер на </w:t>
      </w:r>
      <w:r w:rsidRPr="00EE1E58">
        <w:rPr>
          <w:lang w:val="ru-RU"/>
        </w:rPr>
        <w:t>55,6</w:t>
      </w:r>
      <w:r w:rsidRPr="00EE1E58">
        <w:t xml:space="preserve"> млн. лв., от които 45,3 млн. лв. - приходи от съдебни такси. За сравнение, към 30.06.2023 г. са отчетени общо приходи в размер на 47,3 млн. лв., от които 40,0 млн. лв. - приходи от съдебни такси.</w:t>
      </w:r>
    </w:p>
    <w:p w14:paraId="3393585D" w14:textId="77777777" w:rsidR="00162F31" w:rsidRPr="00793C4E" w:rsidRDefault="00162F31" w:rsidP="00162F31">
      <w:pPr>
        <w:tabs>
          <w:tab w:val="left" w:pos="90"/>
        </w:tabs>
        <w:spacing w:before="120"/>
        <w:jc w:val="both"/>
        <w:rPr>
          <w:color w:val="0070C0"/>
        </w:rPr>
      </w:pPr>
      <w:r w:rsidRPr="00EE1E58">
        <w:rPr>
          <w:b/>
        </w:rPr>
        <w:t xml:space="preserve">Разходите </w:t>
      </w:r>
      <w:r w:rsidRPr="00EE1E58">
        <w:t>по бюджета на съдебната власт</w:t>
      </w:r>
      <w:r w:rsidRPr="00EE1E58">
        <w:rPr>
          <w:b/>
        </w:rPr>
        <w:t xml:space="preserve"> </w:t>
      </w:r>
      <w:r w:rsidRPr="00EE1E58">
        <w:t>към 30.06.2024 г.</w:t>
      </w:r>
      <w:r w:rsidRPr="00EE1E58">
        <w:rPr>
          <w:b/>
        </w:rPr>
        <w:t xml:space="preserve"> </w:t>
      </w:r>
      <w:r w:rsidRPr="00EE1E58">
        <w:t xml:space="preserve">са в размер на 589,3 млн. лв., като с </w:t>
      </w:r>
      <w:r w:rsidRPr="00583B7A">
        <w:t xml:space="preserve">най-голям относителен дял от отчетените разходи са тези за персонал – </w:t>
      </w:r>
      <w:r>
        <w:t>92,3</w:t>
      </w:r>
      <w:r w:rsidRPr="00583B7A">
        <w:t xml:space="preserve"> % (544,0 млн. лв.). За сравнение, през същия период на 2023 г. са отчетени общо разходи в размер 466,5 млн. лева.</w:t>
      </w:r>
    </w:p>
    <w:p w14:paraId="5AB19C11" w14:textId="77777777" w:rsidR="00162F31" w:rsidRPr="00162F31" w:rsidRDefault="00162F31" w:rsidP="00162F31">
      <w:pPr>
        <w:pStyle w:val="Heading1"/>
        <w:numPr>
          <w:ilvl w:val="0"/>
          <w:numId w:val="9"/>
        </w:numPr>
        <w:tabs>
          <w:tab w:val="left" w:pos="90"/>
          <w:tab w:val="left" w:pos="993"/>
        </w:tabs>
        <w:spacing w:before="240" w:after="120"/>
        <w:ind w:left="0" w:right="-108" w:firstLine="567"/>
        <w:jc w:val="both"/>
        <w:rPr>
          <w:sz w:val="24"/>
        </w:rPr>
      </w:pPr>
      <w:r w:rsidRPr="00162F31">
        <w:rPr>
          <w:sz w:val="24"/>
        </w:rPr>
        <w:t>Просрочени задължения</w:t>
      </w:r>
    </w:p>
    <w:p w14:paraId="6ABD11CA" w14:textId="77777777" w:rsidR="00162F31" w:rsidRPr="00793C4E" w:rsidRDefault="00162F31" w:rsidP="00162F31">
      <w:pPr>
        <w:spacing w:after="120"/>
        <w:jc w:val="both"/>
        <w:rPr>
          <w:color w:val="0070C0"/>
        </w:rPr>
      </w:pPr>
      <w:r w:rsidRPr="009D16F1">
        <w:t xml:space="preserve">Към </w:t>
      </w:r>
      <w:r w:rsidRPr="00153C68">
        <w:rPr>
          <w:lang w:val="ru-RU"/>
        </w:rPr>
        <w:t>30</w:t>
      </w:r>
      <w:r w:rsidRPr="009D16F1">
        <w:t>.</w:t>
      </w:r>
      <w:r w:rsidRPr="00153C68">
        <w:rPr>
          <w:lang w:val="ru-RU"/>
        </w:rPr>
        <w:t>06</w:t>
      </w:r>
      <w:r w:rsidRPr="009D16F1">
        <w:t xml:space="preserve">.2024 г. просрочените задължения на централно и местно правителство са в размер на </w:t>
      </w:r>
      <w:r w:rsidRPr="00F82A15">
        <w:rPr>
          <w:b/>
        </w:rPr>
        <w:t>320,6 млн. лева.</w:t>
      </w:r>
      <w:r w:rsidRPr="00F82A15">
        <w:t xml:space="preserve"> </w:t>
      </w:r>
    </w:p>
    <w:p w14:paraId="72605583" w14:textId="77777777" w:rsidR="00162F31" w:rsidRPr="00793C4E" w:rsidRDefault="00162F31" w:rsidP="00162F31">
      <w:pPr>
        <w:spacing w:before="120"/>
        <w:jc w:val="both"/>
        <w:rPr>
          <w:noProof/>
          <w:color w:val="0070C0"/>
        </w:rPr>
      </w:pPr>
      <w:r w:rsidRPr="009D16F1">
        <w:t xml:space="preserve">Размерът на просрочените задължения на </w:t>
      </w:r>
      <w:r w:rsidRPr="009D16F1">
        <w:rPr>
          <w:b/>
        </w:rPr>
        <w:t>централното правителство</w:t>
      </w:r>
      <w:r w:rsidRPr="009D16F1">
        <w:t xml:space="preserve"> (министерства, ведомства и </w:t>
      </w:r>
      <w:r w:rsidRPr="00A80093">
        <w:t>разпоредителите с бюджет по чл. 13, ал. 3 и ал. 4 на ЗПФ) е</w:t>
      </w:r>
      <w:r w:rsidRPr="00A80093">
        <w:rPr>
          <w:b/>
        </w:rPr>
        <w:t xml:space="preserve"> 214,5 млн. лева. </w:t>
      </w:r>
      <w:r w:rsidRPr="00A80093">
        <w:t xml:space="preserve">Спрямо отчетените в края на 2023 г. те намаляват с 16,0 </w:t>
      </w:r>
      <w:r w:rsidRPr="002F6141">
        <w:t>млн. лева</w:t>
      </w:r>
      <w:r w:rsidRPr="00544E9E">
        <w:t xml:space="preserve">. В обхвата на държавния бюджет по-значими проблеми с наличие на просрочени задължения има </w:t>
      </w:r>
      <w:r w:rsidRPr="00544E9E">
        <w:rPr>
          <w:bCs/>
        </w:rPr>
        <w:t>при следните министерства</w:t>
      </w:r>
      <w:r w:rsidRPr="00544E9E">
        <w:t xml:space="preserve">: </w:t>
      </w:r>
      <w:r w:rsidRPr="00544E9E">
        <w:rPr>
          <w:bCs/>
        </w:rPr>
        <w:t xml:space="preserve">Министерството на регионалното развитие и благоустройството – 167,7 млн. лв. </w:t>
      </w:r>
      <w:r w:rsidRPr="00544E9E">
        <w:rPr>
          <w:noProof/>
        </w:rPr>
        <w:t>(намаление с 12,9 млн. лв.</w:t>
      </w:r>
      <w:r w:rsidRPr="00544E9E">
        <w:t xml:space="preserve"> спрямо просрочията в края на </w:t>
      </w:r>
      <w:r w:rsidRPr="00871F9E">
        <w:t>2023 г</w:t>
      </w:r>
      <w:r>
        <w:t>.</w:t>
      </w:r>
      <w:r w:rsidRPr="0044006F">
        <w:t xml:space="preserve"> </w:t>
      </w:r>
      <w:r w:rsidRPr="002F6141">
        <w:t xml:space="preserve">във връзка с обезпечени със средства </w:t>
      </w:r>
      <w:r w:rsidRPr="002F6141">
        <w:rPr>
          <w:noProof/>
        </w:rPr>
        <w:t xml:space="preserve">договори за текущ ремонт и поддържане на републиканските </w:t>
      </w:r>
      <w:r w:rsidRPr="00544E9E">
        <w:rPr>
          <w:noProof/>
        </w:rPr>
        <w:t>пътища, вкл. и зимно поддържане</w:t>
      </w:r>
      <w:r w:rsidRPr="00871F9E">
        <w:t>)</w:t>
      </w:r>
      <w:r w:rsidRPr="00871F9E">
        <w:rPr>
          <w:lang w:val="ru-RU"/>
        </w:rPr>
        <w:t xml:space="preserve">; </w:t>
      </w:r>
      <w:r w:rsidRPr="00871F9E">
        <w:rPr>
          <w:noProof/>
        </w:rPr>
        <w:t xml:space="preserve">Министерството на земеделието и храните – 16,6 млн. лв. (намаление с 6,4 млн. лв. </w:t>
      </w:r>
      <w:r w:rsidRPr="00871F9E">
        <w:t xml:space="preserve">спрямо </w:t>
      </w:r>
      <w:r w:rsidRPr="000932A6">
        <w:t>просрочията в края на 2023 г.</w:t>
      </w:r>
      <w:r w:rsidRPr="000932A6">
        <w:rPr>
          <w:noProof/>
        </w:rPr>
        <w:t xml:space="preserve">); Министерството на отбраната – </w:t>
      </w:r>
      <w:r w:rsidRPr="00C64E0D">
        <w:rPr>
          <w:noProof/>
        </w:rPr>
        <w:t xml:space="preserve">3,4 млн. лв. (увеличение с 0,3 млн. лв. спрямо отчетените в края на 2023 г.), в т.ч. 3,3 млн. лв. на ВМА. От разпоредителите с бюджет по чл. 13, ал. 3 на Закона за публичните финанси проблеми </w:t>
      </w:r>
      <w:r w:rsidRPr="00747FEA">
        <w:rPr>
          <w:noProof/>
        </w:rPr>
        <w:t xml:space="preserve">с наличието на просрочени задължения има основно при държавните висши училища – 6,5 млн. лв. (увеличение с 1,1 млн. лв. </w:t>
      </w:r>
      <w:r w:rsidRPr="00747FEA">
        <w:t xml:space="preserve">спрямо отчетените в края на 2023 г. и представляват задължения за комунални услуги, неплатени данък сгради и такса смет на общините от Софийския университет „Св. Климент Охридски“, надвнесени такси от студенти и специализанти на Медицинския университет - София и просрочени задължения към МБАЛ "Света Марина" - Варна от </w:t>
      </w:r>
      <w:r w:rsidRPr="00083CA9">
        <w:t>Техническия университет Варна</w:t>
      </w:r>
      <w:r w:rsidRPr="00083CA9">
        <w:rPr>
          <w:noProof/>
        </w:rPr>
        <w:t xml:space="preserve">), Българската национална телевизия – 10,2 млн. лв. (увеличение с 4,5 млн. лв. </w:t>
      </w:r>
      <w:r w:rsidRPr="00083CA9">
        <w:t>спрямо отчетените в края на 2023 г.</w:t>
      </w:r>
      <w:r w:rsidRPr="00083CA9">
        <w:rPr>
          <w:noProof/>
        </w:rPr>
        <w:t xml:space="preserve">, като това са основно </w:t>
      </w:r>
      <w:r w:rsidRPr="00083CA9">
        <w:t xml:space="preserve">просрочени задължения към </w:t>
      </w:r>
      <w:r w:rsidRPr="00AA7240">
        <w:t xml:space="preserve">доставчици в страната) и </w:t>
      </w:r>
      <w:r w:rsidRPr="00AA7240">
        <w:rPr>
          <w:noProof/>
        </w:rPr>
        <w:t xml:space="preserve">Българското национало радио – 2,9 млн. лв. (увеличение с </w:t>
      </w:r>
      <w:r w:rsidRPr="00AA7240">
        <w:rPr>
          <w:noProof/>
          <w:lang w:val="ru-RU"/>
        </w:rPr>
        <w:t>0</w:t>
      </w:r>
      <w:r w:rsidRPr="00AA7240">
        <w:rPr>
          <w:noProof/>
        </w:rPr>
        <w:t>,</w:t>
      </w:r>
      <w:r>
        <w:rPr>
          <w:noProof/>
        </w:rPr>
        <w:t>3</w:t>
      </w:r>
      <w:r w:rsidRPr="00AA7240">
        <w:rPr>
          <w:noProof/>
        </w:rPr>
        <w:t xml:space="preserve"> млн. лв. спрямо просрочията в края на 2023 г.</w:t>
      </w:r>
      <w:r w:rsidRPr="00AA7240">
        <w:t xml:space="preserve">, като това са основно </w:t>
      </w:r>
      <w:r w:rsidRPr="00AA7240">
        <w:rPr>
          <w:szCs w:val="20"/>
        </w:rPr>
        <w:t xml:space="preserve">просрочени задължения за данъци, вноски, такси и административни санкции към Столична община за такса битови отпадъци за </w:t>
      </w:r>
      <w:r w:rsidRPr="00960614">
        <w:rPr>
          <w:szCs w:val="20"/>
        </w:rPr>
        <w:t xml:space="preserve">минали периоди, в т.ч. </w:t>
      </w:r>
      <w:r w:rsidRPr="00960614">
        <w:rPr>
          <w:szCs w:val="20"/>
          <w:lang w:val="ru-RU"/>
        </w:rPr>
        <w:t>1</w:t>
      </w:r>
      <w:r w:rsidRPr="00960614">
        <w:rPr>
          <w:szCs w:val="20"/>
        </w:rPr>
        <w:t>,3 млн. лв. за лихви</w:t>
      </w:r>
      <w:r w:rsidRPr="00960614">
        <w:t>)</w:t>
      </w:r>
      <w:r w:rsidRPr="00960614">
        <w:rPr>
          <w:noProof/>
        </w:rPr>
        <w:t xml:space="preserve">. От разпоредителите с бюджет по чл. 13, ал. 4 на Закона за публичните финанси проблеми наличие на просрочени задължения има при Държавно предприятие „Научно-производствен център“ – 2,1 млн. лв. (увеличение с 0,1 млн. лв. </w:t>
      </w:r>
      <w:r w:rsidRPr="00960614">
        <w:t>спрямо отчетените в края на 2023 г.</w:t>
      </w:r>
      <w:r w:rsidRPr="00960614">
        <w:rPr>
          <w:lang w:val="ru-RU"/>
        </w:rPr>
        <w:t>)</w:t>
      </w:r>
      <w:r w:rsidRPr="00960614">
        <w:t>.</w:t>
      </w:r>
    </w:p>
    <w:p w14:paraId="74BD6857" w14:textId="77777777" w:rsidR="00162F31" w:rsidRPr="00793C4E" w:rsidRDefault="00162F31" w:rsidP="00162F31">
      <w:pPr>
        <w:spacing w:before="120" w:after="120"/>
        <w:jc w:val="both"/>
        <w:rPr>
          <w:noProof/>
          <w:color w:val="0070C0"/>
        </w:rPr>
      </w:pPr>
      <w:r w:rsidRPr="00054ECC">
        <w:rPr>
          <w:noProof/>
        </w:rPr>
        <w:t xml:space="preserve">Просрочените задължения по </w:t>
      </w:r>
      <w:r w:rsidRPr="00054ECC">
        <w:rPr>
          <w:b/>
          <w:noProof/>
        </w:rPr>
        <w:t>бюджетите на общините</w:t>
      </w:r>
      <w:r w:rsidRPr="00054ECC">
        <w:rPr>
          <w:noProof/>
        </w:rPr>
        <w:t xml:space="preserve"> към </w:t>
      </w:r>
      <w:r w:rsidRPr="00153C68">
        <w:rPr>
          <w:lang w:val="ru-RU"/>
        </w:rPr>
        <w:t>30</w:t>
      </w:r>
      <w:r w:rsidRPr="00054ECC">
        <w:t>.</w:t>
      </w:r>
      <w:r w:rsidRPr="00153C68">
        <w:rPr>
          <w:lang w:val="ru-RU"/>
        </w:rPr>
        <w:t>06</w:t>
      </w:r>
      <w:r w:rsidRPr="00054ECC">
        <w:t xml:space="preserve">.2024 г. </w:t>
      </w:r>
      <w:r w:rsidRPr="00054ECC">
        <w:rPr>
          <w:noProof/>
        </w:rPr>
        <w:t xml:space="preserve">са в размер на </w:t>
      </w:r>
      <w:r w:rsidRPr="00153C68">
        <w:rPr>
          <w:b/>
          <w:noProof/>
          <w:lang w:val="ru-RU"/>
        </w:rPr>
        <w:t>106</w:t>
      </w:r>
      <w:r w:rsidRPr="00A66CED">
        <w:rPr>
          <w:b/>
          <w:noProof/>
        </w:rPr>
        <w:t>,1 млн. лв.,</w:t>
      </w:r>
      <w:r w:rsidRPr="00A66CED">
        <w:rPr>
          <w:noProof/>
        </w:rPr>
        <w:t xml:space="preserve"> като спрямо </w:t>
      </w:r>
      <w:r w:rsidRPr="00A66CED">
        <w:t xml:space="preserve">края на 2023 г. </w:t>
      </w:r>
      <w:r w:rsidRPr="00A66CED">
        <w:rPr>
          <w:noProof/>
        </w:rPr>
        <w:t xml:space="preserve">се отчита намаление с 52,1 млн. лева. С най-голям относителен дял в просрочените задължения по бюджетите на общините към края на месец юни </w:t>
      </w:r>
      <w:r w:rsidRPr="00390663">
        <w:rPr>
          <w:noProof/>
        </w:rPr>
        <w:t>2024 г. са просрочените задължения към доставчици, които са в размер на 94,8 млн. лева. В делегираните от държавата дейности просрочените задължения са в размер на 6,8 млн. лева.</w:t>
      </w:r>
    </w:p>
    <w:p w14:paraId="2158C539" w14:textId="77580D0A" w:rsidR="00162F31" w:rsidRPr="004B47E6" w:rsidRDefault="00162F31" w:rsidP="00162F31">
      <w:pPr>
        <w:spacing w:after="120"/>
        <w:jc w:val="both"/>
        <w:rPr>
          <w:lang w:val="en-US"/>
        </w:rPr>
      </w:pPr>
      <w:r w:rsidRPr="003D5EE9">
        <w:rPr>
          <w:noProof/>
        </w:rPr>
        <w:t xml:space="preserve">Извън обхвата на консолидираната фискална програма, продължава да има проблем с просрочията на лечебните заведения за болнична помощ (държавни и общински болници – </w:t>
      </w:r>
      <w:r w:rsidRPr="004B47E6">
        <w:rPr>
          <w:noProof/>
        </w:rPr>
        <w:t xml:space="preserve">търговски дружества). </w:t>
      </w:r>
      <w:r w:rsidR="004B47E6" w:rsidRPr="004B47E6">
        <w:rPr>
          <w:noProof/>
        </w:rPr>
        <w:t>Към 30.06.2024 г. размерът на просрочените задължения е 60,3</w:t>
      </w:r>
      <w:r w:rsidR="004B47E6" w:rsidRPr="004B47E6">
        <w:rPr>
          <w:noProof/>
          <w:lang w:val="ru-RU"/>
        </w:rPr>
        <w:t xml:space="preserve"> </w:t>
      </w:r>
      <w:r w:rsidR="004B47E6" w:rsidRPr="004B47E6">
        <w:rPr>
          <w:noProof/>
        </w:rPr>
        <w:t>млн. лв., от които 46,0</w:t>
      </w:r>
      <w:r w:rsidR="004B47E6" w:rsidRPr="004B47E6">
        <w:rPr>
          <w:noProof/>
          <w:lang w:val="ru-RU"/>
        </w:rPr>
        <w:t xml:space="preserve"> </w:t>
      </w:r>
      <w:r w:rsidR="004B47E6" w:rsidRPr="004B47E6">
        <w:rPr>
          <w:noProof/>
        </w:rPr>
        <w:t>млн. лв. са на държавните болници и 14,3</w:t>
      </w:r>
      <w:r w:rsidR="004B47E6" w:rsidRPr="004B47E6">
        <w:rPr>
          <w:noProof/>
          <w:lang w:val="ru-RU"/>
        </w:rPr>
        <w:t xml:space="preserve">  </w:t>
      </w:r>
      <w:r w:rsidR="004B47E6" w:rsidRPr="004B47E6">
        <w:rPr>
          <w:noProof/>
        </w:rPr>
        <w:t>млн. лв. са на общинските болници. Спрямо отчетените просрочени задължения към 31.12.2023 г. се отчита увеличение с 4,0 млн. лв. (със 7</w:t>
      </w:r>
      <w:r w:rsidR="004B47E6" w:rsidRPr="004B47E6">
        <w:rPr>
          <w:noProof/>
          <w:lang w:val="en-US"/>
        </w:rPr>
        <w:t>,1</w:t>
      </w:r>
      <w:r w:rsidR="004B47E6" w:rsidRPr="004B47E6">
        <w:rPr>
          <w:noProof/>
        </w:rPr>
        <w:t xml:space="preserve"> на сто)</w:t>
      </w:r>
      <w:r w:rsidR="004B47E6" w:rsidRPr="004B47E6">
        <w:t>.</w:t>
      </w:r>
    </w:p>
    <w:p w14:paraId="6592D9AC" w14:textId="77777777" w:rsidR="00F521AA" w:rsidRPr="00532D16" w:rsidRDefault="00F521AA" w:rsidP="00ED2B9A">
      <w:pPr>
        <w:pStyle w:val="Heading1"/>
        <w:numPr>
          <w:ilvl w:val="0"/>
          <w:numId w:val="9"/>
        </w:numPr>
        <w:tabs>
          <w:tab w:val="left" w:pos="90"/>
          <w:tab w:val="left" w:pos="993"/>
        </w:tabs>
        <w:spacing w:before="240" w:after="120"/>
        <w:ind w:left="0" w:right="-108" w:firstLine="567"/>
        <w:jc w:val="both"/>
        <w:rPr>
          <w:sz w:val="24"/>
        </w:rPr>
      </w:pPr>
      <w:r w:rsidRPr="00532D16">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14:paraId="4DB57DA4" w14:textId="77777777" w:rsidR="00F521AA" w:rsidRPr="00532D16" w:rsidRDefault="00F521AA" w:rsidP="00F34210">
      <w:pPr>
        <w:pStyle w:val="Heading1"/>
        <w:numPr>
          <w:ilvl w:val="1"/>
          <w:numId w:val="9"/>
        </w:numPr>
        <w:tabs>
          <w:tab w:val="left" w:pos="90"/>
          <w:tab w:val="left" w:pos="993"/>
        </w:tabs>
        <w:spacing w:before="120" w:after="120"/>
        <w:ind w:left="0" w:right="-108" w:firstLine="567"/>
        <w:jc w:val="both"/>
        <w:rPr>
          <w:sz w:val="24"/>
        </w:rPr>
      </w:pPr>
      <w:r w:rsidRPr="00532D16">
        <w:rPr>
          <w:sz w:val="24"/>
        </w:rPr>
        <w:t xml:space="preserve"> Сметка за Европейски средства на Разплащателна агенция </w:t>
      </w:r>
      <w:r w:rsidR="00924745" w:rsidRPr="00532D16">
        <w:rPr>
          <w:sz w:val="24"/>
        </w:rPr>
        <w:t xml:space="preserve">ДФ „Земеделие“ </w:t>
      </w:r>
      <w:r w:rsidRPr="00532D16">
        <w:rPr>
          <w:sz w:val="24"/>
        </w:rPr>
        <w:t xml:space="preserve"> </w:t>
      </w:r>
    </w:p>
    <w:p w14:paraId="46A1D478" w14:textId="77777777" w:rsidR="006308FC" w:rsidRPr="00532D16" w:rsidRDefault="006308FC" w:rsidP="00DB4843">
      <w:pPr>
        <w:numPr>
          <w:ilvl w:val="0"/>
          <w:numId w:val="20"/>
        </w:numPr>
        <w:spacing w:before="120" w:after="120" w:line="276" w:lineRule="auto"/>
        <w:ind w:left="777" w:hanging="357"/>
        <w:jc w:val="both"/>
        <w:rPr>
          <w:b/>
          <w:lang w:eastAsia="bg-BG"/>
        </w:rPr>
      </w:pPr>
      <w:r w:rsidRPr="00532D16">
        <w:rPr>
          <w:b/>
          <w:lang w:eastAsia="bg-BG"/>
        </w:rPr>
        <w:t>Приходи</w:t>
      </w:r>
    </w:p>
    <w:p w14:paraId="4960DBE8" w14:textId="77777777" w:rsidR="00532D16" w:rsidRPr="00954CED" w:rsidRDefault="00532D16" w:rsidP="00532D16">
      <w:pPr>
        <w:ind w:firstLine="567"/>
        <w:jc w:val="both"/>
      </w:pPr>
      <w:r w:rsidRPr="00954CED">
        <w:t>За 202</w:t>
      </w:r>
      <w:r w:rsidRPr="00954CED">
        <w:rPr>
          <w:lang w:val="ru-RU"/>
        </w:rPr>
        <w:t xml:space="preserve">4 </w:t>
      </w:r>
      <w:r w:rsidRPr="00954CED">
        <w:t xml:space="preserve">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w:t>
      </w:r>
      <w:r w:rsidRPr="00954CED">
        <w:rPr>
          <w:lang w:val="ru-RU"/>
        </w:rPr>
        <w:t>674</w:t>
      </w:r>
      <w:r w:rsidRPr="00954CED">
        <w:t>,7 млн. лева.</w:t>
      </w:r>
      <w:r w:rsidRPr="00954CED">
        <w:rPr>
          <w:lang w:val="ru-RU"/>
        </w:rPr>
        <w:t xml:space="preserve"> </w:t>
      </w:r>
      <w:r w:rsidRPr="00954CED">
        <w:t>Към 30.06.202</w:t>
      </w:r>
      <w:r w:rsidRPr="00954CED">
        <w:rPr>
          <w:lang w:val="ru-RU"/>
        </w:rPr>
        <w:t xml:space="preserve">4 </w:t>
      </w:r>
      <w:r w:rsidRPr="00954CED">
        <w:t>г. постъпленията са в размер на 341,6 млн. лв., което представлява 50,6 % от годишния план. За същия период на предходната година отчетената сума в частта „Приходи“ е 174,1 млн. лева.</w:t>
      </w:r>
    </w:p>
    <w:p w14:paraId="23E124BB" w14:textId="77777777" w:rsidR="00532D16" w:rsidRPr="00954CED" w:rsidRDefault="00532D16" w:rsidP="00532D16">
      <w:pPr>
        <w:tabs>
          <w:tab w:val="left" w:pos="709"/>
        </w:tabs>
        <w:ind w:firstLine="567"/>
        <w:jc w:val="both"/>
      </w:pPr>
      <w:r w:rsidRPr="00954CED">
        <w:tab/>
        <w:t>Приходната част е формирана от приходи от наказателни лихви, помощи и дарения от чужбина и коректив на касови постъпления, както следва:</w:t>
      </w:r>
    </w:p>
    <w:p w14:paraId="0F4ADE6C" w14:textId="77777777" w:rsidR="00532D16" w:rsidRPr="00954CED" w:rsidRDefault="00532D16" w:rsidP="00532D16">
      <w:pPr>
        <w:numPr>
          <w:ilvl w:val="0"/>
          <w:numId w:val="19"/>
        </w:numPr>
        <w:tabs>
          <w:tab w:val="left" w:pos="993"/>
        </w:tabs>
        <w:spacing w:before="120" w:after="120"/>
        <w:ind w:left="1321" w:hanging="612"/>
        <w:jc w:val="both"/>
        <w:rPr>
          <w:b/>
          <w:i/>
        </w:rPr>
      </w:pPr>
      <w:r w:rsidRPr="00954CED">
        <w:rPr>
          <w:b/>
          <w:i/>
        </w:rPr>
        <w:t>Приходи от наказателни лихви</w:t>
      </w:r>
    </w:p>
    <w:p w14:paraId="46438976" w14:textId="77777777" w:rsidR="00532D16" w:rsidRPr="00954CED" w:rsidRDefault="00532D16" w:rsidP="00532D16">
      <w:pPr>
        <w:ind w:firstLine="567"/>
        <w:jc w:val="both"/>
      </w:pPr>
      <w:r w:rsidRPr="00954CED">
        <w:t>Към края на първото полугодие на 202</w:t>
      </w:r>
      <w:r w:rsidRPr="00954CED">
        <w:rPr>
          <w:lang w:val="ru-RU"/>
        </w:rPr>
        <w:t xml:space="preserve">4 </w:t>
      </w:r>
      <w:r w:rsidRPr="00954CED">
        <w:t>г. са отчетени приходи от получени наказателни лихви, свързани с вземания за възстановяване на средства от ЕК в размер на 0,7 млн. лева.</w:t>
      </w:r>
    </w:p>
    <w:p w14:paraId="27FD3E7F" w14:textId="77777777" w:rsidR="00532D16" w:rsidRPr="00954CED" w:rsidRDefault="00532D16" w:rsidP="00532D16">
      <w:pPr>
        <w:numPr>
          <w:ilvl w:val="0"/>
          <w:numId w:val="19"/>
        </w:numPr>
        <w:tabs>
          <w:tab w:val="left" w:pos="993"/>
        </w:tabs>
        <w:spacing w:before="120" w:after="120"/>
        <w:ind w:left="1321" w:hanging="612"/>
        <w:jc w:val="both"/>
        <w:rPr>
          <w:b/>
          <w:i/>
        </w:rPr>
      </w:pPr>
      <w:r w:rsidRPr="00954CED">
        <w:rPr>
          <w:b/>
          <w:i/>
        </w:rPr>
        <w:t>Текущи помощи и дарения от Европейския съюз</w:t>
      </w:r>
    </w:p>
    <w:p w14:paraId="395364AE" w14:textId="77777777" w:rsidR="00532D16" w:rsidRPr="00954CED" w:rsidRDefault="00532D16" w:rsidP="00532D16">
      <w:pPr>
        <w:ind w:firstLine="567"/>
        <w:jc w:val="both"/>
      </w:pPr>
      <w:r w:rsidRPr="00954CED">
        <w:t>Общият размер на получените приходи, отчетени в „Текущи помощи и дарения от Европейския съюз“ към 30.06.202</w:t>
      </w:r>
      <w:r w:rsidRPr="00954CED">
        <w:rPr>
          <w:lang w:val="ru-RU"/>
        </w:rPr>
        <w:t xml:space="preserve">4 </w:t>
      </w:r>
      <w:r w:rsidRPr="00954CED">
        <w:t>г. е 35,7 млн. лв., при планирани за годината средства в размер на 52,6 млн. лева.</w:t>
      </w:r>
    </w:p>
    <w:p w14:paraId="4F4A392F" w14:textId="77777777" w:rsidR="00532D16" w:rsidRPr="004E167D" w:rsidRDefault="00532D16" w:rsidP="00532D16">
      <w:pPr>
        <w:ind w:firstLine="567"/>
        <w:jc w:val="both"/>
      </w:pPr>
      <w:r w:rsidRPr="004E167D">
        <w:t>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 без директни плащания към 30.06.202</w:t>
      </w:r>
      <w:r w:rsidRPr="004E167D">
        <w:rPr>
          <w:lang w:val="ru-RU"/>
        </w:rPr>
        <w:t xml:space="preserve">4 </w:t>
      </w:r>
      <w:r w:rsidRPr="004E167D">
        <w:t>г. възлизат на 26,5 млн. лв., което е 91,1 % от планираните за годината 29,1 млн. лева. За същия период на миналата година отчетените текущи приходи са били в размер на 24,4 млн. лева.</w:t>
      </w:r>
    </w:p>
    <w:p w14:paraId="6D808EF9" w14:textId="77777777" w:rsidR="00532D16" w:rsidRPr="004E167D" w:rsidRDefault="00532D16" w:rsidP="00532D16">
      <w:pPr>
        <w:ind w:firstLine="567"/>
        <w:jc w:val="both"/>
      </w:pPr>
      <w:r w:rsidRPr="004E167D">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(ЕФГЗ) към 30.06.2024 г. са 3,4 млн. лв., което представлява 47,2</w:t>
      </w:r>
      <w:r w:rsidRPr="004E167D">
        <w:rPr>
          <w:lang w:val="ru-RU"/>
        </w:rPr>
        <w:t xml:space="preserve"> </w:t>
      </w:r>
      <w:r w:rsidRPr="004E167D">
        <w:t>% от планираните 7,2 млн. лв. за годината. За първото полугодие на 2023 г. по това направление са отчетени 3,5 млн. лева.</w:t>
      </w:r>
    </w:p>
    <w:p w14:paraId="77F9CA8F" w14:textId="77777777" w:rsidR="00532D16" w:rsidRPr="00CC53BA" w:rsidRDefault="00532D16" w:rsidP="00532D16">
      <w:pPr>
        <w:ind w:firstLine="567"/>
        <w:jc w:val="both"/>
      </w:pPr>
      <w:r w:rsidRPr="00CC53BA">
        <w:t xml:space="preserve">За периода 01.01-30.06.2024 г. са получени </w:t>
      </w:r>
      <w:r w:rsidRPr="00CC53BA">
        <w:rPr>
          <w:lang w:val="ru-RU"/>
        </w:rPr>
        <w:t>5</w:t>
      </w:r>
      <w:r w:rsidRPr="00CC53BA">
        <w:t>,</w:t>
      </w:r>
      <w:r w:rsidRPr="00CC53BA">
        <w:rPr>
          <w:lang w:val="ru-RU"/>
        </w:rPr>
        <w:t>8</w:t>
      </w:r>
      <w:r w:rsidRPr="00CC53BA">
        <w:t xml:space="preserve"> млн. лв. текущи приходи, възстановени средства от Европейския фонд за морско дело и рибарство (ЕФМДР), което представлява 35,6</w:t>
      </w:r>
      <w:r w:rsidRPr="00CC53BA">
        <w:rPr>
          <w:lang w:val="ru-RU"/>
        </w:rPr>
        <w:t> </w:t>
      </w:r>
      <w:r w:rsidRPr="00CC53BA">
        <w:t>% от годишния план в размер на 16,3 млн. лева. През същия период на миналата година са получени 2,1 млн. лв. текущи приходи.</w:t>
      </w:r>
    </w:p>
    <w:p w14:paraId="44DCC390" w14:textId="77777777" w:rsidR="00532D16" w:rsidRPr="001B78EC" w:rsidRDefault="00532D16" w:rsidP="00532D16">
      <w:pPr>
        <w:numPr>
          <w:ilvl w:val="0"/>
          <w:numId w:val="19"/>
        </w:numPr>
        <w:tabs>
          <w:tab w:val="left" w:pos="993"/>
        </w:tabs>
        <w:spacing w:before="120" w:after="120"/>
        <w:ind w:left="1321" w:hanging="612"/>
        <w:jc w:val="both"/>
        <w:rPr>
          <w:b/>
          <w:i/>
          <w:lang w:eastAsia="bg-BG"/>
        </w:rPr>
      </w:pPr>
      <w:r w:rsidRPr="001B78EC">
        <w:rPr>
          <w:b/>
          <w:i/>
          <w:lang w:eastAsia="bg-BG"/>
        </w:rPr>
        <w:t>Капиталови помощи и дарения от Европейския съюз</w:t>
      </w:r>
    </w:p>
    <w:p w14:paraId="64474FA4" w14:textId="77777777" w:rsidR="00532D16" w:rsidRPr="001B78EC" w:rsidRDefault="00532D16" w:rsidP="00532D16">
      <w:pPr>
        <w:ind w:firstLine="567"/>
        <w:jc w:val="both"/>
      </w:pPr>
      <w:r w:rsidRPr="001B78EC">
        <w:t>Общият размер на получените приходи, отчетени в „Капиталови помощи и дарения от Европейския съюз“ към 30.06.2024 г. е 311,9 млн. лв. при планирани за годината 622,1 млн. лева.</w:t>
      </w:r>
    </w:p>
    <w:p w14:paraId="1EC728BD" w14:textId="77777777" w:rsidR="00532D16" w:rsidRPr="001B78EC" w:rsidRDefault="00532D16" w:rsidP="00532D16">
      <w:pPr>
        <w:ind w:firstLine="567"/>
        <w:jc w:val="both"/>
      </w:pPr>
      <w:r w:rsidRPr="001B78EC">
        <w:t xml:space="preserve">Получените капиталови приходи от ЕЗФРСР по линия на ПРСР без директни плащания към края на месец юни 2024 г. са 308,3 млн. лв., от които 27,6 млн. лв. са аванс по линия на </w:t>
      </w:r>
      <w:r w:rsidRPr="001B78EC">
        <w:rPr>
          <w:lang w:eastAsia="bg-BG"/>
        </w:rPr>
        <w:t xml:space="preserve">Стратегическия План по ОСП 2023-2027. </w:t>
      </w:r>
      <w:r w:rsidRPr="001B78EC">
        <w:t xml:space="preserve"> Изпълнени са 50,8 % от годишния план, който е в размер на 606,6 млн. лева. За сравнение, за първото полугодие на предходната година, капиталовите приходи по ПРСР са били 144,9 млн. лева.</w:t>
      </w:r>
    </w:p>
    <w:p w14:paraId="59728C30" w14:textId="77777777" w:rsidR="00532D16" w:rsidRPr="00596AC1" w:rsidRDefault="00532D16" w:rsidP="00532D16">
      <w:pPr>
        <w:ind w:firstLine="567"/>
        <w:jc w:val="both"/>
      </w:pPr>
      <w:r w:rsidRPr="00596AC1">
        <w:t>В периода 01.01-3</w:t>
      </w:r>
      <w:r w:rsidRPr="00596AC1">
        <w:rPr>
          <w:lang w:val="ru-RU"/>
        </w:rPr>
        <w:t>0</w:t>
      </w:r>
      <w:r w:rsidRPr="00596AC1">
        <w:t>.0</w:t>
      </w:r>
      <w:r w:rsidRPr="00596AC1">
        <w:rPr>
          <w:lang w:val="ru-RU"/>
        </w:rPr>
        <w:t>6</w:t>
      </w:r>
      <w:r w:rsidRPr="00596AC1">
        <w:t>.2024 г. са получени капиталови приходи в размер 3,</w:t>
      </w:r>
      <w:r w:rsidRPr="00596AC1">
        <w:rPr>
          <w:lang w:val="ru-RU"/>
        </w:rPr>
        <w:t>6</w:t>
      </w:r>
      <w:r w:rsidRPr="00596AC1">
        <w:t xml:space="preserve"> млн. лв. от фонд ЕФМДР. Степента на изпълнение спрямо годишния разчет от 15,5 млн. лв. е </w:t>
      </w:r>
      <w:r w:rsidRPr="00596AC1">
        <w:rPr>
          <w:lang w:val="ru-RU"/>
        </w:rPr>
        <w:t>23,</w:t>
      </w:r>
      <w:r w:rsidRPr="00596AC1">
        <w:t>2 %. За същия период на предходната година по това направление са отчетени 2,2 млн. лева.</w:t>
      </w:r>
      <w:r w:rsidRPr="00596AC1">
        <w:tab/>
      </w:r>
    </w:p>
    <w:p w14:paraId="1A78E9C0" w14:textId="77777777" w:rsidR="00532D16" w:rsidRPr="00596AC1" w:rsidRDefault="00532D16" w:rsidP="00532D16">
      <w:pPr>
        <w:numPr>
          <w:ilvl w:val="0"/>
          <w:numId w:val="19"/>
        </w:numPr>
        <w:tabs>
          <w:tab w:val="left" w:pos="993"/>
        </w:tabs>
        <w:spacing w:before="120" w:after="120"/>
        <w:ind w:left="1321" w:hanging="612"/>
        <w:jc w:val="both"/>
        <w:rPr>
          <w:b/>
          <w:i/>
          <w:lang w:eastAsia="bg-BG"/>
        </w:rPr>
      </w:pPr>
      <w:r w:rsidRPr="00596AC1">
        <w:rPr>
          <w:b/>
          <w:i/>
          <w:lang w:eastAsia="bg-BG"/>
        </w:rPr>
        <w:t xml:space="preserve">Коректив на касови постъпления </w:t>
      </w:r>
    </w:p>
    <w:p w14:paraId="2BAC3C33" w14:textId="77777777" w:rsidR="00532D16" w:rsidRPr="00596AC1" w:rsidRDefault="00532D16" w:rsidP="00532D16">
      <w:pPr>
        <w:spacing w:before="120" w:after="120"/>
        <w:ind w:firstLine="567"/>
        <w:jc w:val="both"/>
        <w:rPr>
          <w:bCs/>
          <w:iCs/>
        </w:rPr>
      </w:pPr>
      <w:r w:rsidRPr="00596AC1">
        <w:rPr>
          <w:bCs/>
          <w:iCs/>
        </w:rPr>
        <w:t>Към 30.06.2024 г. отчетеният коректив на касови постъпления е минус 6,8 млн. лв. Той е формиран от размера на принудително събрани суми от НАП, за които не е извършен превод на средства по сметката на ДФЗ-РА.</w:t>
      </w:r>
    </w:p>
    <w:p w14:paraId="098E3504" w14:textId="77777777" w:rsidR="00532D16" w:rsidRPr="00596AC1" w:rsidRDefault="00532D16" w:rsidP="00532D16">
      <w:pPr>
        <w:numPr>
          <w:ilvl w:val="0"/>
          <w:numId w:val="20"/>
        </w:numPr>
        <w:spacing w:before="120" w:after="120" w:line="276" w:lineRule="auto"/>
        <w:ind w:left="777" w:hanging="357"/>
        <w:jc w:val="both"/>
        <w:rPr>
          <w:b/>
          <w:lang w:eastAsia="bg-BG"/>
        </w:rPr>
      </w:pPr>
      <w:r w:rsidRPr="00596AC1">
        <w:rPr>
          <w:b/>
          <w:lang w:eastAsia="bg-BG"/>
        </w:rPr>
        <w:t>Разходи</w:t>
      </w:r>
    </w:p>
    <w:p w14:paraId="2F948EAE" w14:textId="77777777" w:rsidR="00532D16" w:rsidRPr="002B188A" w:rsidRDefault="00532D16" w:rsidP="00532D16">
      <w:pPr>
        <w:ind w:firstLine="567"/>
        <w:jc w:val="both"/>
      </w:pPr>
      <w:r w:rsidRPr="002B188A">
        <w:t>Общият размер на планираните за 2024 г. разходи по утвърдените годишни разчети на сметката за средства от Европейския съюз на Разплащателната агенция към ДФ „Земеделие” е 971,2 млн. лева.</w:t>
      </w:r>
    </w:p>
    <w:p w14:paraId="713273D6" w14:textId="77777777" w:rsidR="00532D16" w:rsidRPr="002B188A" w:rsidRDefault="00532D16" w:rsidP="00532D16">
      <w:pPr>
        <w:ind w:firstLine="567"/>
        <w:jc w:val="both"/>
        <w:rPr>
          <w:szCs w:val="20"/>
        </w:rPr>
      </w:pPr>
      <w:r w:rsidRPr="002B188A">
        <w:rPr>
          <w:szCs w:val="20"/>
        </w:rPr>
        <w:t>Уточненият план на субсидиите за текуща дейност и капиталовите трансфери за 2024 г. е 676,3 млн. лв. Изпълнението към 30.06.2024 г. възлиза на 40,0 % от годишния план при отчетени разходи в размер на 270,5 млн. лева.</w:t>
      </w:r>
    </w:p>
    <w:p w14:paraId="3792D5A6" w14:textId="77777777" w:rsidR="00532D16" w:rsidRPr="002B188A" w:rsidRDefault="00532D16" w:rsidP="00532D16">
      <w:pPr>
        <w:ind w:firstLine="567"/>
        <w:jc w:val="both"/>
        <w:rPr>
          <w:szCs w:val="20"/>
        </w:rPr>
      </w:pPr>
      <w:r w:rsidRPr="002B188A">
        <w:rPr>
          <w:szCs w:val="20"/>
        </w:rPr>
        <w:t>Останалите планирани разходи в размер на 294,9 млн. лв. са формирани от: разходи за заплати и възнаграждения на персонала 11,1 млн. лв., задължителни осигурителни вноски от работодатели 3,5 млн. лв., издръжка 27,3 млн. лв. и придобиване на ДМА 253,0 млн. лв. Те подлежат на отчитане в § 63-00 Трансфери между сметки за средствата от ЕС.</w:t>
      </w:r>
    </w:p>
    <w:p w14:paraId="171B135B" w14:textId="77777777" w:rsidR="00532D16" w:rsidRPr="002B188A" w:rsidRDefault="00532D16" w:rsidP="00532D16">
      <w:pPr>
        <w:ind w:firstLine="709"/>
        <w:jc w:val="both"/>
      </w:pPr>
      <w:r w:rsidRPr="002B188A">
        <w:t>Изпълнението на отчетените разходи е както следва:</w:t>
      </w:r>
    </w:p>
    <w:p w14:paraId="04C23991" w14:textId="77777777" w:rsidR="00532D16" w:rsidRPr="002B188A" w:rsidRDefault="00532D16" w:rsidP="007654C6">
      <w:pPr>
        <w:numPr>
          <w:ilvl w:val="0"/>
          <w:numId w:val="19"/>
        </w:numPr>
        <w:tabs>
          <w:tab w:val="left" w:pos="993"/>
        </w:tabs>
        <w:spacing w:before="120" w:after="120"/>
        <w:ind w:left="1134" w:hanging="425"/>
        <w:jc w:val="both"/>
        <w:rPr>
          <w:b/>
          <w:i/>
          <w:lang w:eastAsia="bg-BG"/>
        </w:rPr>
      </w:pPr>
      <w:r w:rsidRPr="002B188A">
        <w:rPr>
          <w:b/>
          <w:i/>
          <w:lang w:eastAsia="bg-BG"/>
        </w:rPr>
        <w:t>Субсидии и други текущи трансфери за нефинансови предприятия</w:t>
      </w:r>
    </w:p>
    <w:p w14:paraId="2A27294C" w14:textId="77777777" w:rsidR="00532D16" w:rsidRPr="00B83C7C" w:rsidRDefault="00532D16" w:rsidP="00532D16">
      <w:pPr>
        <w:ind w:firstLine="567"/>
        <w:contextualSpacing/>
        <w:jc w:val="both"/>
      </w:pPr>
      <w:r w:rsidRPr="00B83C7C">
        <w:t xml:space="preserve">За 2024 г. са планирани средства в размер на </w:t>
      </w:r>
      <w:r w:rsidRPr="00B83C7C">
        <w:rPr>
          <w:lang w:val="ru-RU"/>
        </w:rPr>
        <w:t>265</w:t>
      </w:r>
      <w:r w:rsidRPr="00B83C7C">
        <w:t>,</w:t>
      </w:r>
      <w:r w:rsidRPr="00B83C7C">
        <w:rPr>
          <w:lang w:val="ru-RU"/>
        </w:rPr>
        <w:t>0</w:t>
      </w:r>
      <w:r w:rsidRPr="00B83C7C">
        <w:t xml:space="preserve"> млн. лв. за субсидии и други текущи трансфери за нефинансови предприятия. Отчетените към 30.06.2024 г. средства представляват 55,9 % от планираните за годината и са в размер на 148,0 млн. лв. Към 30.06.2023 г. отчетените текущи субсидии са 76,9 млн. лв. </w:t>
      </w:r>
    </w:p>
    <w:p w14:paraId="3B68163C" w14:textId="77777777" w:rsidR="00532D16" w:rsidRPr="00B83C7C" w:rsidRDefault="00532D16" w:rsidP="00532D16">
      <w:pPr>
        <w:ind w:firstLine="567"/>
        <w:contextualSpacing/>
        <w:jc w:val="both"/>
      </w:pPr>
      <w:r w:rsidRPr="00B83C7C">
        <w:t>Изпълнението по дейности е както следва:</w:t>
      </w:r>
    </w:p>
    <w:p w14:paraId="2329DC88" w14:textId="77777777" w:rsidR="00532D16" w:rsidRPr="00B83C7C" w:rsidRDefault="00532D16" w:rsidP="00532D16">
      <w:pPr>
        <w:ind w:firstLine="567"/>
        <w:contextualSpacing/>
        <w:jc w:val="both"/>
      </w:pPr>
      <w:r w:rsidRPr="00B83C7C">
        <w:t>- национално съфинансиране към ЕЗФРСР за директни плащания – 111,</w:t>
      </w:r>
      <w:r w:rsidRPr="00B83C7C">
        <w:rPr>
          <w:lang w:val="ru-RU"/>
        </w:rPr>
        <w:t>2</w:t>
      </w:r>
      <w:r w:rsidRPr="00B83C7C">
        <w:t xml:space="preserve"> млн.</w:t>
      </w:r>
      <w:r w:rsidRPr="00B83C7C">
        <w:rPr>
          <w:lang w:val="ru-RU"/>
        </w:rPr>
        <w:t xml:space="preserve"> </w:t>
      </w:r>
      <w:r w:rsidRPr="00B83C7C">
        <w:t xml:space="preserve">лв., изпълнение </w:t>
      </w:r>
      <w:r w:rsidRPr="00B83C7C">
        <w:rPr>
          <w:lang w:val="ru-RU"/>
        </w:rPr>
        <w:t xml:space="preserve">0,1 </w:t>
      </w:r>
      <w:r w:rsidRPr="00B83C7C">
        <w:t>% от планираните за годината 195,2 млн.</w:t>
      </w:r>
      <w:r w:rsidRPr="00B83C7C">
        <w:rPr>
          <w:lang w:val="ru-RU"/>
        </w:rPr>
        <w:t xml:space="preserve"> </w:t>
      </w:r>
      <w:r w:rsidRPr="00B83C7C">
        <w:t>лв.;</w:t>
      </w:r>
    </w:p>
    <w:p w14:paraId="17FE13FE" w14:textId="77777777" w:rsidR="00532D16" w:rsidRPr="00B83C7C" w:rsidRDefault="00532D16" w:rsidP="00532D16">
      <w:pPr>
        <w:ind w:firstLine="567"/>
        <w:contextualSpacing/>
        <w:jc w:val="both"/>
      </w:pPr>
      <w:r w:rsidRPr="00B83C7C">
        <w:t>- текущи субсидии по Програмата за морско дело и рибарство – 3,6 млн.</w:t>
      </w:r>
      <w:r w:rsidRPr="00B83C7C">
        <w:rPr>
          <w:lang w:val="ru-RU"/>
        </w:rPr>
        <w:t xml:space="preserve"> </w:t>
      </w:r>
      <w:r w:rsidRPr="00B83C7C">
        <w:t>лв., изпълнение 20,8</w:t>
      </w:r>
      <w:r w:rsidRPr="00B83C7C">
        <w:rPr>
          <w:lang w:val="ru-RU"/>
        </w:rPr>
        <w:t xml:space="preserve"> </w:t>
      </w:r>
      <w:r w:rsidRPr="00B83C7C">
        <w:t>% от планираните 17,3 млн. лв.;</w:t>
      </w:r>
    </w:p>
    <w:p w14:paraId="0951AECD" w14:textId="77777777" w:rsidR="00532D16" w:rsidRPr="00B83C7C" w:rsidRDefault="00532D16" w:rsidP="00532D16">
      <w:pPr>
        <w:ind w:firstLine="567"/>
        <w:contextualSpacing/>
        <w:jc w:val="both"/>
      </w:pPr>
      <w:r w:rsidRPr="00B83C7C">
        <w:t>- текущи субсидии по Програмата за развитие на селските райони – 4,2 млн. лв., изпълнение от 7,6 % на планираните за годината 55,5 млн. лв.;</w:t>
      </w:r>
    </w:p>
    <w:p w14:paraId="1DAB9271" w14:textId="77777777" w:rsidR="00532D16" w:rsidRPr="00B83C7C" w:rsidRDefault="00532D16" w:rsidP="00532D16">
      <w:pPr>
        <w:ind w:firstLine="567"/>
        <w:contextualSpacing/>
        <w:jc w:val="both"/>
      </w:pPr>
      <w:r w:rsidRPr="00B83C7C">
        <w:t xml:space="preserve">- текущи субсидии за пазарни мерки – 29,0 млн. лв., изпълнение от 58,1 % на планираните за 2024 г. 49,9 млн. лв. </w:t>
      </w:r>
    </w:p>
    <w:p w14:paraId="5A1DB3B8" w14:textId="77777777" w:rsidR="00532D16" w:rsidRPr="00B83C7C" w:rsidRDefault="00532D16" w:rsidP="00532D16">
      <w:pPr>
        <w:numPr>
          <w:ilvl w:val="0"/>
          <w:numId w:val="19"/>
        </w:numPr>
        <w:tabs>
          <w:tab w:val="left" w:pos="993"/>
        </w:tabs>
        <w:spacing w:before="120" w:after="120"/>
        <w:ind w:left="1321" w:hanging="612"/>
        <w:jc w:val="both"/>
        <w:rPr>
          <w:b/>
          <w:i/>
          <w:lang w:eastAsia="bg-BG"/>
        </w:rPr>
      </w:pPr>
      <w:r w:rsidRPr="00B83C7C">
        <w:rPr>
          <w:b/>
          <w:i/>
          <w:lang w:eastAsia="bg-BG"/>
        </w:rPr>
        <w:t>Субсидии и други текущи трансфери за юридически лица с нестопанска цел</w:t>
      </w:r>
    </w:p>
    <w:p w14:paraId="40847C4D" w14:textId="77777777" w:rsidR="00532D16" w:rsidRPr="00465250" w:rsidRDefault="00532D16" w:rsidP="00532D16">
      <w:pPr>
        <w:tabs>
          <w:tab w:val="left" w:pos="993"/>
        </w:tabs>
        <w:ind w:firstLine="567"/>
        <w:jc w:val="both"/>
      </w:pPr>
      <w:r w:rsidRPr="00465250">
        <w:t xml:space="preserve">За 2024 г. за субсидии и други текущи трансфери за юридически лица с нестопанска цел са планирани 21,0 млн. лева. Към края на първото полугодие на годината са отчетени разходи в размер на </w:t>
      </w:r>
      <w:r w:rsidRPr="00465250">
        <w:rPr>
          <w:lang w:val="ru-RU"/>
        </w:rPr>
        <w:t>8</w:t>
      </w:r>
      <w:r w:rsidRPr="00465250">
        <w:t>,7 млн. лв., степен на изпълнение – 41,4</w:t>
      </w:r>
      <w:r w:rsidRPr="00465250">
        <w:rPr>
          <w:lang w:val="ru-RU"/>
        </w:rPr>
        <w:t xml:space="preserve"> </w:t>
      </w:r>
      <w:r w:rsidRPr="00465250">
        <w:t>%. За същия период на предходната 2023 г. този вид разходи са възлизали на 9,0 млн. лв.</w:t>
      </w:r>
    </w:p>
    <w:p w14:paraId="35A16360" w14:textId="77777777" w:rsidR="00532D16" w:rsidRDefault="00532D16" w:rsidP="00532D16">
      <w:pPr>
        <w:tabs>
          <w:tab w:val="left" w:pos="993"/>
        </w:tabs>
        <w:ind w:firstLine="567"/>
        <w:jc w:val="both"/>
      </w:pPr>
      <w:r w:rsidRPr="00465250">
        <w:t>Разпределението по дейности е както следва:</w:t>
      </w:r>
    </w:p>
    <w:p w14:paraId="0B6E25B5" w14:textId="77777777" w:rsidR="00532D16" w:rsidRPr="00BA5505" w:rsidRDefault="00532D16" w:rsidP="00532D16">
      <w:pPr>
        <w:tabs>
          <w:tab w:val="left" w:pos="993"/>
        </w:tabs>
        <w:ind w:firstLine="567"/>
        <w:jc w:val="both"/>
      </w:pPr>
      <w:r w:rsidRPr="00B324C5">
        <w:t xml:space="preserve">-  </w:t>
      </w:r>
      <w:r w:rsidRPr="00BA5505">
        <w:t>текущи субсидии национално съфинансиране към директни плащания: 0,1 млн.</w:t>
      </w:r>
      <w:r w:rsidRPr="00B324C5">
        <w:t xml:space="preserve"> </w:t>
      </w:r>
      <w:r w:rsidRPr="00BA5505">
        <w:t>лв.</w:t>
      </w:r>
      <w:r w:rsidRPr="00B324C5">
        <w:t>;</w:t>
      </w:r>
    </w:p>
    <w:p w14:paraId="1BA93D57" w14:textId="77777777" w:rsidR="00532D16" w:rsidRPr="00B324C5" w:rsidRDefault="00532D16" w:rsidP="00532D16">
      <w:pPr>
        <w:tabs>
          <w:tab w:val="left" w:pos="993"/>
        </w:tabs>
        <w:ind w:firstLine="567"/>
        <w:jc w:val="both"/>
      </w:pPr>
      <w:r w:rsidRPr="00B324C5">
        <w:t>-  текущи субсидии по ПМДР – 2,4 млн. лв., възлизащи на 26,4 % от планираните 9,1 млн. лв.;</w:t>
      </w:r>
    </w:p>
    <w:p w14:paraId="46A2E901" w14:textId="77777777" w:rsidR="00532D16" w:rsidRPr="00B324C5" w:rsidRDefault="00532D16" w:rsidP="00532D16">
      <w:pPr>
        <w:tabs>
          <w:tab w:val="left" w:pos="993"/>
        </w:tabs>
        <w:ind w:firstLine="567"/>
        <w:jc w:val="both"/>
      </w:pPr>
      <w:r w:rsidRPr="00B324C5">
        <w:t>- текущи субсидии по Програмата за развитие на селските райони – 6,2 млн. лв., при планирани 11,9 млн. лв., степен на изпълнение 52,1 %;</w:t>
      </w:r>
    </w:p>
    <w:p w14:paraId="72D1A041" w14:textId="77777777" w:rsidR="00532D16" w:rsidRPr="00CA37E7" w:rsidRDefault="00532D16" w:rsidP="00532D16">
      <w:pPr>
        <w:numPr>
          <w:ilvl w:val="0"/>
          <w:numId w:val="19"/>
        </w:numPr>
        <w:tabs>
          <w:tab w:val="left" w:pos="993"/>
        </w:tabs>
        <w:spacing w:before="120" w:after="120"/>
        <w:ind w:left="1321" w:hanging="612"/>
        <w:jc w:val="both"/>
        <w:rPr>
          <w:b/>
          <w:i/>
          <w:lang w:eastAsia="bg-BG"/>
        </w:rPr>
      </w:pPr>
      <w:r w:rsidRPr="00CA37E7">
        <w:rPr>
          <w:b/>
          <w:i/>
          <w:lang w:eastAsia="bg-BG"/>
        </w:rPr>
        <w:t>Капиталови трансфери за нефинансови предприятия</w:t>
      </w:r>
    </w:p>
    <w:p w14:paraId="6EFDD618" w14:textId="77777777" w:rsidR="00532D16" w:rsidRPr="00CA37E7" w:rsidRDefault="00532D16" w:rsidP="00532D16">
      <w:pPr>
        <w:tabs>
          <w:tab w:val="left" w:pos="993"/>
        </w:tabs>
        <w:ind w:firstLine="567"/>
        <w:jc w:val="both"/>
      </w:pPr>
      <w:r w:rsidRPr="00CA37E7">
        <w:t>За 2024 г. за капиталови трансфери за нефинансови предприятия са планирани 376,2 млн. лв. Към 30.06.2024 г. са отчетени 110,8 млн. лв., представляващи 29,5 % от годишния план. Отчетените за периода 01.01-30.06.2023 г. разходи за капиталови субсидии за физически лица и предприятия са били 61,5 млн. лв.</w:t>
      </w:r>
    </w:p>
    <w:p w14:paraId="1B0B59EC" w14:textId="77777777" w:rsidR="00532D16" w:rsidRPr="00CA37E7" w:rsidRDefault="00532D16" w:rsidP="00532D16">
      <w:pPr>
        <w:tabs>
          <w:tab w:val="left" w:pos="993"/>
        </w:tabs>
        <w:ind w:firstLine="567"/>
        <w:jc w:val="both"/>
      </w:pPr>
      <w:r w:rsidRPr="00CA37E7">
        <w:t>Разпределението по дейности е както следва:</w:t>
      </w:r>
    </w:p>
    <w:p w14:paraId="1D85684F" w14:textId="77777777" w:rsidR="00532D16" w:rsidRPr="00CA37E7" w:rsidRDefault="00532D16" w:rsidP="00532D16">
      <w:pPr>
        <w:ind w:firstLine="567"/>
        <w:contextualSpacing/>
        <w:jc w:val="both"/>
      </w:pPr>
      <w:r w:rsidRPr="00CA37E7">
        <w:t>- капиталови трансфери по Програмата за морско дело и рибарство (ПМДР) – 4,2 млн. лв., 76,4 %  изпълнение на годишния план (5,5 млн. лв.);</w:t>
      </w:r>
    </w:p>
    <w:p w14:paraId="21FF73AC" w14:textId="77777777" w:rsidR="00532D16" w:rsidRPr="00CA37E7" w:rsidRDefault="00532D16" w:rsidP="00532D16">
      <w:pPr>
        <w:ind w:firstLine="567"/>
        <w:contextualSpacing/>
        <w:jc w:val="both"/>
      </w:pPr>
      <w:r w:rsidRPr="00CA37E7">
        <w:t>- капиталови трансфери по ПРСР – 106,5 млн. лв., 28,9 % изпълнение на годишния план, възлизащ на 368,5 млн. лв.;</w:t>
      </w:r>
    </w:p>
    <w:p w14:paraId="60054036" w14:textId="77777777" w:rsidR="00532D16" w:rsidRPr="00CA37E7" w:rsidRDefault="00532D16" w:rsidP="00532D16">
      <w:pPr>
        <w:ind w:firstLine="567"/>
        <w:contextualSpacing/>
        <w:jc w:val="both"/>
      </w:pPr>
      <w:r w:rsidRPr="00CA37E7">
        <w:t>- капиталови трансфери за пазарни мерки – 0,1 млн. лв., при годишен разчет 2,2 млн. лв., изпълнение 4,5 %.</w:t>
      </w:r>
    </w:p>
    <w:p w14:paraId="447D3055" w14:textId="77777777" w:rsidR="00532D16" w:rsidRPr="00CA37E7" w:rsidRDefault="00532D16" w:rsidP="00532D16">
      <w:pPr>
        <w:numPr>
          <w:ilvl w:val="0"/>
          <w:numId w:val="19"/>
        </w:numPr>
        <w:tabs>
          <w:tab w:val="left" w:pos="993"/>
        </w:tabs>
        <w:spacing w:before="120" w:after="120"/>
        <w:ind w:left="1321" w:hanging="612"/>
        <w:jc w:val="both"/>
        <w:rPr>
          <w:b/>
          <w:i/>
          <w:lang w:eastAsia="bg-BG"/>
        </w:rPr>
      </w:pPr>
      <w:r w:rsidRPr="00CA37E7">
        <w:rPr>
          <w:b/>
          <w:i/>
          <w:lang w:eastAsia="bg-BG"/>
        </w:rPr>
        <w:t>Капиталови трансфери за организации с нестопанска цел</w:t>
      </w:r>
    </w:p>
    <w:p w14:paraId="11B4091E" w14:textId="77777777" w:rsidR="00532D16" w:rsidRPr="00CA37E7" w:rsidRDefault="00532D16" w:rsidP="00532D16">
      <w:pPr>
        <w:ind w:firstLine="567"/>
        <w:jc w:val="both"/>
      </w:pPr>
      <w:r w:rsidRPr="00CA37E7">
        <w:t>Годишните разчети за капиталови трансфери за организации с нестопанска цел за 2024 г. възлизат на 14,2 млн. лв. Към 30.06.2024 г. са отчетени 2,9 млн. лв., като степента на изпълнение е 20,4 %. През същия период на предходната година са отчетени 4,6 млн. лв.</w:t>
      </w:r>
    </w:p>
    <w:p w14:paraId="42CE8E61" w14:textId="77777777" w:rsidR="00532D16" w:rsidRPr="005B6D3A" w:rsidRDefault="00532D16" w:rsidP="00532D16">
      <w:pPr>
        <w:tabs>
          <w:tab w:val="left" w:pos="993"/>
        </w:tabs>
        <w:ind w:firstLine="567"/>
        <w:jc w:val="both"/>
      </w:pPr>
      <w:r w:rsidRPr="005B6D3A">
        <w:t>Разпределението по дейности е както следва:</w:t>
      </w:r>
    </w:p>
    <w:p w14:paraId="0938E7D9" w14:textId="77777777" w:rsidR="00532D16" w:rsidRPr="005B6D3A" w:rsidRDefault="00532D16" w:rsidP="00532D16">
      <w:pPr>
        <w:ind w:firstLine="567"/>
        <w:contextualSpacing/>
        <w:jc w:val="both"/>
      </w:pPr>
      <w:r w:rsidRPr="005B6D3A">
        <w:t>- капиталови трансфери по ПМДР – няма усвоени средства, при годишен разчет 1,7 млн. лв.;</w:t>
      </w:r>
    </w:p>
    <w:p w14:paraId="672323AE" w14:textId="77777777" w:rsidR="00532D16" w:rsidRPr="005B6D3A" w:rsidRDefault="00532D16" w:rsidP="00532D16">
      <w:pPr>
        <w:ind w:firstLine="567"/>
        <w:contextualSpacing/>
        <w:jc w:val="both"/>
      </w:pPr>
      <w:r w:rsidRPr="005B6D3A">
        <w:t>- капиталови трансфери по ПРСР – 2,9 млн. лв., 23,3 % изпълнение на годишния план от 12,5</w:t>
      </w:r>
      <w:r w:rsidR="00AA0B24">
        <w:t> </w:t>
      </w:r>
      <w:r w:rsidRPr="005B6D3A">
        <w:t>млн. лева.</w:t>
      </w:r>
    </w:p>
    <w:p w14:paraId="4A1CBEB9" w14:textId="77777777" w:rsidR="006308FC" w:rsidRPr="00153C68" w:rsidRDefault="006308FC" w:rsidP="006308FC">
      <w:pPr>
        <w:numPr>
          <w:ilvl w:val="0"/>
          <w:numId w:val="20"/>
        </w:numPr>
        <w:spacing w:before="120" w:after="120" w:line="276" w:lineRule="auto"/>
        <w:ind w:left="777" w:hanging="357"/>
        <w:jc w:val="both"/>
        <w:rPr>
          <w:b/>
          <w:lang w:eastAsia="bg-BG"/>
        </w:rPr>
      </w:pPr>
      <w:r w:rsidRPr="00153C68">
        <w:rPr>
          <w:b/>
          <w:lang w:eastAsia="bg-BG"/>
        </w:rPr>
        <w:t xml:space="preserve">Трансфери </w:t>
      </w:r>
    </w:p>
    <w:p w14:paraId="4BCDAA5B" w14:textId="77777777" w:rsidR="00153C68" w:rsidRPr="005B6D3A" w:rsidRDefault="00153C68" w:rsidP="00153C68">
      <w:pPr>
        <w:pStyle w:val="ListParagraph"/>
        <w:tabs>
          <w:tab w:val="left" w:pos="540"/>
        </w:tabs>
        <w:spacing w:after="0" w:line="240" w:lineRule="auto"/>
        <w:ind w:left="0" w:firstLine="567"/>
        <w:rPr>
          <w:rFonts w:ascii="Times New Roman" w:hAnsi="Times New Roman"/>
        </w:rPr>
      </w:pPr>
      <w:r w:rsidRPr="005B6D3A">
        <w:rPr>
          <w:rFonts w:ascii="Times New Roman" w:hAnsi="Times New Roman"/>
        </w:rPr>
        <w:t>В частта на трансферите, в касовия отчет на ДФЗ-РА към 30.06.2024г. са отразени следните касови потоци:</w:t>
      </w:r>
    </w:p>
    <w:p w14:paraId="2C0D3529" w14:textId="77777777" w:rsidR="00153C68" w:rsidRPr="00DD1181" w:rsidRDefault="00153C68" w:rsidP="00153C68">
      <w:pPr>
        <w:numPr>
          <w:ilvl w:val="0"/>
          <w:numId w:val="19"/>
        </w:numPr>
        <w:tabs>
          <w:tab w:val="left" w:pos="993"/>
        </w:tabs>
        <w:spacing w:before="120" w:after="120"/>
        <w:ind w:left="1321" w:hanging="612"/>
        <w:jc w:val="both"/>
        <w:rPr>
          <w:b/>
          <w:i/>
          <w:lang w:eastAsia="bg-BG"/>
        </w:rPr>
      </w:pPr>
      <w:r w:rsidRPr="00DD1181">
        <w:rPr>
          <w:b/>
          <w:i/>
          <w:lang w:eastAsia="bg-BG"/>
        </w:rPr>
        <w:t xml:space="preserve">Трансфери между бюджети и сметки за средства от Европейския съюз </w:t>
      </w:r>
    </w:p>
    <w:p w14:paraId="11BD200B" w14:textId="77777777" w:rsidR="00153C68" w:rsidRPr="00DD1181" w:rsidRDefault="00153C68" w:rsidP="00153C68">
      <w:pPr>
        <w:ind w:firstLine="567"/>
        <w:jc w:val="both"/>
      </w:pPr>
      <w:r w:rsidRPr="00DD1181">
        <w:t>Получените трансфери от бюджетни сметки на бюджетни организации и общини са формирани при възстановяване на суми по вземания по ПРСР и директни плащания и техният размер е 3,9 млн. лв.</w:t>
      </w:r>
    </w:p>
    <w:p w14:paraId="1F82F7AD" w14:textId="77777777" w:rsidR="00153C68" w:rsidRPr="00DD1181" w:rsidRDefault="00153C68" w:rsidP="00153C68">
      <w:pPr>
        <w:ind w:firstLine="567"/>
        <w:jc w:val="both"/>
      </w:pPr>
      <w:r w:rsidRPr="00DD1181">
        <w:t>Предоставените за периода трансфери във връзка с чл.14 от Закона за подпомагане на земеделските производители възлизат на 0,</w:t>
      </w:r>
      <w:r w:rsidRPr="00DD1181">
        <w:rPr>
          <w:lang w:val="ru-RU"/>
        </w:rPr>
        <w:t>4</w:t>
      </w:r>
      <w:r w:rsidRPr="00DD1181">
        <w:t xml:space="preserve"> млн. лв.</w:t>
      </w:r>
    </w:p>
    <w:p w14:paraId="7E646BBB" w14:textId="77777777" w:rsidR="00153C68" w:rsidRPr="00DD1181" w:rsidRDefault="00153C68" w:rsidP="00153C68">
      <w:pPr>
        <w:numPr>
          <w:ilvl w:val="0"/>
          <w:numId w:val="19"/>
        </w:numPr>
        <w:tabs>
          <w:tab w:val="left" w:pos="993"/>
        </w:tabs>
        <w:spacing w:before="120" w:after="120"/>
        <w:ind w:left="1321" w:hanging="612"/>
        <w:jc w:val="both"/>
        <w:rPr>
          <w:b/>
          <w:i/>
          <w:lang w:eastAsia="bg-BG"/>
        </w:rPr>
      </w:pPr>
      <w:r w:rsidRPr="00DD1181">
        <w:rPr>
          <w:b/>
          <w:i/>
          <w:lang w:eastAsia="bg-BG"/>
        </w:rPr>
        <w:t>Трансфери между сметки за средства от Европейския съюз:</w:t>
      </w:r>
    </w:p>
    <w:p w14:paraId="6D85D480" w14:textId="77777777" w:rsidR="00153C68" w:rsidRPr="00DD1181" w:rsidRDefault="00153C68" w:rsidP="00153C68">
      <w:pPr>
        <w:tabs>
          <w:tab w:val="left" w:pos="540"/>
        </w:tabs>
        <w:ind w:firstLine="567"/>
        <w:jc w:val="both"/>
      </w:pPr>
      <w:r w:rsidRPr="00DD1181">
        <w:t xml:space="preserve">Предоставените трансфери са формирани от изплатените субсидии на публични бенефициенти. Към 30.06.2024 г. са отчетени </w:t>
      </w:r>
      <w:r w:rsidRPr="00DD1181">
        <w:rPr>
          <w:lang w:val="en-US"/>
        </w:rPr>
        <w:t>54</w:t>
      </w:r>
      <w:r w:rsidRPr="00DD1181">
        <w:t xml:space="preserve">,9 млн. лв., в т.ч.: </w:t>
      </w:r>
    </w:p>
    <w:p w14:paraId="42361E2C" w14:textId="77777777" w:rsidR="00153C68" w:rsidRPr="00DD1181" w:rsidRDefault="00153C68" w:rsidP="00153C68">
      <w:pPr>
        <w:numPr>
          <w:ilvl w:val="0"/>
          <w:numId w:val="34"/>
        </w:numPr>
        <w:tabs>
          <w:tab w:val="left" w:pos="540"/>
          <w:tab w:val="left" w:pos="851"/>
        </w:tabs>
        <w:ind w:left="0" w:firstLine="567"/>
        <w:contextualSpacing/>
        <w:jc w:val="both"/>
      </w:pPr>
      <w:r w:rsidRPr="00DD1181">
        <w:t>по Програмата за развитие на селските райони: 45,5 млн. лв.;</w:t>
      </w:r>
    </w:p>
    <w:p w14:paraId="31305893" w14:textId="77777777" w:rsidR="00153C68" w:rsidRPr="00DD1181" w:rsidRDefault="00153C68" w:rsidP="00153C68">
      <w:pPr>
        <w:numPr>
          <w:ilvl w:val="0"/>
          <w:numId w:val="34"/>
        </w:numPr>
        <w:tabs>
          <w:tab w:val="left" w:pos="540"/>
          <w:tab w:val="left" w:pos="851"/>
        </w:tabs>
        <w:ind w:left="0" w:firstLine="567"/>
        <w:contextualSpacing/>
        <w:jc w:val="both"/>
      </w:pPr>
      <w:r w:rsidRPr="00DD1181">
        <w:t>по Програмата за морско дело и рибарство: 9,1 млн. лв.</w:t>
      </w:r>
    </w:p>
    <w:p w14:paraId="26C2CA08" w14:textId="77777777" w:rsidR="00153C68" w:rsidRPr="00DD1181" w:rsidRDefault="00153C68" w:rsidP="00153C68">
      <w:pPr>
        <w:tabs>
          <w:tab w:val="left" w:pos="540"/>
        </w:tabs>
        <w:jc w:val="both"/>
      </w:pPr>
      <w:r w:rsidRPr="00DD1181">
        <w:tab/>
      </w:r>
    </w:p>
    <w:p w14:paraId="19CD6B73" w14:textId="77777777" w:rsidR="00153C68" w:rsidRPr="00DD1181" w:rsidRDefault="00153C68" w:rsidP="00153C68">
      <w:pPr>
        <w:tabs>
          <w:tab w:val="left" w:pos="540"/>
        </w:tabs>
        <w:ind w:firstLine="567"/>
        <w:jc w:val="both"/>
      </w:pPr>
      <w:r w:rsidRPr="00DD1181">
        <w:t>Към края на първото полугодие на 2023 г. предоставените трансфери са възлизали на 26,8 млн. лв.</w:t>
      </w:r>
    </w:p>
    <w:p w14:paraId="789FECBF" w14:textId="77777777" w:rsidR="00153C68" w:rsidRPr="00DD1181" w:rsidRDefault="00153C68" w:rsidP="00153C68">
      <w:pPr>
        <w:numPr>
          <w:ilvl w:val="0"/>
          <w:numId w:val="20"/>
        </w:numPr>
        <w:spacing w:before="120" w:after="120" w:line="276" w:lineRule="auto"/>
        <w:ind w:left="777" w:hanging="357"/>
        <w:jc w:val="both"/>
        <w:rPr>
          <w:b/>
          <w:lang w:eastAsia="bg-BG"/>
        </w:rPr>
      </w:pPr>
      <w:r w:rsidRPr="00DD1181">
        <w:rPr>
          <w:b/>
          <w:lang w:eastAsia="bg-BG"/>
        </w:rPr>
        <w:t>Финансиране</w:t>
      </w:r>
    </w:p>
    <w:p w14:paraId="2A4A50A7" w14:textId="77777777" w:rsidR="00153C68" w:rsidRPr="00DD1181" w:rsidRDefault="00153C68" w:rsidP="00153C68">
      <w:pPr>
        <w:numPr>
          <w:ilvl w:val="0"/>
          <w:numId w:val="19"/>
        </w:numPr>
        <w:tabs>
          <w:tab w:val="left" w:pos="993"/>
        </w:tabs>
        <w:spacing w:before="120" w:after="120"/>
        <w:ind w:left="851" w:hanging="425"/>
        <w:jc w:val="both"/>
        <w:rPr>
          <w:b/>
          <w:lang w:eastAsia="bg-BG"/>
        </w:rPr>
      </w:pPr>
      <w:r w:rsidRPr="00DD1181">
        <w:rPr>
          <w:b/>
          <w:lang w:eastAsia="bg-BG"/>
        </w:rPr>
        <w:t>Суми по разчети за поети осигурителни вноски и данъци</w:t>
      </w:r>
    </w:p>
    <w:p w14:paraId="0004D47D" w14:textId="77777777" w:rsidR="00153C68" w:rsidRPr="00DD1181" w:rsidRDefault="00153C68" w:rsidP="00153C68">
      <w:pPr>
        <w:ind w:firstLine="567"/>
        <w:jc w:val="both"/>
        <w:rPr>
          <w:lang w:eastAsia="bg-BG"/>
        </w:rPr>
      </w:pPr>
      <w:r w:rsidRPr="00DD1181">
        <w:rPr>
          <w:lang w:eastAsia="bg-BG"/>
        </w:rPr>
        <w:t xml:space="preserve">Към края на първото </w:t>
      </w:r>
      <w:r>
        <w:rPr>
          <w:lang w:eastAsia="bg-BG"/>
        </w:rPr>
        <w:t>полугод</w:t>
      </w:r>
      <w:r w:rsidRPr="00DD1181">
        <w:rPr>
          <w:lang w:eastAsia="bg-BG"/>
        </w:rPr>
        <w:t>ие на 2024 г. сумата по разчети за поети данъци, формирани от удържан и внесен окончателен данък на физически лица, съгл. чл. 65, ал. 14 от ЗДДФЛ възлиза нето на 0,</w:t>
      </w:r>
      <w:r>
        <w:rPr>
          <w:lang w:eastAsia="bg-BG"/>
        </w:rPr>
        <w:t>07</w:t>
      </w:r>
      <w:r w:rsidRPr="00DD1181">
        <w:rPr>
          <w:lang w:eastAsia="bg-BG"/>
        </w:rPr>
        <w:t xml:space="preserve"> млн. лева.</w:t>
      </w:r>
    </w:p>
    <w:p w14:paraId="54586D44" w14:textId="77777777" w:rsidR="00153C68" w:rsidRPr="00DD1181" w:rsidRDefault="00153C68" w:rsidP="00153C68">
      <w:pPr>
        <w:numPr>
          <w:ilvl w:val="0"/>
          <w:numId w:val="19"/>
        </w:numPr>
        <w:tabs>
          <w:tab w:val="left" w:pos="993"/>
        </w:tabs>
        <w:spacing w:before="120" w:after="120"/>
        <w:ind w:left="851" w:hanging="425"/>
        <w:jc w:val="both"/>
        <w:rPr>
          <w:b/>
          <w:lang w:eastAsia="bg-BG"/>
        </w:rPr>
      </w:pPr>
      <w:r w:rsidRPr="00DD1181">
        <w:rPr>
          <w:b/>
          <w:lang w:eastAsia="bg-BG"/>
        </w:rPr>
        <w:t>Друго финансиране</w:t>
      </w:r>
    </w:p>
    <w:p w14:paraId="5F64A9D6" w14:textId="77777777" w:rsidR="00153C68" w:rsidRPr="00DD1181" w:rsidRDefault="00153C68" w:rsidP="00153C68">
      <w:pPr>
        <w:ind w:firstLine="567"/>
        <w:jc w:val="both"/>
        <w:rPr>
          <w:lang w:eastAsia="bg-BG"/>
        </w:rPr>
      </w:pPr>
      <w:r w:rsidRPr="00DD1181">
        <w:rPr>
          <w:lang w:eastAsia="bg-BG"/>
        </w:rPr>
        <w:t>За периода 01.01-30.06.2024 г. извършените плащания, възстановените суми, разчетът с централния бюджет и операциите с чужди средства, включени в отчетността в „Друго финансиране“ възлизат общо на -19,6 млн. лв., при планирани -4,8 млн. лв.</w:t>
      </w:r>
    </w:p>
    <w:p w14:paraId="33D4602B" w14:textId="77777777" w:rsidR="00153C68" w:rsidRPr="00F60897" w:rsidRDefault="00153C68" w:rsidP="00153C68">
      <w:pPr>
        <w:ind w:firstLine="567"/>
        <w:jc w:val="both"/>
        <w:rPr>
          <w:lang w:eastAsia="bg-BG"/>
        </w:rPr>
      </w:pPr>
      <w:r w:rsidRPr="00F60897">
        <w:rPr>
          <w:lang w:eastAsia="bg-BG"/>
        </w:rPr>
        <w:t xml:space="preserve">Към 30.06.2024 г. са отчетени плащания в общ размер на </w:t>
      </w:r>
      <w:r w:rsidRPr="00F60897">
        <w:rPr>
          <w:lang w:val="ru-RU" w:eastAsia="bg-BG"/>
        </w:rPr>
        <w:t>1 064</w:t>
      </w:r>
      <w:r w:rsidRPr="00F60897">
        <w:rPr>
          <w:lang w:eastAsia="bg-BG"/>
        </w:rPr>
        <w:t xml:space="preserve">,6 млн. лв., представляващи </w:t>
      </w:r>
      <w:r w:rsidRPr="00F60897">
        <w:rPr>
          <w:lang w:val="ru-RU" w:eastAsia="bg-BG"/>
        </w:rPr>
        <w:t>59</w:t>
      </w:r>
      <w:r w:rsidRPr="00F60897">
        <w:rPr>
          <w:lang w:eastAsia="bg-BG"/>
        </w:rPr>
        <w:t>,</w:t>
      </w:r>
      <w:r w:rsidRPr="00F60897">
        <w:rPr>
          <w:lang w:val="ru-RU" w:eastAsia="bg-BG"/>
        </w:rPr>
        <w:t>0</w:t>
      </w:r>
      <w:r w:rsidRPr="00F60897">
        <w:rPr>
          <w:lang w:eastAsia="bg-BG"/>
        </w:rPr>
        <w:t xml:space="preserve"> % от годишните разчети, които са 1 803,5 млн. лв. За същия период на 2023 г. плащанията, отчитани като финансиране са били 858,9 млн. лв.</w:t>
      </w:r>
    </w:p>
    <w:p w14:paraId="757A1AE6" w14:textId="77777777" w:rsidR="00153C68" w:rsidRPr="00F60897" w:rsidRDefault="00153C68" w:rsidP="00153C68">
      <w:pPr>
        <w:ind w:firstLine="567"/>
        <w:jc w:val="both"/>
        <w:rPr>
          <w:szCs w:val="20"/>
        </w:rPr>
      </w:pPr>
      <w:r w:rsidRPr="00F60897">
        <w:rPr>
          <w:szCs w:val="20"/>
        </w:rPr>
        <w:t>Отчетените плащания са по следните направления:</w:t>
      </w:r>
    </w:p>
    <w:p w14:paraId="6866DC1E" w14:textId="77777777" w:rsidR="00153C68" w:rsidRPr="00C9281F" w:rsidRDefault="00153C68" w:rsidP="00153C68">
      <w:pPr>
        <w:numPr>
          <w:ilvl w:val="0"/>
          <w:numId w:val="21"/>
        </w:numPr>
        <w:tabs>
          <w:tab w:val="left" w:pos="851"/>
        </w:tabs>
        <w:ind w:left="851" w:hanging="284"/>
        <w:jc w:val="both"/>
        <w:rPr>
          <w:szCs w:val="20"/>
        </w:rPr>
      </w:pPr>
      <w:r w:rsidRPr="00C9281F">
        <w:rPr>
          <w:szCs w:val="20"/>
        </w:rPr>
        <w:t>987,2 млн. лв. за директни плащания за сметка на ЕФГЗ, представляващи 60,9 % от планираните 1 620,3 млн. лв.;</w:t>
      </w:r>
    </w:p>
    <w:p w14:paraId="4D1760C3" w14:textId="77777777" w:rsidR="00153C68" w:rsidRPr="00C9281F" w:rsidRDefault="00153C68" w:rsidP="00153C68">
      <w:pPr>
        <w:numPr>
          <w:ilvl w:val="0"/>
          <w:numId w:val="21"/>
        </w:numPr>
        <w:tabs>
          <w:tab w:val="left" w:pos="851"/>
        </w:tabs>
        <w:ind w:left="851" w:hanging="284"/>
        <w:jc w:val="both"/>
        <w:rPr>
          <w:szCs w:val="20"/>
        </w:rPr>
      </w:pPr>
      <w:r w:rsidRPr="00C9281F">
        <w:rPr>
          <w:szCs w:val="20"/>
        </w:rPr>
        <w:t>74,5 млн. лв. средства от ЕЗФРСР, прехвърлени към директни плащания, което е 62,5 % от планираните 119,2 млн. лв.;</w:t>
      </w:r>
    </w:p>
    <w:p w14:paraId="14E7E7F8" w14:textId="77777777" w:rsidR="00153C68" w:rsidRPr="00505623" w:rsidRDefault="00153C68" w:rsidP="00153C68">
      <w:pPr>
        <w:numPr>
          <w:ilvl w:val="0"/>
          <w:numId w:val="21"/>
        </w:numPr>
        <w:tabs>
          <w:tab w:val="left" w:pos="851"/>
        </w:tabs>
        <w:ind w:left="851" w:hanging="284"/>
        <w:jc w:val="both"/>
        <w:rPr>
          <w:szCs w:val="20"/>
        </w:rPr>
      </w:pPr>
      <w:r w:rsidRPr="00C9281F">
        <w:rPr>
          <w:szCs w:val="20"/>
        </w:rPr>
        <w:t xml:space="preserve">2,6 млн. лв. за пазарни мерки при разчет за плащания в размер 37,0 млн. лв. изпълнение </w:t>
      </w:r>
      <w:r w:rsidRPr="00505623">
        <w:rPr>
          <w:szCs w:val="20"/>
        </w:rPr>
        <w:t>7,0 %;</w:t>
      </w:r>
    </w:p>
    <w:p w14:paraId="1FBAC161" w14:textId="77777777" w:rsidR="00153C68" w:rsidRPr="00505623" w:rsidRDefault="00153C68" w:rsidP="00153C68">
      <w:pPr>
        <w:numPr>
          <w:ilvl w:val="0"/>
          <w:numId w:val="21"/>
        </w:numPr>
        <w:tabs>
          <w:tab w:val="left" w:pos="851"/>
        </w:tabs>
        <w:ind w:left="851" w:hanging="284"/>
        <w:jc w:val="both"/>
        <w:rPr>
          <w:szCs w:val="20"/>
        </w:rPr>
      </w:pPr>
      <w:r w:rsidRPr="00505623">
        <w:rPr>
          <w:szCs w:val="20"/>
        </w:rPr>
        <w:t>0,3 млн. лв. за преструктуриране, изпълнение 1,1 % от планираните плащания в размер 27,0 млн. лв.</w:t>
      </w:r>
    </w:p>
    <w:p w14:paraId="5A996720" w14:textId="77777777" w:rsidR="00153C68" w:rsidRPr="00505623" w:rsidRDefault="00153C68" w:rsidP="00153C68">
      <w:pPr>
        <w:tabs>
          <w:tab w:val="left" w:pos="709"/>
        </w:tabs>
        <w:ind w:firstLine="567"/>
        <w:jc w:val="both"/>
        <w:rPr>
          <w:lang w:eastAsia="bg-BG"/>
        </w:rPr>
      </w:pPr>
      <w:r w:rsidRPr="00505623">
        <w:rPr>
          <w:lang w:eastAsia="bg-BG"/>
        </w:rPr>
        <w:t>Възстановените суми от Европейския съюз към 30.06.2024 г. възлизат общо на 906,6 млн. лв., представляващи 50,6 % от планираните 1</w:t>
      </w:r>
      <w:r w:rsidRPr="00505623">
        <w:rPr>
          <w:lang w:val="en-US" w:eastAsia="bg-BG"/>
        </w:rPr>
        <w:t> </w:t>
      </w:r>
      <w:r w:rsidRPr="00505623">
        <w:rPr>
          <w:lang w:eastAsia="bg-BG"/>
        </w:rPr>
        <w:t>792,6 млн. лв. Отчетеното изпълнение за периода 01.01-30.06.2023 г. е 1 647,4 млн. лв.</w:t>
      </w:r>
    </w:p>
    <w:p w14:paraId="4A161C01" w14:textId="77777777" w:rsidR="00153C68" w:rsidRPr="00505623" w:rsidRDefault="00153C68" w:rsidP="00153C68">
      <w:pPr>
        <w:tabs>
          <w:tab w:val="left" w:pos="709"/>
        </w:tabs>
        <w:ind w:firstLine="567"/>
        <w:jc w:val="both"/>
        <w:rPr>
          <w:lang w:eastAsia="bg-BG"/>
        </w:rPr>
      </w:pPr>
      <w:r w:rsidRPr="00505623">
        <w:rPr>
          <w:lang w:eastAsia="bg-BG"/>
        </w:rPr>
        <w:t>Възстановени са суми по следните направления:</w:t>
      </w:r>
    </w:p>
    <w:p w14:paraId="4D3D22FC" w14:textId="77777777" w:rsidR="00153C68" w:rsidRPr="00505623" w:rsidRDefault="00153C68" w:rsidP="00153C68">
      <w:pPr>
        <w:numPr>
          <w:ilvl w:val="0"/>
          <w:numId w:val="21"/>
        </w:numPr>
        <w:tabs>
          <w:tab w:val="left" w:pos="851"/>
        </w:tabs>
        <w:ind w:left="851" w:hanging="284"/>
        <w:jc w:val="both"/>
        <w:rPr>
          <w:lang w:eastAsia="bg-BG"/>
        </w:rPr>
      </w:pPr>
      <w:r w:rsidRPr="00505623">
        <w:rPr>
          <w:lang w:eastAsia="bg-BG"/>
        </w:rPr>
        <w:t>859,5 млн. лв. за директни плащания от ЕФГЗ – 53,5 % от планираните 1 605,8 млн. лв.;</w:t>
      </w:r>
    </w:p>
    <w:p w14:paraId="3D740878" w14:textId="77777777" w:rsidR="00153C68" w:rsidRPr="00505623" w:rsidRDefault="00153C68" w:rsidP="00153C68">
      <w:pPr>
        <w:numPr>
          <w:ilvl w:val="0"/>
          <w:numId w:val="21"/>
        </w:numPr>
        <w:tabs>
          <w:tab w:val="left" w:pos="851"/>
        </w:tabs>
        <w:ind w:left="851" w:hanging="284"/>
        <w:jc w:val="both"/>
        <w:rPr>
          <w:lang w:eastAsia="bg-BG"/>
        </w:rPr>
      </w:pPr>
      <w:r w:rsidRPr="00505623">
        <w:rPr>
          <w:lang w:eastAsia="bg-BG"/>
        </w:rPr>
        <w:t>24,4 млн. лв. от ЕЗФРСР, прехвърлени към директни плащания – 19,8 % от заложените 123,2 млн. лв.;</w:t>
      </w:r>
    </w:p>
    <w:p w14:paraId="2775C527" w14:textId="77777777" w:rsidR="00153C68" w:rsidRPr="00505623" w:rsidRDefault="00153C68" w:rsidP="00153C68">
      <w:pPr>
        <w:numPr>
          <w:ilvl w:val="0"/>
          <w:numId w:val="21"/>
        </w:numPr>
        <w:tabs>
          <w:tab w:val="left" w:pos="851"/>
        </w:tabs>
        <w:ind w:left="851" w:hanging="284"/>
        <w:jc w:val="both"/>
        <w:rPr>
          <w:lang w:eastAsia="bg-BG"/>
        </w:rPr>
      </w:pPr>
      <w:r w:rsidRPr="00505623">
        <w:rPr>
          <w:lang w:eastAsia="bg-BG"/>
        </w:rPr>
        <w:t>21,9 млн. лв. за пазарни мерки от ЕФГЗ при планирани 38,5 млн. лв., степен на изпълнение: 56,9 %;</w:t>
      </w:r>
    </w:p>
    <w:p w14:paraId="6C192FAC" w14:textId="77777777" w:rsidR="00153C68" w:rsidRPr="00505623" w:rsidRDefault="00153C68" w:rsidP="00153C68">
      <w:pPr>
        <w:numPr>
          <w:ilvl w:val="0"/>
          <w:numId w:val="21"/>
        </w:numPr>
        <w:tabs>
          <w:tab w:val="left" w:pos="851"/>
        </w:tabs>
        <w:ind w:left="851" w:hanging="284"/>
        <w:jc w:val="both"/>
        <w:rPr>
          <w:lang w:eastAsia="bg-BG"/>
        </w:rPr>
      </w:pPr>
      <w:r w:rsidRPr="00505623">
        <w:rPr>
          <w:lang w:eastAsia="bg-BG"/>
        </w:rPr>
        <w:t>0,8 млн. лв. за преструктуриране от ЕФГЗ при планирани 25,1 млн. лв., изпълнение 3,2 %.</w:t>
      </w:r>
    </w:p>
    <w:p w14:paraId="1D46D6C4" w14:textId="77777777" w:rsidR="00153C68" w:rsidRPr="00505623" w:rsidRDefault="00153C68" w:rsidP="00153C68">
      <w:pPr>
        <w:tabs>
          <w:tab w:val="left" w:pos="709"/>
        </w:tabs>
        <w:spacing w:after="120"/>
        <w:ind w:firstLine="567"/>
        <w:contextualSpacing/>
        <w:jc w:val="both"/>
      </w:pPr>
      <w:r w:rsidRPr="00505623">
        <w:rPr>
          <w:lang w:eastAsia="bg-BG"/>
        </w:rPr>
        <w:t xml:space="preserve">Предоставените суми (нето) </w:t>
      </w:r>
      <w:r w:rsidRPr="00505623">
        <w:t>по разчети с ЦБ за финансиране на плащания при недостиг на средства по сметки</w:t>
      </w:r>
      <w:r w:rsidRPr="00505623">
        <w:rPr>
          <w:lang w:eastAsia="bg-BG"/>
        </w:rPr>
        <w:t xml:space="preserve"> към 30.06.2024 г. възлизат на 138,4 млн. лв., при планирани 6,1 млн. лв.</w:t>
      </w:r>
    </w:p>
    <w:p w14:paraId="41A9EBA7" w14:textId="77777777" w:rsidR="00EB292B" w:rsidRPr="00793C4E" w:rsidRDefault="00EB292B" w:rsidP="00EB292B">
      <w:pPr>
        <w:tabs>
          <w:tab w:val="left" w:pos="540"/>
        </w:tabs>
        <w:spacing w:before="120"/>
        <w:ind w:firstLine="567"/>
        <w:jc w:val="both"/>
        <w:rPr>
          <w:color w:val="0070C0"/>
        </w:rPr>
      </w:pPr>
      <w:r w:rsidRPr="00793C4E">
        <w:rPr>
          <w:color w:val="0070C0"/>
          <w:lang w:eastAsia="bg-BG"/>
        </w:rPr>
        <w:tab/>
      </w:r>
    </w:p>
    <w:p w14:paraId="2EC24654" w14:textId="77777777" w:rsidR="00EB292B" w:rsidRPr="00541558" w:rsidRDefault="00EB292B" w:rsidP="00EB292B">
      <w:pPr>
        <w:pStyle w:val="Heading1"/>
        <w:numPr>
          <w:ilvl w:val="1"/>
          <w:numId w:val="9"/>
        </w:numPr>
        <w:spacing w:after="120"/>
        <w:ind w:left="792" w:right="-115" w:hanging="432"/>
        <w:jc w:val="both"/>
        <w:rPr>
          <w:sz w:val="24"/>
        </w:rPr>
      </w:pPr>
      <w:bookmarkStart w:id="36" w:name="_Toc83045529"/>
      <w:r w:rsidRPr="00541558">
        <w:rPr>
          <w:sz w:val="24"/>
        </w:rPr>
        <w:t>Сметка за средствата от Европейския съюз на Национален фонд към Министерство на финансите</w:t>
      </w:r>
      <w:bookmarkEnd w:id="36"/>
    </w:p>
    <w:p w14:paraId="6E10C421" w14:textId="77777777" w:rsidR="00541558" w:rsidRPr="008C7AFA" w:rsidRDefault="00541558" w:rsidP="00541558">
      <w:pPr>
        <w:ind w:firstLine="567"/>
        <w:jc w:val="both"/>
        <w:rPr>
          <w:bCs/>
        </w:rPr>
      </w:pPr>
      <w:r w:rsidRPr="008C7AFA">
        <w:rPr>
          <w:bCs/>
        </w:rPr>
        <w:t>По сметките на НФ към 3</w:t>
      </w:r>
      <w:r w:rsidRPr="008C7AFA">
        <w:rPr>
          <w:bCs/>
          <w:lang w:val="ru-RU"/>
        </w:rPr>
        <w:t>0</w:t>
      </w:r>
      <w:r w:rsidRPr="008C7AFA">
        <w:rPr>
          <w:bCs/>
        </w:rPr>
        <w:t>.</w:t>
      </w:r>
      <w:r w:rsidRPr="008C7AFA">
        <w:rPr>
          <w:bCs/>
          <w:lang w:val="ru-RU"/>
        </w:rPr>
        <w:t>06</w:t>
      </w:r>
      <w:r w:rsidRPr="008C7AFA">
        <w:rPr>
          <w:bCs/>
        </w:rPr>
        <w:t>.2024 г. са постъпили приходи (нето) в размер на 1</w:t>
      </w:r>
      <w:r>
        <w:rPr>
          <w:bCs/>
        </w:rPr>
        <w:t> </w:t>
      </w:r>
      <w:r w:rsidRPr="008C7AFA">
        <w:rPr>
          <w:bCs/>
        </w:rPr>
        <w:t>303</w:t>
      </w:r>
      <w:r>
        <w:rPr>
          <w:bCs/>
        </w:rPr>
        <w:t>,</w:t>
      </w:r>
      <w:r w:rsidRPr="008C7AFA">
        <w:rPr>
          <w:bCs/>
        </w:rPr>
        <w:t>0</w:t>
      </w:r>
      <w:r>
        <w:rPr>
          <w:bCs/>
          <w:lang w:val="ru-RU"/>
        </w:rPr>
        <w:t> </w:t>
      </w:r>
      <w:r w:rsidRPr="008C7AFA">
        <w:rPr>
          <w:bCs/>
        </w:rPr>
        <w:t>млн.</w:t>
      </w:r>
      <w:r>
        <w:rPr>
          <w:bCs/>
        </w:rPr>
        <w:t> </w:t>
      </w:r>
      <w:r w:rsidRPr="008C7AFA">
        <w:rPr>
          <w:bCs/>
        </w:rPr>
        <w:t>лв</w:t>
      </w:r>
      <w:r>
        <w:rPr>
          <w:bCs/>
        </w:rPr>
        <w:t>.</w:t>
      </w:r>
      <w:r w:rsidRPr="008C7AFA">
        <w:rPr>
          <w:bCs/>
        </w:rPr>
        <w:t xml:space="preserve">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на ЕС за финансовата рамка, както Европейския социален фонд+, </w:t>
      </w:r>
      <w:r w:rsidRPr="00E405F6">
        <w:rPr>
          <w:bCs/>
        </w:rPr>
        <w:t>ФМ на ЕИП 2014–2021 г. и НФМ 2014–2021 г.</w:t>
      </w:r>
      <w:r>
        <w:rPr>
          <w:bCs/>
        </w:rPr>
        <w:t xml:space="preserve">, </w:t>
      </w:r>
      <w:r w:rsidRPr="008C7AFA">
        <w:rPr>
          <w:bCs/>
        </w:rPr>
        <w:t>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двустранните програми за трансгранично сътрудничество по външните граници на EС (ПТСВГ) и изплатените средства от получения ресурс към бенефициенти извън страната.</w:t>
      </w:r>
    </w:p>
    <w:p w14:paraId="144107FF" w14:textId="77777777" w:rsidR="00541558" w:rsidRPr="00966013" w:rsidRDefault="00541558" w:rsidP="00541558">
      <w:pPr>
        <w:ind w:firstLine="567"/>
        <w:jc w:val="both"/>
        <w:rPr>
          <w:bCs/>
        </w:rPr>
      </w:pPr>
      <w:r w:rsidRPr="00966013">
        <w:rPr>
          <w:bCs/>
        </w:rPr>
        <w:t>Извършените разходи (нето) за периода с натрупване чрез сметките на НФ възлизат на 498</w:t>
      </w:r>
      <w:r>
        <w:rPr>
          <w:bCs/>
        </w:rPr>
        <w:t>,</w:t>
      </w:r>
      <w:r w:rsidRPr="00966013">
        <w:rPr>
          <w:bCs/>
        </w:rPr>
        <w:t>1 млн. лева. По видове разходи изпълнението е както следва: 86</w:t>
      </w:r>
      <w:r>
        <w:rPr>
          <w:bCs/>
        </w:rPr>
        <w:t>,</w:t>
      </w:r>
      <w:r w:rsidRPr="00966013">
        <w:rPr>
          <w:bCs/>
        </w:rPr>
        <w:t>20</w:t>
      </w:r>
      <w:r>
        <w:rPr>
          <w:bCs/>
        </w:rPr>
        <w:t xml:space="preserve"> </w:t>
      </w:r>
      <w:r w:rsidRPr="00966013">
        <w:rPr>
          <w:bCs/>
        </w:rPr>
        <w:t>% от общата стойност са капиталови трансфери, 13</w:t>
      </w:r>
      <w:r>
        <w:rPr>
          <w:bCs/>
        </w:rPr>
        <w:t>,</w:t>
      </w:r>
      <w:r w:rsidRPr="00966013">
        <w:rPr>
          <w:bCs/>
        </w:rPr>
        <w:t>54</w:t>
      </w:r>
      <w:r>
        <w:rPr>
          <w:bCs/>
        </w:rPr>
        <w:t xml:space="preserve"> </w:t>
      </w:r>
      <w:r w:rsidRPr="00966013">
        <w:rPr>
          <w:bCs/>
        </w:rPr>
        <w:t>% са субсидии, 0</w:t>
      </w:r>
      <w:r>
        <w:rPr>
          <w:bCs/>
        </w:rPr>
        <w:t>,</w:t>
      </w:r>
      <w:r w:rsidRPr="00966013">
        <w:rPr>
          <w:bCs/>
        </w:rPr>
        <w:t>26</w:t>
      </w:r>
      <w:r>
        <w:rPr>
          <w:bCs/>
        </w:rPr>
        <w:t xml:space="preserve"> </w:t>
      </w:r>
      <w:r w:rsidRPr="00966013">
        <w:rPr>
          <w:bCs/>
        </w:rPr>
        <w:t>% предоставени текущи и капиталови трансфери за чужбина и 0</w:t>
      </w:r>
      <w:r>
        <w:rPr>
          <w:bCs/>
        </w:rPr>
        <w:t>,</w:t>
      </w:r>
      <w:r w:rsidRPr="00966013">
        <w:rPr>
          <w:bCs/>
        </w:rPr>
        <w:t>0002</w:t>
      </w:r>
      <w:r>
        <w:rPr>
          <w:bCs/>
        </w:rPr>
        <w:t xml:space="preserve"> </w:t>
      </w:r>
      <w:r w:rsidRPr="00966013">
        <w:rPr>
          <w:bCs/>
        </w:rPr>
        <w:t>% - издръжка.</w:t>
      </w:r>
    </w:p>
    <w:p w14:paraId="1DDC8B98" w14:textId="77777777" w:rsidR="00541558" w:rsidRPr="008E0971" w:rsidRDefault="00541558" w:rsidP="00541558">
      <w:pPr>
        <w:ind w:firstLine="567"/>
        <w:jc w:val="both"/>
        <w:rPr>
          <w:bCs/>
          <w:color w:val="365F91" w:themeColor="accent1" w:themeShade="BF"/>
        </w:rPr>
      </w:pPr>
      <w:r w:rsidRPr="00B21935">
        <w:rPr>
          <w:bCs/>
        </w:rPr>
        <w:t>Трансферите (нето), временните безлихвени заеми (нето) и временна възмездна финансова помощ за разглеждания период са на стойност 571</w:t>
      </w:r>
      <w:r>
        <w:rPr>
          <w:bCs/>
        </w:rPr>
        <w:t>,</w:t>
      </w:r>
      <w:r w:rsidRPr="00B21935">
        <w:rPr>
          <w:bCs/>
        </w:rPr>
        <w:t>1 млн</w:t>
      </w:r>
      <w:r>
        <w:rPr>
          <w:bCs/>
        </w:rPr>
        <w:t>.</w:t>
      </w:r>
      <w:r w:rsidRPr="00B21935">
        <w:rPr>
          <w:bCs/>
        </w:rPr>
        <w:t xml:space="preserve"> лв. (включват предоставените трансфери към бенефициенти по Оперативните програми (ОП) на ЕС - програмен период 2014 – 2020 г. и програмен период 2021 – 2027 г., ПТСВГ за периода 2014 – 2020 г. и програмен период 2021 – 2027 г., Националния план за възстановяване и устойчивост (НПВУ),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14:paraId="30E40469" w14:textId="77777777" w:rsidR="00541558" w:rsidRPr="007A7F3D" w:rsidRDefault="00541558" w:rsidP="00541558">
      <w:pPr>
        <w:ind w:firstLine="567"/>
        <w:jc w:val="both"/>
        <w:rPr>
          <w:bCs/>
        </w:rPr>
      </w:pPr>
      <w:r w:rsidRPr="007A7F3D">
        <w:rPr>
          <w:bCs/>
        </w:rPr>
        <w:t>Във връзка с изпълнение на програмите и проектите по програмен период 2014 – 2020 г., 2021 – 2027 г., ФМ на ЕИП и НФМ и НПВУ по сметките на НФ са получени трансфери от централния бюджет на стойност 315</w:t>
      </w:r>
      <w:r>
        <w:rPr>
          <w:bCs/>
        </w:rPr>
        <w:t>,</w:t>
      </w:r>
      <w:r w:rsidRPr="007A7F3D">
        <w:rPr>
          <w:bCs/>
        </w:rPr>
        <w:t>9 млн. лева.</w:t>
      </w:r>
    </w:p>
    <w:p w14:paraId="368A00D8" w14:textId="77777777" w:rsidR="00541558" w:rsidRPr="00C073FA" w:rsidRDefault="00541558" w:rsidP="00541558">
      <w:pPr>
        <w:ind w:firstLine="567"/>
        <w:jc w:val="both"/>
        <w:rPr>
          <w:bCs/>
        </w:rPr>
      </w:pPr>
      <w:r w:rsidRPr="00C073FA">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0</w:t>
      </w:r>
      <w:r>
        <w:rPr>
          <w:bCs/>
        </w:rPr>
        <w:t>,</w:t>
      </w:r>
      <w:r w:rsidRPr="00C073FA">
        <w:rPr>
          <w:bCs/>
        </w:rPr>
        <w:t>3 млн.</w:t>
      </w:r>
      <w:r>
        <w:rPr>
          <w:bCs/>
        </w:rPr>
        <w:t> </w:t>
      </w:r>
      <w:r w:rsidRPr="00C073FA">
        <w:rPr>
          <w:bCs/>
        </w:rPr>
        <w:t>лева.</w:t>
      </w:r>
    </w:p>
    <w:p w14:paraId="674F29FF" w14:textId="77777777" w:rsidR="00541558" w:rsidRPr="000130CF" w:rsidRDefault="00541558" w:rsidP="00541558">
      <w:pPr>
        <w:spacing w:before="120"/>
        <w:ind w:firstLine="686"/>
        <w:jc w:val="both"/>
        <w:rPr>
          <w:b/>
          <w:bCs/>
        </w:rPr>
      </w:pPr>
      <w:r w:rsidRPr="000130CF">
        <w:rPr>
          <w:b/>
          <w:bCs/>
        </w:rPr>
        <w:t>Структурни и Кохезионен фондове (СКФ) 2007 – 2013 г.</w:t>
      </w:r>
    </w:p>
    <w:p w14:paraId="630AF912" w14:textId="77777777" w:rsidR="00541558" w:rsidRPr="000130CF" w:rsidRDefault="00541558" w:rsidP="00541558">
      <w:pPr>
        <w:ind w:firstLine="567"/>
        <w:jc w:val="both"/>
      </w:pPr>
      <w:r w:rsidRPr="000130CF">
        <w:rPr>
          <w:bCs/>
        </w:rPr>
        <w:t>През отчетния период са отчетени (нето) възстановени суми от бенефициенти на стойност на 0</w:t>
      </w:r>
      <w:r>
        <w:rPr>
          <w:bCs/>
        </w:rPr>
        <w:t>,</w:t>
      </w:r>
      <w:r w:rsidRPr="000130CF">
        <w:rPr>
          <w:bCs/>
        </w:rPr>
        <w:t>2 млн. лв. и възстановено</w:t>
      </w:r>
      <w:r w:rsidRPr="000130CF">
        <w:t xml:space="preserve"> </w:t>
      </w:r>
      <w:r w:rsidRPr="000130CF">
        <w:rPr>
          <w:bCs/>
        </w:rPr>
        <w:t>авансово финансиране по реда на ДДС6/2011 г. в размер на 0</w:t>
      </w:r>
      <w:r>
        <w:rPr>
          <w:bCs/>
        </w:rPr>
        <w:t>,</w:t>
      </w:r>
      <w:r w:rsidRPr="000130CF">
        <w:rPr>
          <w:bCs/>
        </w:rPr>
        <w:t>7 млн.</w:t>
      </w:r>
      <w:r>
        <w:rPr>
          <w:bCs/>
        </w:rPr>
        <w:t> </w:t>
      </w:r>
      <w:r w:rsidRPr="000130CF">
        <w:rPr>
          <w:bCs/>
        </w:rPr>
        <w:t>лева.</w:t>
      </w:r>
    </w:p>
    <w:p w14:paraId="370214C9" w14:textId="77777777" w:rsidR="00541558" w:rsidRPr="00C36C6A" w:rsidRDefault="00541558" w:rsidP="00541558">
      <w:pPr>
        <w:spacing w:before="120"/>
        <w:ind w:firstLine="686"/>
        <w:jc w:val="both"/>
        <w:rPr>
          <w:b/>
          <w:bCs/>
        </w:rPr>
      </w:pPr>
      <w:r w:rsidRPr="00C36C6A">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14:paraId="65E4366A" w14:textId="77777777" w:rsidR="00541558" w:rsidRPr="00F05C6B" w:rsidRDefault="00541558" w:rsidP="00541558">
      <w:pPr>
        <w:ind w:firstLine="567"/>
        <w:jc w:val="both"/>
        <w:rPr>
          <w:bCs/>
        </w:rPr>
      </w:pPr>
      <w:r w:rsidRPr="00C36C6A">
        <w:rPr>
          <w:bCs/>
        </w:rPr>
        <w:t>Общо получените средства (нето) от ЕК за периода са в размер на 611</w:t>
      </w:r>
      <w:r>
        <w:rPr>
          <w:bCs/>
        </w:rPr>
        <w:t>,</w:t>
      </w:r>
      <w:r w:rsidRPr="00C36C6A">
        <w:rPr>
          <w:bCs/>
        </w:rPr>
        <w:t>8 млн. лв. (вкл. за REACT-EU в размер на 9</w:t>
      </w:r>
      <w:r>
        <w:rPr>
          <w:bCs/>
        </w:rPr>
        <w:t>,</w:t>
      </w:r>
      <w:r w:rsidRPr="00C36C6A">
        <w:rPr>
          <w:bCs/>
        </w:rPr>
        <w:t>1 млн. лв</w:t>
      </w:r>
      <w:r>
        <w:rPr>
          <w:bCs/>
        </w:rPr>
        <w:t>.</w:t>
      </w:r>
      <w:r w:rsidRPr="00C36C6A">
        <w:rPr>
          <w:bCs/>
        </w:rPr>
        <w:t>) и са разпределени както следва</w:t>
      </w:r>
      <w:r w:rsidRPr="00F05C6B">
        <w:rPr>
          <w:bCs/>
        </w:rPr>
        <w:t>:</w:t>
      </w:r>
    </w:p>
    <w:p w14:paraId="7F0860B6" w14:textId="77777777" w:rsidR="00541558" w:rsidRPr="00335E6C" w:rsidRDefault="00541558" w:rsidP="00541558">
      <w:pPr>
        <w:numPr>
          <w:ilvl w:val="0"/>
          <w:numId w:val="11"/>
        </w:numPr>
        <w:tabs>
          <w:tab w:val="clear" w:pos="1101"/>
          <w:tab w:val="num" w:pos="786"/>
        </w:tabs>
        <w:ind w:left="786"/>
        <w:jc w:val="both"/>
        <w:rPr>
          <w:bCs/>
        </w:rPr>
      </w:pPr>
      <w:r w:rsidRPr="00335E6C">
        <w:rPr>
          <w:bCs/>
        </w:rPr>
        <w:t>ОП „Транспорт и транспортна инфраструктура” – 215</w:t>
      </w:r>
      <w:r>
        <w:rPr>
          <w:bCs/>
        </w:rPr>
        <w:t>,</w:t>
      </w:r>
      <w:r w:rsidRPr="00335E6C">
        <w:rPr>
          <w:bCs/>
        </w:rPr>
        <w:t>3 млн. лв.;</w:t>
      </w:r>
    </w:p>
    <w:p w14:paraId="7F732F02" w14:textId="77777777" w:rsidR="00541558" w:rsidRPr="00335E6C" w:rsidRDefault="00541558" w:rsidP="00541558">
      <w:pPr>
        <w:numPr>
          <w:ilvl w:val="0"/>
          <w:numId w:val="11"/>
        </w:numPr>
        <w:tabs>
          <w:tab w:val="clear" w:pos="1101"/>
          <w:tab w:val="num" w:pos="786"/>
        </w:tabs>
        <w:ind w:left="786"/>
        <w:jc w:val="both"/>
        <w:rPr>
          <w:bCs/>
        </w:rPr>
      </w:pPr>
      <w:r w:rsidRPr="00335E6C">
        <w:rPr>
          <w:bCs/>
        </w:rPr>
        <w:t>ОП „Развитие на човешките ресурси 2014 - 2020 г.” – 37</w:t>
      </w:r>
      <w:r>
        <w:rPr>
          <w:bCs/>
        </w:rPr>
        <w:t>,</w:t>
      </w:r>
      <w:r w:rsidRPr="00335E6C">
        <w:rPr>
          <w:bCs/>
        </w:rPr>
        <w:t>8 млн. лв.;</w:t>
      </w:r>
    </w:p>
    <w:p w14:paraId="00DF5A8A" w14:textId="77777777" w:rsidR="00541558" w:rsidRPr="00335E6C" w:rsidRDefault="00541558" w:rsidP="00541558">
      <w:pPr>
        <w:numPr>
          <w:ilvl w:val="0"/>
          <w:numId w:val="11"/>
        </w:numPr>
        <w:tabs>
          <w:tab w:val="clear" w:pos="1101"/>
          <w:tab w:val="num" w:pos="786"/>
        </w:tabs>
        <w:ind w:left="786"/>
        <w:jc w:val="both"/>
        <w:rPr>
          <w:bCs/>
        </w:rPr>
      </w:pPr>
      <w:r w:rsidRPr="00335E6C">
        <w:rPr>
          <w:bCs/>
        </w:rPr>
        <w:t>Инициативата за младежка заетост – 9</w:t>
      </w:r>
      <w:r>
        <w:rPr>
          <w:bCs/>
        </w:rPr>
        <w:t>,</w:t>
      </w:r>
      <w:r w:rsidRPr="00335E6C">
        <w:rPr>
          <w:bCs/>
        </w:rPr>
        <w:t>2 млн. лв.;</w:t>
      </w:r>
    </w:p>
    <w:p w14:paraId="13A10886" w14:textId="77777777" w:rsidR="00541558" w:rsidRDefault="00541558" w:rsidP="00541558">
      <w:pPr>
        <w:numPr>
          <w:ilvl w:val="0"/>
          <w:numId w:val="11"/>
        </w:numPr>
        <w:tabs>
          <w:tab w:val="clear" w:pos="1101"/>
          <w:tab w:val="num" w:pos="786"/>
        </w:tabs>
        <w:ind w:left="786"/>
        <w:jc w:val="both"/>
        <w:rPr>
          <w:bCs/>
        </w:rPr>
      </w:pPr>
      <w:r w:rsidRPr="00162525">
        <w:rPr>
          <w:bCs/>
        </w:rPr>
        <w:t>ОП „Добро управление” – 34</w:t>
      </w:r>
      <w:r>
        <w:rPr>
          <w:bCs/>
        </w:rPr>
        <w:t>,</w:t>
      </w:r>
      <w:r w:rsidRPr="00162525">
        <w:rPr>
          <w:bCs/>
        </w:rPr>
        <w:t>7 млн. лв.;</w:t>
      </w:r>
    </w:p>
    <w:p w14:paraId="23D0AC7D" w14:textId="77777777" w:rsidR="00541558" w:rsidRPr="00162525" w:rsidRDefault="00541558" w:rsidP="00541558">
      <w:pPr>
        <w:numPr>
          <w:ilvl w:val="0"/>
          <w:numId w:val="11"/>
        </w:numPr>
        <w:tabs>
          <w:tab w:val="clear" w:pos="1101"/>
          <w:tab w:val="num" w:pos="786"/>
        </w:tabs>
        <w:ind w:left="786"/>
        <w:jc w:val="both"/>
        <w:rPr>
          <w:bCs/>
        </w:rPr>
      </w:pPr>
      <w:r w:rsidRPr="00C859F5">
        <w:rPr>
          <w:bCs/>
        </w:rPr>
        <w:t xml:space="preserve">ОП „Околна среда 2014 – 2020 </w:t>
      </w:r>
      <w:r>
        <w:rPr>
          <w:bCs/>
        </w:rPr>
        <w:t>г.“ – 111,3 млн. лв.;</w:t>
      </w:r>
    </w:p>
    <w:p w14:paraId="1775F20B" w14:textId="77777777" w:rsidR="00541558" w:rsidRPr="00F03694" w:rsidRDefault="00541558" w:rsidP="00541558">
      <w:pPr>
        <w:numPr>
          <w:ilvl w:val="0"/>
          <w:numId w:val="11"/>
        </w:numPr>
        <w:tabs>
          <w:tab w:val="clear" w:pos="1101"/>
          <w:tab w:val="num" w:pos="786"/>
        </w:tabs>
        <w:ind w:left="786"/>
        <w:jc w:val="both"/>
        <w:rPr>
          <w:bCs/>
        </w:rPr>
      </w:pPr>
      <w:r w:rsidRPr="00F03694">
        <w:rPr>
          <w:bCs/>
        </w:rPr>
        <w:t>ОП „Региони в растеж“ – 174</w:t>
      </w:r>
      <w:r w:rsidRPr="00B37971">
        <w:rPr>
          <w:bCs/>
          <w:lang w:val="ru-RU"/>
        </w:rPr>
        <w:t>.</w:t>
      </w:r>
      <w:r w:rsidRPr="00F03694">
        <w:rPr>
          <w:bCs/>
        </w:rPr>
        <w:t>5 млн. лв. (вкл. за REACT-EU в размер на 9</w:t>
      </w:r>
      <w:r w:rsidRPr="00B37971">
        <w:rPr>
          <w:bCs/>
          <w:lang w:val="ru-RU"/>
        </w:rPr>
        <w:t>.</w:t>
      </w:r>
      <w:r w:rsidRPr="00F03694">
        <w:rPr>
          <w:bCs/>
        </w:rPr>
        <w:t>1 млн. лева) и</w:t>
      </w:r>
    </w:p>
    <w:p w14:paraId="22D35BCA" w14:textId="77777777" w:rsidR="00541558" w:rsidRPr="00F03694" w:rsidRDefault="00541558" w:rsidP="00541558">
      <w:pPr>
        <w:numPr>
          <w:ilvl w:val="0"/>
          <w:numId w:val="11"/>
        </w:numPr>
        <w:tabs>
          <w:tab w:val="clear" w:pos="1101"/>
          <w:tab w:val="num" w:pos="786"/>
        </w:tabs>
        <w:ind w:left="786"/>
        <w:jc w:val="both"/>
        <w:rPr>
          <w:bCs/>
        </w:rPr>
      </w:pPr>
      <w:r w:rsidRPr="00F03694">
        <w:rPr>
          <w:bCs/>
        </w:rPr>
        <w:t>ОП „Наука и образование за интелигентен растеж” – 29</w:t>
      </w:r>
      <w:r w:rsidRPr="00B37971">
        <w:rPr>
          <w:bCs/>
          <w:lang w:val="ru-RU"/>
        </w:rPr>
        <w:t>.</w:t>
      </w:r>
      <w:r w:rsidRPr="00F03694">
        <w:rPr>
          <w:bCs/>
        </w:rPr>
        <w:t>0 млн. лв.</w:t>
      </w:r>
    </w:p>
    <w:p w14:paraId="217510AA" w14:textId="77777777" w:rsidR="00541558" w:rsidRPr="008B2ED3" w:rsidRDefault="00541558" w:rsidP="00541558">
      <w:pPr>
        <w:spacing w:before="120"/>
        <w:ind w:firstLine="567"/>
        <w:jc w:val="both"/>
        <w:rPr>
          <w:bCs/>
        </w:rPr>
      </w:pPr>
      <w:r w:rsidRPr="008B2ED3">
        <w:rPr>
          <w:bCs/>
        </w:rPr>
        <w:t xml:space="preserve">Направените разходи (нето) по Оперативни програми и трансферите (нето) към бюджетни организации и операции с активи към края на </w:t>
      </w:r>
      <w:r>
        <w:rPr>
          <w:bCs/>
        </w:rPr>
        <w:t>полугодието</w:t>
      </w:r>
      <w:r w:rsidRPr="008B2ED3">
        <w:rPr>
          <w:bCs/>
        </w:rPr>
        <w:t xml:space="preserve"> са на стойност 571</w:t>
      </w:r>
      <w:r>
        <w:rPr>
          <w:bCs/>
        </w:rPr>
        <w:t>,</w:t>
      </w:r>
      <w:r w:rsidRPr="008B2ED3">
        <w:rPr>
          <w:bCs/>
        </w:rPr>
        <w:t>0 млн. лв. (в тях влизат и извършените разходи по REACT-EU в размер на 7</w:t>
      </w:r>
      <w:r>
        <w:rPr>
          <w:bCs/>
        </w:rPr>
        <w:t>,</w:t>
      </w:r>
      <w:r w:rsidRPr="008B2ED3">
        <w:rPr>
          <w:bCs/>
        </w:rPr>
        <w:t>4 млн. лева), като разпределението по Оперативни програми е следното:</w:t>
      </w:r>
    </w:p>
    <w:p w14:paraId="230D1566" w14:textId="77777777" w:rsidR="00541558" w:rsidRPr="00222792" w:rsidRDefault="00541558" w:rsidP="00541558">
      <w:pPr>
        <w:numPr>
          <w:ilvl w:val="0"/>
          <w:numId w:val="11"/>
        </w:numPr>
        <w:tabs>
          <w:tab w:val="clear" w:pos="1101"/>
          <w:tab w:val="num" w:pos="786"/>
        </w:tabs>
        <w:ind w:left="786"/>
        <w:jc w:val="both"/>
        <w:rPr>
          <w:bCs/>
        </w:rPr>
      </w:pPr>
      <w:r w:rsidRPr="00222792">
        <w:rPr>
          <w:bCs/>
        </w:rPr>
        <w:t xml:space="preserve">ОП „Развитие на човешките ресурси 2014 - 2020 г.” – </w:t>
      </w:r>
      <w:r w:rsidRPr="00DA63E5">
        <w:rPr>
          <w:bCs/>
          <w:lang w:val="ru-RU"/>
        </w:rPr>
        <w:t>95</w:t>
      </w:r>
      <w:r>
        <w:rPr>
          <w:bCs/>
          <w:lang w:val="ru-RU"/>
        </w:rPr>
        <w:t>,</w:t>
      </w:r>
      <w:r w:rsidRPr="00DA63E5">
        <w:rPr>
          <w:bCs/>
          <w:lang w:val="ru-RU"/>
        </w:rPr>
        <w:t>1</w:t>
      </w:r>
      <w:r w:rsidRPr="00222792">
        <w:rPr>
          <w:bCs/>
        </w:rPr>
        <w:t xml:space="preserve"> млн. лв.</w:t>
      </w:r>
      <w:r w:rsidRPr="00222792">
        <w:t xml:space="preserve"> </w:t>
      </w:r>
      <w:r w:rsidRPr="00222792">
        <w:rPr>
          <w:bCs/>
        </w:rPr>
        <w:t>(вкл. за REACT-EU в размер на 5</w:t>
      </w:r>
      <w:r>
        <w:rPr>
          <w:bCs/>
        </w:rPr>
        <w:t>,</w:t>
      </w:r>
      <w:r w:rsidRPr="00B37971">
        <w:rPr>
          <w:bCs/>
          <w:lang w:val="ru-RU"/>
        </w:rPr>
        <w:t>1</w:t>
      </w:r>
      <w:r w:rsidRPr="00222792">
        <w:rPr>
          <w:bCs/>
        </w:rPr>
        <w:t xml:space="preserve"> млн. лева);</w:t>
      </w:r>
    </w:p>
    <w:p w14:paraId="47FABEC3" w14:textId="77777777" w:rsidR="00541558" w:rsidRPr="00222792" w:rsidRDefault="00541558" w:rsidP="00541558">
      <w:pPr>
        <w:numPr>
          <w:ilvl w:val="0"/>
          <w:numId w:val="11"/>
        </w:numPr>
        <w:tabs>
          <w:tab w:val="clear" w:pos="1101"/>
          <w:tab w:val="num" w:pos="786"/>
        </w:tabs>
        <w:ind w:left="786"/>
        <w:jc w:val="both"/>
        <w:rPr>
          <w:bCs/>
        </w:rPr>
      </w:pPr>
      <w:r w:rsidRPr="00222792">
        <w:rPr>
          <w:bCs/>
        </w:rPr>
        <w:t>Инициативата за младежка заетост –</w:t>
      </w:r>
      <w:r w:rsidRPr="00DA63E5">
        <w:rPr>
          <w:bCs/>
          <w:lang w:val="ru-RU"/>
        </w:rPr>
        <w:t xml:space="preserve"> 4</w:t>
      </w:r>
      <w:r>
        <w:rPr>
          <w:bCs/>
          <w:lang w:val="ru-RU"/>
        </w:rPr>
        <w:t>,</w:t>
      </w:r>
      <w:r w:rsidRPr="00DA63E5">
        <w:rPr>
          <w:bCs/>
          <w:lang w:val="ru-RU"/>
        </w:rPr>
        <w:t>5</w:t>
      </w:r>
      <w:r w:rsidRPr="00222792">
        <w:rPr>
          <w:bCs/>
        </w:rPr>
        <w:t xml:space="preserve"> млн. лв.;</w:t>
      </w:r>
    </w:p>
    <w:p w14:paraId="797512B8" w14:textId="77777777" w:rsidR="00541558" w:rsidRPr="00CC0BF5" w:rsidRDefault="00541558" w:rsidP="00541558">
      <w:pPr>
        <w:numPr>
          <w:ilvl w:val="0"/>
          <w:numId w:val="11"/>
        </w:numPr>
        <w:tabs>
          <w:tab w:val="clear" w:pos="1101"/>
          <w:tab w:val="num" w:pos="786"/>
        </w:tabs>
        <w:ind w:left="786"/>
        <w:jc w:val="both"/>
        <w:rPr>
          <w:bCs/>
        </w:rPr>
      </w:pPr>
      <w:r w:rsidRPr="00CC0BF5">
        <w:rPr>
          <w:bCs/>
        </w:rPr>
        <w:t xml:space="preserve">ОП „Иновации и конкурентоспособност” – </w:t>
      </w:r>
      <w:r w:rsidRPr="00DA63E5">
        <w:rPr>
          <w:bCs/>
          <w:lang w:val="ru-RU"/>
        </w:rPr>
        <w:t>6</w:t>
      </w:r>
      <w:r>
        <w:rPr>
          <w:bCs/>
          <w:lang w:val="ru-RU"/>
        </w:rPr>
        <w:t>,</w:t>
      </w:r>
      <w:r w:rsidRPr="00DA63E5">
        <w:rPr>
          <w:bCs/>
          <w:lang w:val="ru-RU"/>
        </w:rPr>
        <w:t>8</w:t>
      </w:r>
      <w:r w:rsidRPr="00CC0BF5">
        <w:rPr>
          <w:bCs/>
        </w:rPr>
        <w:t xml:space="preserve"> млн. лв. (вкл. за REACT-EU в размер на </w:t>
      </w:r>
      <w:r w:rsidRPr="00DA63E5">
        <w:rPr>
          <w:bCs/>
          <w:lang w:val="ru-RU"/>
        </w:rPr>
        <w:t>3</w:t>
      </w:r>
      <w:r>
        <w:rPr>
          <w:bCs/>
          <w:lang w:val="ru-RU"/>
        </w:rPr>
        <w:t>,</w:t>
      </w:r>
      <w:r w:rsidRPr="00DA63E5">
        <w:rPr>
          <w:bCs/>
          <w:lang w:val="ru-RU"/>
        </w:rPr>
        <w:t>3</w:t>
      </w:r>
      <w:r w:rsidRPr="00CC0BF5">
        <w:rPr>
          <w:bCs/>
        </w:rPr>
        <w:t xml:space="preserve"> млн. лева);</w:t>
      </w:r>
    </w:p>
    <w:p w14:paraId="1B5C1721" w14:textId="77777777" w:rsidR="00541558" w:rsidRPr="00CC0BF5" w:rsidRDefault="00541558" w:rsidP="00541558">
      <w:pPr>
        <w:numPr>
          <w:ilvl w:val="0"/>
          <w:numId w:val="11"/>
        </w:numPr>
        <w:tabs>
          <w:tab w:val="clear" w:pos="1101"/>
          <w:tab w:val="num" w:pos="786"/>
        </w:tabs>
        <w:ind w:left="786"/>
        <w:jc w:val="both"/>
        <w:rPr>
          <w:bCs/>
        </w:rPr>
      </w:pPr>
      <w:r w:rsidRPr="00CC0BF5">
        <w:rPr>
          <w:bCs/>
        </w:rPr>
        <w:t xml:space="preserve">ОП „Добро управление” – </w:t>
      </w:r>
      <w:r w:rsidRPr="00DA63E5">
        <w:rPr>
          <w:bCs/>
          <w:lang w:val="ru-RU"/>
        </w:rPr>
        <w:t>29</w:t>
      </w:r>
      <w:r>
        <w:rPr>
          <w:bCs/>
          <w:lang w:val="ru-RU"/>
        </w:rPr>
        <w:t>,</w:t>
      </w:r>
      <w:r w:rsidRPr="00DA63E5">
        <w:rPr>
          <w:bCs/>
          <w:lang w:val="ru-RU"/>
        </w:rPr>
        <w:t>8</w:t>
      </w:r>
      <w:r w:rsidRPr="00CC0BF5">
        <w:rPr>
          <w:bCs/>
        </w:rPr>
        <w:t xml:space="preserve"> млн. лв.;</w:t>
      </w:r>
    </w:p>
    <w:p w14:paraId="36F01140" w14:textId="77777777" w:rsidR="00541558" w:rsidRPr="00DF2E9F" w:rsidRDefault="00541558" w:rsidP="00541558">
      <w:pPr>
        <w:numPr>
          <w:ilvl w:val="0"/>
          <w:numId w:val="11"/>
        </w:numPr>
        <w:tabs>
          <w:tab w:val="clear" w:pos="1101"/>
          <w:tab w:val="num" w:pos="786"/>
        </w:tabs>
        <w:ind w:left="786"/>
        <w:jc w:val="both"/>
        <w:rPr>
          <w:bCs/>
        </w:rPr>
      </w:pPr>
      <w:r w:rsidRPr="00DF2E9F">
        <w:rPr>
          <w:bCs/>
        </w:rPr>
        <w:t xml:space="preserve">ОП „Региони в растеж“ – </w:t>
      </w:r>
      <w:r w:rsidRPr="00DA63E5">
        <w:rPr>
          <w:bCs/>
          <w:lang w:val="ru-RU"/>
        </w:rPr>
        <w:t>63</w:t>
      </w:r>
      <w:r>
        <w:rPr>
          <w:bCs/>
          <w:lang w:val="ru-RU"/>
        </w:rPr>
        <w:t>,</w:t>
      </w:r>
      <w:r w:rsidRPr="00DA63E5">
        <w:rPr>
          <w:bCs/>
          <w:lang w:val="ru-RU"/>
        </w:rPr>
        <w:t>3</w:t>
      </w:r>
      <w:r w:rsidRPr="00DF2E9F">
        <w:rPr>
          <w:bCs/>
        </w:rPr>
        <w:t xml:space="preserve"> млн. лв.</w:t>
      </w:r>
      <w:r w:rsidRPr="00DA63E5">
        <w:rPr>
          <w:bCs/>
          <w:lang w:val="ru-RU"/>
        </w:rPr>
        <w:t xml:space="preserve"> </w:t>
      </w:r>
      <w:r w:rsidRPr="00DF2E9F">
        <w:rPr>
          <w:bCs/>
        </w:rPr>
        <w:t>(вкл. възстановени средства от бенефициенти по REACT-EU в размер на 0</w:t>
      </w:r>
      <w:r>
        <w:rPr>
          <w:bCs/>
        </w:rPr>
        <w:t>,</w:t>
      </w:r>
      <w:r w:rsidRPr="00DA63E5">
        <w:rPr>
          <w:bCs/>
          <w:lang w:val="ru-RU"/>
        </w:rPr>
        <w:t>9</w:t>
      </w:r>
      <w:r w:rsidRPr="00DF2E9F">
        <w:rPr>
          <w:bCs/>
        </w:rPr>
        <w:t xml:space="preserve"> млн. лева);</w:t>
      </w:r>
    </w:p>
    <w:p w14:paraId="32D289EF" w14:textId="77777777" w:rsidR="00541558" w:rsidRPr="00222792" w:rsidRDefault="00541558" w:rsidP="00541558">
      <w:pPr>
        <w:numPr>
          <w:ilvl w:val="0"/>
          <w:numId w:val="11"/>
        </w:numPr>
        <w:tabs>
          <w:tab w:val="clear" w:pos="1101"/>
          <w:tab w:val="num" w:pos="786"/>
        </w:tabs>
        <w:ind w:left="786"/>
        <w:jc w:val="both"/>
        <w:rPr>
          <w:bCs/>
        </w:rPr>
      </w:pPr>
      <w:r w:rsidRPr="00222792">
        <w:rPr>
          <w:bCs/>
        </w:rPr>
        <w:t>ОП „Транспорт и транспортна инфраструктура” – 1</w:t>
      </w:r>
      <w:r w:rsidRPr="00DA63E5">
        <w:rPr>
          <w:bCs/>
          <w:lang w:val="ru-RU"/>
        </w:rPr>
        <w:t>50</w:t>
      </w:r>
      <w:r>
        <w:rPr>
          <w:bCs/>
          <w:lang w:val="ru-RU"/>
        </w:rPr>
        <w:t>,</w:t>
      </w:r>
      <w:r w:rsidRPr="00DA63E5">
        <w:rPr>
          <w:bCs/>
          <w:lang w:val="ru-RU"/>
        </w:rPr>
        <w:t>5</w:t>
      </w:r>
      <w:r w:rsidRPr="00222792">
        <w:rPr>
          <w:bCs/>
        </w:rPr>
        <w:t xml:space="preserve"> млн. лв.;</w:t>
      </w:r>
    </w:p>
    <w:p w14:paraId="52026CD1" w14:textId="77777777" w:rsidR="00541558" w:rsidRPr="00777B46" w:rsidRDefault="00541558" w:rsidP="00541558">
      <w:pPr>
        <w:numPr>
          <w:ilvl w:val="0"/>
          <w:numId w:val="11"/>
        </w:numPr>
        <w:tabs>
          <w:tab w:val="clear" w:pos="1101"/>
          <w:tab w:val="num" w:pos="786"/>
        </w:tabs>
        <w:ind w:left="786"/>
        <w:jc w:val="both"/>
        <w:rPr>
          <w:bCs/>
        </w:rPr>
      </w:pPr>
      <w:r w:rsidRPr="00777B46">
        <w:rPr>
          <w:bCs/>
        </w:rPr>
        <w:t xml:space="preserve">ОП „Наука и образование за интелигентен растеж” – </w:t>
      </w:r>
      <w:r w:rsidRPr="00DA63E5">
        <w:rPr>
          <w:bCs/>
          <w:lang w:val="ru-RU"/>
        </w:rPr>
        <w:t>26</w:t>
      </w:r>
      <w:r>
        <w:rPr>
          <w:bCs/>
          <w:lang w:val="ru-RU"/>
        </w:rPr>
        <w:t>,</w:t>
      </w:r>
      <w:r w:rsidRPr="00DA63E5">
        <w:rPr>
          <w:bCs/>
          <w:lang w:val="ru-RU"/>
        </w:rPr>
        <w:t>8</w:t>
      </w:r>
      <w:r w:rsidRPr="00777B46">
        <w:rPr>
          <w:bCs/>
        </w:rPr>
        <w:t xml:space="preserve"> млн. лв. (вкл. възстановени средства от бенефициенти по REACT-EU в размер на 0</w:t>
      </w:r>
      <w:r>
        <w:rPr>
          <w:bCs/>
        </w:rPr>
        <w:t>,</w:t>
      </w:r>
      <w:r w:rsidRPr="00777B46">
        <w:rPr>
          <w:bCs/>
        </w:rPr>
        <w:t>00</w:t>
      </w:r>
      <w:r w:rsidRPr="00DA63E5">
        <w:rPr>
          <w:bCs/>
          <w:lang w:val="ru-RU"/>
        </w:rPr>
        <w:t>2</w:t>
      </w:r>
      <w:r w:rsidRPr="00777B46">
        <w:rPr>
          <w:bCs/>
        </w:rPr>
        <w:t xml:space="preserve"> млн. лева) и</w:t>
      </w:r>
    </w:p>
    <w:p w14:paraId="42156358" w14:textId="77777777" w:rsidR="00541558" w:rsidRPr="008E0971" w:rsidRDefault="00541558" w:rsidP="00541558">
      <w:pPr>
        <w:numPr>
          <w:ilvl w:val="0"/>
          <w:numId w:val="11"/>
        </w:numPr>
        <w:tabs>
          <w:tab w:val="clear" w:pos="1101"/>
          <w:tab w:val="num" w:pos="786"/>
        </w:tabs>
        <w:ind w:left="786"/>
        <w:jc w:val="both"/>
        <w:rPr>
          <w:bCs/>
          <w:color w:val="365F91" w:themeColor="accent1" w:themeShade="BF"/>
        </w:rPr>
      </w:pPr>
      <w:r w:rsidRPr="00DF2E9F">
        <w:rPr>
          <w:bCs/>
        </w:rPr>
        <w:t xml:space="preserve">ОП „Околна среда 2014 – 2020 г.“ – </w:t>
      </w:r>
      <w:r w:rsidRPr="00DA63E5">
        <w:rPr>
          <w:bCs/>
          <w:lang w:val="ru-RU"/>
        </w:rPr>
        <w:t>19</w:t>
      </w:r>
      <w:r w:rsidRPr="00DF2E9F">
        <w:rPr>
          <w:bCs/>
        </w:rPr>
        <w:t>4</w:t>
      </w:r>
      <w:r>
        <w:rPr>
          <w:bCs/>
        </w:rPr>
        <w:t>,2</w:t>
      </w:r>
      <w:r w:rsidRPr="00DF2E9F">
        <w:rPr>
          <w:bCs/>
        </w:rPr>
        <w:t xml:space="preserve"> млн. лв.</w:t>
      </w:r>
    </w:p>
    <w:p w14:paraId="49910381" w14:textId="77777777" w:rsidR="00541558" w:rsidRPr="00F76322" w:rsidRDefault="00541558" w:rsidP="00541558">
      <w:pPr>
        <w:spacing w:before="120"/>
        <w:ind w:firstLine="567"/>
        <w:jc w:val="both"/>
        <w:rPr>
          <w:bCs/>
        </w:rPr>
      </w:pPr>
      <w:r w:rsidRPr="00F76322">
        <w:t xml:space="preserve">Възстановеното авансово финансиране по реда на ДДС6/2011 г. е в размер на </w:t>
      </w:r>
      <w:r w:rsidRPr="00DA63E5">
        <w:rPr>
          <w:lang w:val="ru-RU"/>
        </w:rPr>
        <w:t>282</w:t>
      </w:r>
      <w:r>
        <w:t>,</w:t>
      </w:r>
      <w:r w:rsidRPr="00DA63E5">
        <w:rPr>
          <w:lang w:val="ru-RU"/>
        </w:rPr>
        <w:t>4</w:t>
      </w:r>
      <w:r w:rsidRPr="00F76322">
        <w:t xml:space="preserve"> млн. лева, в т.ч. възстановена възмездна финансова помощ по ОПТТИ и ОПОС.</w:t>
      </w:r>
    </w:p>
    <w:p w14:paraId="5B405237" w14:textId="77777777" w:rsidR="00541558" w:rsidRPr="00F76322" w:rsidRDefault="00541558" w:rsidP="00541558">
      <w:pPr>
        <w:ind w:firstLine="567"/>
        <w:jc w:val="both"/>
        <w:rPr>
          <w:bCs/>
        </w:rPr>
      </w:pPr>
      <w:r w:rsidRPr="00F76322">
        <w:rPr>
          <w:bCs/>
        </w:rPr>
        <w:t xml:space="preserve">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период са в размер на </w:t>
      </w:r>
      <w:r w:rsidRPr="00DA63E5">
        <w:rPr>
          <w:bCs/>
          <w:lang w:val="ru-RU"/>
        </w:rPr>
        <w:t>2</w:t>
      </w:r>
      <w:r>
        <w:rPr>
          <w:bCs/>
          <w:lang w:val="ru-RU"/>
        </w:rPr>
        <w:t>,</w:t>
      </w:r>
      <w:r>
        <w:rPr>
          <w:bCs/>
        </w:rPr>
        <w:t>4</w:t>
      </w:r>
      <w:r w:rsidRPr="00F76322">
        <w:rPr>
          <w:bCs/>
        </w:rPr>
        <w:t xml:space="preserve"> млн. лева.</w:t>
      </w:r>
    </w:p>
    <w:p w14:paraId="4D9EE677" w14:textId="77777777" w:rsidR="00541558" w:rsidRPr="00F76322" w:rsidRDefault="00541558" w:rsidP="00541558">
      <w:pPr>
        <w:spacing w:before="120"/>
        <w:ind w:firstLine="686"/>
        <w:jc w:val="both"/>
        <w:rPr>
          <w:b/>
          <w:bCs/>
        </w:rPr>
      </w:pPr>
      <w:r w:rsidRPr="00F76322">
        <w:rPr>
          <w:b/>
          <w:bCs/>
        </w:rPr>
        <w:t>Европейския социален фонд+, Европейския фонд за регионално развитие (включително Фонда за справедлив преход) и Кохезионния фонд за програмен период 2021-2027 г.</w:t>
      </w:r>
    </w:p>
    <w:p w14:paraId="63FC3EF1" w14:textId="77777777" w:rsidR="00541558" w:rsidRPr="00563AB4" w:rsidRDefault="00541558" w:rsidP="00541558">
      <w:pPr>
        <w:ind w:firstLine="567"/>
        <w:jc w:val="both"/>
        <w:rPr>
          <w:bCs/>
        </w:rPr>
      </w:pPr>
      <w:r w:rsidRPr="00563AB4">
        <w:rPr>
          <w:bCs/>
        </w:rPr>
        <w:t>Получените средства (нето) от ЕК за периода са в размер на 675</w:t>
      </w:r>
      <w:r>
        <w:rPr>
          <w:bCs/>
        </w:rPr>
        <w:t>,</w:t>
      </w:r>
      <w:r w:rsidRPr="00563AB4">
        <w:rPr>
          <w:bCs/>
        </w:rPr>
        <w:t>6 млн. лв.</w:t>
      </w:r>
    </w:p>
    <w:p w14:paraId="5F0789FA" w14:textId="77777777" w:rsidR="00541558" w:rsidRPr="00563AB4" w:rsidRDefault="00541558" w:rsidP="00541558">
      <w:pPr>
        <w:jc w:val="both"/>
        <w:rPr>
          <w:bCs/>
        </w:rPr>
      </w:pPr>
    </w:p>
    <w:p w14:paraId="3F452146" w14:textId="77777777" w:rsidR="00541558" w:rsidRPr="007D7018" w:rsidRDefault="00541558" w:rsidP="00541558">
      <w:pPr>
        <w:ind w:firstLine="567"/>
        <w:jc w:val="both"/>
        <w:rPr>
          <w:bCs/>
        </w:rPr>
      </w:pPr>
      <w:r w:rsidRPr="00563AB4">
        <w:rPr>
          <w:bCs/>
        </w:rPr>
        <w:t xml:space="preserve">Направените разходи (нето) </w:t>
      </w:r>
      <w:r w:rsidRPr="007D7018">
        <w:rPr>
          <w:bCs/>
        </w:rPr>
        <w:t xml:space="preserve">за периода са в размер на </w:t>
      </w:r>
      <w:r>
        <w:rPr>
          <w:bCs/>
        </w:rPr>
        <w:t>312,7</w:t>
      </w:r>
      <w:r w:rsidRPr="007D7018">
        <w:rPr>
          <w:bCs/>
        </w:rPr>
        <w:t xml:space="preserve"> млн. лв. и са разпределени както следва:</w:t>
      </w:r>
    </w:p>
    <w:p w14:paraId="5A1A5205" w14:textId="77777777" w:rsidR="00541558" w:rsidRPr="007D7018" w:rsidRDefault="00541558" w:rsidP="00541558">
      <w:pPr>
        <w:numPr>
          <w:ilvl w:val="0"/>
          <w:numId w:val="11"/>
        </w:numPr>
        <w:tabs>
          <w:tab w:val="clear" w:pos="1101"/>
          <w:tab w:val="num" w:pos="786"/>
        </w:tabs>
        <w:ind w:left="786"/>
        <w:jc w:val="both"/>
        <w:rPr>
          <w:bCs/>
        </w:rPr>
      </w:pPr>
      <w:r w:rsidRPr="007D7018">
        <w:rPr>
          <w:bCs/>
        </w:rPr>
        <w:t>Програма „Развитие на човешките ресурси” 2021-2027 г. – 72</w:t>
      </w:r>
      <w:r>
        <w:rPr>
          <w:bCs/>
        </w:rPr>
        <w:t>,</w:t>
      </w:r>
      <w:r w:rsidRPr="007D7018">
        <w:rPr>
          <w:bCs/>
        </w:rPr>
        <w:t xml:space="preserve">1 млн. лв.;  </w:t>
      </w:r>
    </w:p>
    <w:p w14:paraId="3EC9709E" w14:textId="77777777" w:rsidR="00541558" w:rsidRPr="00251A60" w:rsidRDefault="00541558" w:rsidP="00541558">
      <w:pPr>
        <w:numPr>
          <w:ilvl w:val="0"/>
          <w:numId w:val="11"/>
        </w:numPr>
        <w:tabs>
          <w:tab w:val="clear" w:pos="1101"/>
          <w:tab w:val="num" w:pos="786"/>
        </w:tabs>
        <w:ind w:left="786"/>
        <w:jc w:val="both"/>
        <w:rPr>
          <w:bCs/>
        </w:rPr>
      </w:pPr>
      <w:r w:rsidRPr="00251A60">
        <w:rPr>
          <w:bCs/>
        </w:rPr>
        <w:t>Програма „Храни и основно материално подпомагане” 2021-2027 г. – 60</w:t>
      </w:r>
      <w:r>
        <w:rPr>
          <w:bCs/>
        </w:rPr>
        <w:t>,</w:t>
      </w:r>
      <w:r w:rsidRPr="00251A60">
        <w:rPr>
          <w:bCs/>
        </w:rPr>
        <w:t>9 млн. лв.;</w:t>
      </w:r>
    </w:p>
    <w:p w14:paraId="50F23F54" w14:textId="77777777" w:rsidR="00541558" w:rsidRPr="00251A60" w:rsidRDefault="00541558" w:rsidP="00541558">
      <w:pPr>
        <w:numPr>
          <w:ilvl w:val="0"/>
          <w:numId w:val="11"/>
        </w:numPr>
        <w:tabs>
          <w:tab w:val="clear" w:pos="1101"/>
          <w:tab w:val="num" w:pos="786"/>
        </w:tabs>
        <w:ind w:left="786"/>
        <w:jc w:val="both"/>
        <w:rPr>
          <w:bCs/>
        </w:rPr>
      </w:pPr>
      <w:r w:rsidRPr="00251A60">
        <w:rPr>
          <w:bCs/>
        </w:rPr>
        <w:t>Програма „Образование” 2021-2027 г. – 23</w:t>
      </w:r>
      <w:r>
        <w:rPr>
          <w:bCs/>
        </w:rPr>
        <w:t>,</w:t>
      </w:r>
      <w:r w:rsidRPr="00251A60">
        <w:rPr>
          <w:bCs/>
        </w:rPr>
        <w:t>8 млн. лв.;</w:t>
      </w:r>
    </w:p>
    <w:p w14:paraId="787462DD" w14:textId="77777777" w:rsidR="00541558" w:rsidRPr="00451CB3" w:rsidRDefault="00541558" w:rsidP="00541558">
      <w:pPr>
        <w:numPr>
          <w:ilvl w:val="0"/>
          <w:numId w:val="11"/>
        </w:numPr>
        <w:tabs>
          <w:tab w:val="clear" w:pos="1101"/>
          <w:tab w:val="num" w:pos="786"/>
        </w:tabs>
        <w:ind w:left="786"/>
        <w:jc w:val="both"/>
        <w:rPr>
          <w:bCs/>
        </w:rPr>
      </w:pPr>
      <w:r w:rsidRPr="00451CB3">
        <w:rPr>
          <w:bCs/>
        </w:rPr>
        <w:t>Програма „Околна среда“ 2021-2027 г. – 87</w:t>
      </w:r>
      <w:r>
        <w:rPr>
          <w:bCs/>
        </w:rPr>
        <w:t>,</w:t>
      </w:r>
      <w:r w:rsidRPr="00451CB3">
        <w:rPr>
          <w:bCs/>
        </w:rPr>
        <w:t>8 млн. лв.;</w:t>
      </w:r>
    </w:p>
    <w:p w14:paraId="2401A0F6" w14:textId="77777777" w:rsidR="00541558" w:rsidRPr="00451CB3" w:rsidRDefault="00541558" w:rsidP="00541558">
      <w:pPr>
        <w:numPr>
          <w:ilvl w:val="0"/>
          <w:numId w:val="11"/>
        </w:numPr>
        <w:tabs>
          <w:tab w:val="clear" w:pos="1101"/>
          <w:tab w:val="num" w:pos="786"/>
        </w:tabs>
        <w:ind w:left="786"/>
        <w:jc w:val="both"/>
        <w:rPr>
          <w:bCs/>
        </w:rPr>
      </w:pPr>
      <w:r w:rsidRPr="00451CB3">
        <w:rPr>
          <w:bCs/>
        </w:rPr>
        <w:t>Програма „Техническа помощ“ – 5</w:t>
      </w:r>
      <w:r>
        <w:rPr>
          <w:bCs/>
        </w:rPr>
        <w:t>,</w:t>
      </w:r>
      <w:r w:rsidRPr="00451CB3">
        <w:rPr>
          <w:bCs/>
        </w:rPr>
        <w:t>8 млн. лв.;</w:t>
      </w:r>
    </w:p>
    <w:p w14:paraId="6D88CDC3" w14:textId="77777777" w:rsidR="00541558" w:rsidRPr="00451CB3" w:rsidRDefault="00541558" w:rsidP="00541558">
      <w:pPr>
        <w:numPr>
          <w:ilvl w:val="0"/>
          <w:numId w:val="11"/>
        </w:numPr>
        <w:tabs>
          <w:tab w:val="clear" w:pos="1101"/>
          <w:tab w:val="num" w:pos="786"/>
        </w:tabs>
        <w:ind w:left="786"/>
        <w:jc w:val="both"/>
        <w:rPr>
          <w:bCs/>
        </w:rPr>
      </w:pPr>
      <w:r w:rsidRPr="00451CB3">
        <w:rPr>
          <w:bCs/>
        </w:rPr>
        <w:t>Програма „Конкурентоспособност и иновации в предприятията“ 2021</w:t>
      </w:r>
      <w:r>
        <w:rPr>
          <w:bCs/>
        </w:rPr>
        <w:t>-</w:t>
      </w:r>
      <w:r w:rsidRPr="00451CB3">
        <w:rPr>
          <w:bCs/>
        </w:rPr>
        <w:t>2027 г. – 10</w:t>
      </w:r>
      <w:r>
        <w:rPr>
          <w:bCs/>
        </w:rPr>
        <w:t>,</w:t>
      </w:r>
      <w:r w:rsidRPr="00451CB3">
        <w:rPr>
          <w:bCs/>
        </w:rPr>
        <w:t>4 млн.</w:t>
      </w:r>
      <w:r>
        <w:rPr>
          <w:bCs/>
        </w:rPr>
        <w:t> </w:t>
      </w:r>
      <w:r w:rsidRPr="00451CB3">
        <w:rPr>
          <w:bCs/>
        </w:rPr>
        <w:t>лв.;</w:t>
      </w:r>
    </w:p>
    <w:p w14:paraId="344AAE39" w14:textId="77777777" w:rsidR="00541558" w:rsidRPr="00451CB3" w:rsidRDefault="00541558" w:rsidP="00541558">
      <w:pPr>
        <w:numPr>
          <w:ilvl w:val="0"/>
          <w:numId w:val="11"/>
        </w:numPr>
        <w:tabs>
          <w:tab w:val="clear" w:pos="1101"/>
          <w:tab w:val="num" w:pos="786"/>
        </w:tabs>
        <w:ind w:left="786"/>
        <w:jc w:val="both"/>
        <w:rPr>
          <w:bCs/>
        </w:rPr>
      </w:pPr>
      <w:r w:rsidRPr="00451CB3">
        <w:rPr>
          <w:bCs/>
        </w:rPr>
        <w:t>Програма „Развитие на регионите“ 2021</w:t>
      </w:r>
      <w:r>
        <w:rPr>
          <w:bCs/>
        </w:rPr>
        <w:t>-</w:t>
      </w:r>
      <w:r w:rsidRPr="00451CB3">
        <w:rPr>
          <w:bCs/>
        </w:rPr>
        <w:t>2027 г. – 4</w:t>
      </w:r>
      <w:r>
        <w:rPr>
          <w:bCs/>
        </w:rPr>
        <w:t>,7 млн. лв.;</w:t>
      </w:r>
    </w:p>
    <w:p w14:paraId="300A8844" w14:textId="77777777" w:rsidR="00541558" w:rsidRPr="002B7A23" w:rsidRDefault="00541558" w:rsidP="00541558">
      <w:pPr>
        <w:numPr>
          <w:ilvl w:val="0"/>
          <w:numId w:val="11"/>
        </w:numPr>
        <w:tabs>
          <w:tab w:val="clear" w:pos="1101"/>
          <w:tab w:val="num" w:pos="786"/>
        </w:tabs>
        <w:ind w:left="786"/>
        <w:jc w:val="both"/>
        <w:rPr>
          <w:bCs/>
        </w:rPr>
      </w:pPr>
      <w:r w:rsidRPr="002B7A23">
        <w:rPr>
          <w:bCs/>
        </w:rPr>
        <w:t>Програма „Научни изследвания, иновации и дигитализация за интелигентна трансформация“ 2021</w:t>
      </w:r>
      <w:r>
        <w:rPr>
          <w:bCs/>
        </w:rPr>
        <w:t>-</w:t>
      </w:r>
      <w:r w:rsidRPr="002B7A23">
        <w:rPr>
          <w:bCs/>
        </w:rPr>
        <w:t>2027 г. – 9</w:t>
      </w:r>
      <w:r>
        <w:rPr>
          <w:bCs/>
        </w:rPr>
        <w:t>,</w:t>
      </w:r>
      <w:r w:rsidRPr="002B7A23">
        <w:rPr>
          <w:bCs/>
        </w:rPr>
        <w:t>4 млн. лв. и</w:t>
      </w:r>
    </w:p>
    <w:p w14:paraId="1F1A5E17" w14:textId="77777777" w:rsidR="00541558" w:rsidRPr="002B7A23" w:rsidRDefault="00541558" w:rsidP="00541558">
      <w:pPr>
        <w:numPr>
          <w:ilvl w:val="0"/>
          <w:numId w:val="11"/>
        </w:numPr>
        <w:tabs>
          <w:tab w:val="clear" w:pos="1101"/>
          <w:tab w:val="num" w:pos="786"/>
        </w:tabs>
        <w:ind w:left="786"/>
        <w:jc w:val="both"/>
        <w:rPr>
          <w:bCs/>
        </w:rPr>
      </w:pPr>
      <w:r w:rsidRPr="002B7A23">
        <w:rPr>
          <w:bCs/>
        </w:rPr>
        <w:t>Програма „Транспортна свързаност“ – 37</w:t>
      </w:r>
      <w:r>
        <w:rPr>
          <w:bCs/>
        </w:rPr>
        <w:t>,8</w:t>
      </w:r>
      <w:r w:rsidRPr="002B7A23">
        <w:rPr>
          <w:bCs/>
        </w:rPr>
        <w:t xml:space="preserve"> млн. лв.</w:t>
      </w:r>
    </w:p>
    <w:p w14:paraId="51985379" w14:textId="77777777" w:rsidR="00541558" w:rsidRPr="00150041" w:rsidRDefault="00541558" w:rsidP="00541558">
      <w:pPr>
        <w:spacing w:before="120"/>
        <w:ind w:firstLine="686"/>
        <w:jc w:val="both"/>
        <w:rPr>
          <w:b/>
          <w:bCs/>
        </w:rPr>
      </w:pPr>
      <w:r w:rsidRPr="00150041">
        <w:rPr>
          <w:b/>
          <w:bCs/>
        </w:rPr>
        <w:t>Национален план за възстановяване и устойчивост (НПВУ)</w:t>
      </w:r>
    </w:p>
    <w:p w14:paraId="5BC72EDC" w14:textId="77777777" w:rsidR="00541558" w:rsidRPr="00150041" w:rsidRDefault="00541558" w:rsidP="00A45D60">
      <w:pPr>
        <w:ind w:firstLine="567"/>
        <w:jc w:val="both"/>
        <w:rPr>
          <w:bCs/>
        </w:rPr>
      </w:pPr>
      <w:r w:rsidRPr="00150041">
        <w:rPr>
          <w:bCs/>
        </w:rPr>
        <w:t>През отчетния период чрез НПВУ бяха извършени разходи и трансфери (нето)</w:t>
      </w:r>
      <w:r w:rsidRPr="00DA63E5">
        <w:rPr>
          <w:bCs/>
          <w:lang w:val="ru-RU"/>
        </w:rPr>
        <w:t xml:space="preserve"> </w:t>
      </w:r>
      <w:r w:rsidRPr="00150041">
        <w:rPr>
          <w:bCs/>
        </w:rPr>
        <w:t xml:space="preserve">в размер на </w:t>
      </w:r>
      <w:r w:rsidRPr="00DA63E5">
        <w:rPr>
          <w:bCs/>
          <w:lang w:val="ru-RU"/>
        </w:rPr>
        <w:t>290</w:t>
      </w:r>
      <w:r>
        <w:rPr>
          <w:bCs/>
          <w:lang w:val="ru-RU"/>
        </w:rPr>
        <w:t>,</w:t>
      </w:r>
      <w:r w:rsidRPr="00DA63E5">
        <w:rPr>
          <w:bCs/>
          <w:lang w:val="ru-RU"/>
        </w:rPr>
        <w:t>0</w:t>
      </w:r>
      <w:r w:rsidRPr="00150041">
        <w:rPr>
          <w:bCs/>
        </w:rPr>
        <w:t xml:space="preserve"> млн. лева.</w:t>
      </w:r>
    </w:p>
    <w:p w14:paraId="035D88F7" w14:textId="77777777" w:rsidR="00541558" w:rsidRPr="00150041" w:rsidRDefault="00541558" w:rsidP="00541558">
      <w:pPr>
        <w:spacing w:before="120"/>
        <w:ind w:firstLine="686"/>
        <w:jc w:val="both"/>
        <w:rPr>
          <w:b/>
          <w:bCs/>
        </w:rPr>
      </w:pPr>
      <w:r w:rsidRPr="00150041">
        <w:rPr>
          <w:b/>
          <w:bCs/>
        </w:rPr>
        <w:t>Двустранни програми за трансгранично сътрудничество по външните граници на Европейския съюз 2007 – 2013 г., 2014 – 2020 г. и 2021 – 2027 г.</w:t>
      </w:r>
    </w:p>
    <w:p w14:paraId="365C1372" w14:textId="77777777" w:rsidR="00541558" w:rsidRPr="00150041" w:rsidRDefault="00541558" w:rsidP="00541558">
      <w:pPr>
        <w:ind w:firstLine="567"/>
        <w:jc w:val="both"/>
        <w:rPr>
          <w:bCs/>
        </w:rPr>
      </w:pPr>
      <w:r w:rsidRPr="00150041">
        <w:rPr>
          <w:bCs/>
        </w:rPr>
        <w:t>Получените средства към 30.</w:t>
      </w:r>
      <w:r w:rsidRPr="00DA63E5">
        <w:rPr>
          <w:bCs/>
          <w:lang w:val="ru-RU"/>
        </w:rPr>
        <w:t>0</w:t>
      </w:r>
      <w:r w:rsidRPr="00150041">
        <w:rPr>
          <w:bCs/>
        </w:rPr>
        <w:t>6.202</w:t>
      </w:r>
      <w:r w:rsidRPr="00DA63E5">
        <w:rPr>
          <w:bCs/>
          <w:lang w:val="ru-RU"/>
        </w:rPr>
        <w:t>4</w:t>
      </w:r>
      <w:r w:rsidRPr="00150041">
        <w:rPr>
          <w:bCs/>
        </w:rPr>
        <w:t xml:space="preserve"> г. са на стойност </w:t>
      </w:r>
      <w:r w:rsidRPr="00DA63E5">
        <w:rPr>
          <w:bCs/>
          <w:lang w:val="ru-RU"/>
        </w:rPr>
        <w:t>0</w:t>
      </w:r>
      <w:r>
        <w:rPr>
          <w:bCs/>
          <w:lang w:val="ru-RU"/>
        </w:rPr>
        <w:t>,</w:t>
      </w:r>
      <w:r w:rsidRPr="00DA63E5">
        <w:rPr>
          <w:bCs/>
          <w:lang w:val="ru-RU"/>
        </w:rPr>
        <w:t>1</w:t>
      </w:r>
      <w:r w:rsidRPr="00150041">
        <w:rPr>
          <w:bCs/>
        </w:rPr>
        <w:t xml:space="preserve"> млн. лв., представляващи постъпили средства за съфинансиране от страните-партньори, както разпределени към администратори в чужбина за сметка на средствата, получени от страната-партньор.</w:t>
      </w:r>
    </w:p>
    <w:p w14:paraId="0562BA3C" w14:textId="77777777" w:rsidR="00541558" w:rsidRPr="008E0971" w:rsidRDefault="00541558" w:rsidP="00541558">
      <w:pPr>
        <w:jc w:val="both"/>
        <w:rPr>
          <w:b/>
          <w:bCs/>
          <w:color w:val="365F91" w:themeColor="accent1" w:themeShade="BF"/>
        </w:rPr>
      </w:pPr>
      <w:r w:rsidRPr="00150041">
        <w:rPr>
          <w:bCs/>
        </w:rPr>
        <w:t xml:space="preserve">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w:t>
      </w:r>
      <w:r w:rsidRPr="00DA63E5">
        <w:rPr>
          <w:bCs/>
          <w:lang w:val="ru-RU"/>
        </w:rPr>
        <w:t>8</w:t>
      </w:r>
      <w:r>
        <w:rPr>
          <w:bCs/>
          <w:lang w:val="ru-RU"/>
        </w:rPr>
        <w:t>,</w:t>
      </w:r>
      <w:r w:rsidRPr="00DA63E5">
        <w:rPr>
          <w:bCs/>
          <w:lang w:val="ru-RU"/>
        </w:rPr>
        <w:t>2</w:t>
      </w:r>
      <w:r w:rsidRPr="00150041">
        <w:rPr>
          <w:bCs/>
        </w:rPr>
        <w:t xml:space="preserve"> млн. лв., включително за плащания към бенефициенти в страната, извършени за сметка на полученото финансиране от страната-партньор по тези програми.</w:t>
      </w:r>
      <w:r w:rsidRPr="008E0971">
        <w:rPr>
          <w:bCs/>
          <w:color w:val="365F91" w:themeColor="accent1" w:themeShade="BF"/>
        </w:rPr>
        <w:t xml:space="preserve"> </w:t>
      </w:r>
    </w:p>
    <w:p w14:paraId="378F3DA7" w14:textId="77777777" w:rsidR="00541558" w:rsidRPr="00E61892" w:rsidRDefault="00541558" w:rsidP="00541558">
      <w:pPr>
        <w:spacing w:before="120"/>
        <w:ind w:firstLine="567"/>
        <w:jc w:val="both"/>
        <w:rPr>
          <w:b/>
          <w:bCs/>
        </w:rPr>
      </w:pPr>
      <w:r w:rsidRPr="00E61892">
        <w:rPr>
          <w:b/>
          <w:bCs/>
        </w:rPr>
        <w:t>Финансов механизъм на Европейското икономическо пространство и Норвежки финансов механизъм за периода 2009-2014 г. и 2014-2021 г.</w:t>
      </w:r>
    </w:p>
    <w:p w14:paraId="0D3D0FCE" w14:textId="77777777" w:rsidR="00541558" w:rsidRPr="00E61892" w:rsidRDefault="00541558" w:rsidP="00A45D60">
      <w:pPr>
        <w:ind w:firstLine="567"/>
        <w:jc w:val="both"/>
        <w:rPr>
          <w:b/>
          <w:bCs/>
        </w:rPr>
      </w:pPr>
      <w:r w:rsidRPr="00E61892">
        <w:rPr>
          <w:bCs/>
        </w:rPr>
        <w:t>Получените средства към 30.</w:t>
      </w:r>
      <w:r w:rsidRPr="00DA63E5">
        <w:rPr>
          <w:bCs/>
          <w:lang w:val="ru-RU"/>
        </w:rPr>
        <w:t>0</w:t>
      </w:r>
      <w:r w:rsidRPr="00E61892">
        <w:rPr>
          <w:bCs/>
        </w:rPr>
        <w:t>6.202</w:t>
      </w:r>
      <w:r w:rsidRPr="00DA63E5">
        <w:rPr>
          <w:bCs/>
          <w:lang w:val="ru-RU"/>
        </w:rPr>
        <w:t>4</w:t>
      </w:r>
      <w:r w:rsidRPr="00E61892">
        <w:rPr>
          <w:bCs/>
        </w:rPr>
        <w:t xml:space="preserve"> г. са в размер на 15</w:t>
      </w:r>
      <w:r>
        <w:rPr>
          <w:bCs/>
        </w:rPr>
        <w:t>,</w:t>
      </w:r>
      <w:r w:rsidRPr="00E61892">
        <w:rPr>
          <w:bCs/>
        </w:rPr>
        <w:t>5 млн. лв.</w:t>
      </w:r>
    </w:p>
    <w:p w14:paraId="7A940708" w14:textId="77777777" w:rsidR="00541558" w:rsidRPr="00E61892" w:rsidRDefault="00541558" w:rsidP="00A45D60">
      <w:pPr>
        <w:ind w:firstLine="567"/>
        <w:jc w:val="both"/>
        <w:rPr>
          <w:b/>
          <w:bCs/>
        </w:rPr>
      </w:pPr>
      <w:r w:rsidRPr="00E61892">
        <w:rPr>
          <w:bCs/>
        </w:rPr>
        <w:t>Сумата на разходите и трансферите (нето) за периода са на обща стойност 32</w:t>
      </w:r>
      <w:r>
        <w:rPr>
          <w:bCs/>
        </w:rPr>
        <w:t>,</w:t>
      </w:r>
      <w:r w:rsidRPr="00DA63E5">
        <w:rPr>
          <w:bCs/>
          <w:lang w:val="ru-RU"/>
        </w:rPr>
        <w:t>2</w:t>
      </w:r>
      <w:r w:rsidRPr="00E61892">
        <w:rPr>
          <w:bCs/>
        </w:rPr>
        <w:t xml:space="preserve"> млн. лева.</w:t>
      </w:r>
      <w:r w:rsidRPr="00E61892">
        <w:rPr>
          <w:b/>
          <w:bCs/>
        </w:rPr>
        <w:t xml:space="preserve"> </w:t>
      </w:r>
    </w:p>
    <w:p w14:paraId="1BDEBCC3" w14:textId="77777777" w:rsidR="00541558" w:rsidRPr="00E61892" w:rsidRDefault="00541558" w:rsidP="00541558">
      <w:pPr>
        <w:spacing w:before="120"/>
        <w:ind w:firstLine="567"/>
        <w:jc w:val="both"/>
        <w:rPr>
          <w:b/>
          <w:bCs/>
        </w:rPr>
      </w:pPr>
      <w:r w:rsidRPr="00E61892">
        <w:rPr>
          <w:b/>
          <w:bCs/>
        </w:rPr>
        <w:t>Резерва за приспособяване във връзка с последиците от Брексит</w:t>
      </w:r>
    </w:p>
    <w:p w14:paraId="4AFC4C3F" w14:textId="77777777" w:rsidR="00541558" w:rsidRPr="00E61892" w:rsidRDefault="00541558" w:rsidP="00A45D60">
      <w:pPr>
        <w:ind w:firstLine="567"/>
        <w:jc w:val="both"/>
        <w:rPr>
          <w:bCs/>
        </w:rPr>
      </w:pPr>
      <w:r w:rsidRPr="00E61892">
        <w:rPr>
          <w:bCs/>
        </w:rPr>
        <w:t>Сумата на разходите и трансферите (нето) за периода са на обща стойност 1</w:t>
      </w:r>
      <w:r>
        <w:rPr>
          <w:bCs/>
        </w:rPr>
        <w:t>,</w:t>
      </w:r>
      <w:r w:rsidRPr="00DA63E5">
        <w:rPr>
          <w:bCs/>
          <w:lang w:val="ru-RU"/>
        </w:rPr>
        <w:t>7</w:t>
      </w:r>
      <w:r w:rsidRPr="00E61892">
        <w:rPr>
          <w:bCs/>
        </w:rPr>
        <w:t xml:space="preserve"> млн. лева.</w:t>
      </w:r>
    </w:p>
    <w:p w14:paraId="4C05EAB2" w14:textId="77777777" w:rsidR="00541558" w:rsidRPr="00E61892" w:rsidRDefault="00541558" w:rsidP="00541558">
      <w:pPr>
        <w:spacing w:before="120"/>
        <w:ind w:firstLine="567"/>
        <w:jc w:val="both"/>
        <w:rPr>
          <w:b/>
          <w:bCs/>
        </w:rPr>
      </w:pPr>
      <w:r w:rsidRPr="00E61892">
        <w:rPr>
          <w:b/>
          <w:bCs/>
        </w:rPr>
        <w:t xml:space="preserve">Програма ФАР </w:t>
      </w:r>
    </w:p>
    <w:p w14:paraId="1A099864" w14:textId="77777777" w:rsidR="00541558" w:rsidRPr="00E61892" w:rsidRDefault="00541558" w:rsidP="00541558">
      <w:pPr>
        <w:ind w:firstLine="567"/>
        <w:jc w:val="both"/>
        <w:rPr>
          <w:bCs/>
        </w:rPr>
      </w:pPr>
      <w:r w:rsidRPr="00E61892">
        <w:rPr>
          <w:bCs/>
        </w:rPr>
        <w:t>През отчетния период са възстановени суми от бенефициенти на стойност 0</w:t>
      </w:r>
      <w:r>
        <w:rPr>
          <w:bCs/>
        </w:rPr>
        <w:t>,</w:t>
      </w:r>
      <w:r w:rsidRPr="00DA63E5">
        <w:rPr>
          <w:bCs/>
          <w:lang w:val="ru-RU"/>
        </w:rPr>
        <w:t>0</w:t>
      </w:r>
      <w:r w:rsidRPr="00E61892">
        <w:rPr>
          <w:bCs/>
        </w:rPr>
        <w:t xml:space="preserve">05 млн. лева. </w:t>
      </w:r>
    </w:p>
    <w:p w14:paraId="7D27F31D" w14:textId="77777777" w:rsidR="00541558" w:rsidRPr="002E0C4D" w:rsidRDefault="00541558" w:rsidP="00541558">
      <w:pPr>
        <w:spacing w:before="120"/>
        <w:ind w:firstLine="567"/>
        <w:jc w:val="both"/>
        <w:rPr>
          <w:b/>
          <w:bCs/>
        </w:rPr>
      </w:pPr>
      <w:r w:rsidRPr="002E0C4D">
        <w:rPr>
          <w:b/>
          <w:bCs/>
        </w:rPr>
        <w:t xml:space="preserve">Програма САПАРД </w:t>
      </w:r>
    </w:p>
    <w:p w14:paraId="00A6A7FC" w14:textId="77777777" w:rsidR="00541558" w:rsidRPr="00DA63E5" w:rsidRDefault="00541558" w:rsidP="00541558">
      <w:pPr>
        <w:pStyle w:val="Header"/>
        <w:tabs>
          <w:tab w:val="clear" w:pos="4153"/>
          <w:tab w:val="clear" w:pos="8306"/>
        </w:tabs>
        <w:ind w:right="277" w:firstLine="567"/>
        <w:jc w:val="both"/>
        <w:rPr>
          <w:b/>
          <w:lang w:val="ru-RU"/>
        </w:rPr>
      </w:pPr>
      <w:r w:rsidRPr="002E0C4D">
        <w:rPr>
          <w:bCs/>
        </w:rPr>
        <w:t>През периода са извършени възстановявания от бенефициенти по дългове на стойност 0</w:t>
      </w:r>
      <w:r>
        <w:rPr>
          <w:bCs/>
        </w:rPr>
        <w:t>,</w:t>
      </w:r>
      <w:r w:rsidRPr="00DA63E5">
        <w:rPr>
          <w:bCs/>
          <w:lang w:val="ru-RU"/>
        </w:rPr>
        <w:t>00</w:t>
      </w:r>
      <w:r w:rsidRPr="002E0C4D">
        <w:rPr>
          <w:bCs/>
        </w:rPr>
        <w:t>01 млн. лв.</w:t>
      </w:r>
    </w:p>
    <w:p w14:paraId="1487192F" w14:textId="77777777" w:rsidR="00936CD8" w:rsidRPr="00307E39" w:rsidRDefault="00936CD8" w:rsidP="00936CD8">
      <w:pPr>
        <w:pStyle w:val="Heading1"/>
        <w:numPr>
          <w:ilvl w:val="0"/>
          <w:numId w:val="9"/>
        </w:numPr>
        <w:spacing w:before="360"/>
        <w:ind w:left="533" w:right="-108" w:hanging="391"/>
        <w:jc w:val="both"/>
        <w:rPr>
          <w:sz w:val="24"/>
        </w:rPr>
      </w:pPr>
      <w:r w:rsidRPr="00307E39">
        <w:rPr>
          <w:sz w:val="24"/>
        </w:rPr>
        <w:t>Бюджети на социално и здравно-осигурителните фондове и бюджети по чл. 13, ал. 2 и ал. 3 на Закона за публичните финанси</w:t>
      </w:r>
    </w:p>
    <w:p w14:paraId="1DDDE11E" w14:textId="77777777" w:rsidR="00936CD8" w:rsidRPr="00307E39" w:rsidRDefault="00936CD8" w:rsidP="00751212">
      <w:pPr>
        <w:pStyle w:val="Heading1"/>
        <w:numPr>
          <w:ilvl w:val="1"/>
          <w:numId w:val="9"/>
        </w:numPr>
        <w:spacing w:before="240"/>
        <w:ind w:left="788" w:right="-108" w:hanging="431"/>
        <w:jc w:val="both"/>
        <w:rPr>
          <w:sz w:val="24"/>
        </w:rPr>
      </w:pPr>
      <w:r w:rsidRPr="00307E39">
        <w:rPr>
          <w:sz w:val="24"/>
        </w:rPr>
        <w:t>Социално и здравно-осигурителни фондове</w:t>
      </w:r>
    </w:p>
    <w:p w14:paraId="1EE3D9F1" w14:textId="77777777" w:rsidR="00CA4EF0" w:rsidRPr="004B5388" w:rsidRDefault="00CA4EF0" w:rsidP="00CA4EF0">
      <w:pPr>
        <w:numPr>
          <w:ilvl w:val="1"/>
          <w:numId w:val="6"/>
        </w:numPr>
        <w:spacing w:before="120" w:line="276" w:lineRule="auto"/>
        <w:ind w:left="992" w:hanging="357"/>
        <w:jc w:val="both"/>
        <w:rPr>
          <w:b/>
          <w:bCs/>
        </w:rPr>
      </w:pPr>
      <w:r w:rsidRPr="004B5388">
        <w:rPr>
          <w:b/>
        </w:rPr>
        <w:t>Държавно обществено осигуряване</w:t>
      </w:r>
    </w:p>
    <w:p w14:paraId="262CB83C" w14:textId="77777777" w:rsidR="006D0874" w:rsidRPr="00C90AE1" w:rsidRDefault="006D0874" w:rsidP="006D0874">
      <w:pPr>
        <w:ind w:firstLine="567"/>
        <w:jc w:val="both"/>
        <w:rPr>
          <w:rFonts w:eastAsiaTheme="minorHAnsi"/>
        </w:rPr>
      </w:pPr>
      <w:r w:rsidRPr="00FD66DF">
        <w:t xml:space="preserve">Общата сума на </w:t>
      </w:r>
      <w:r w:rsidRPr="00FD66DF">
        <w:rPr>
          <w:b/>
        </w:rPr>
        <w:t>приходите, помощите и даренията</w:t>
      </w:r>
      <w:r w:rsidRPr="00FD66DF">
        <w:t xml:space="preserve"> по бюджета на Държавното обществено осигуряване (ДОО) към 30.06.202</w:t>
      </w:r>
      <w:r w:rsidRPr="00153C68">
        <w:rPr>
          <w:lang w:val="ru-RU"/>
        </w:rPr>
        <w:t>4</w:t>
      </w:r>
      <w:r w:rsidRPr="00FD66DF">
        <w:t xml:space="preserve"> г. възлиза на </w:t>
      </w:r>
      <w:r w:rsidRPr="00153C68">
        <w:rPr>
          <w:lang w:val="ru-RU"/>
        </w:rPr>
        <w:t>6</w:t>
      </w:r>
      <w:r w:rsidRPr="00FD66DF">
        <w:t> </w:t>
      </w:r>
      <w:r w:rsidRPr="00153C68">
        <w:rPr>
          <w:lang w:val="ru-RU"/>
        </w:rPr>
        <w:t>311</w:t>
      </w:r>
      <w:r w:rsidRPr="00FD66DF">
        <w:t>,</w:t>
      </w:r>
      <w:r w:rsidRPr="00153C68">
        <w:rPr>
          <w:lang w:val="ru-RU"/>
        </w:rPr>
        <w:t>8</w:t>
      </w:r>
      <w:r w:rsidRPr="00FD66DF">
        <w:t xml:space="preserve"> млн. лв. </w:t>
      </w:r>
      <w:r w:rsidRPr="00DF27C7">
        <w:t>Съпоставени с първото полугодие на 2023 г., приходите по бюджета на ДОО нарастват с</w:t>
      </w:r>
      <w:r w:rsidRPr="00DF27C7">
        <w:rPr>
          <w:lang w:val="ru-RU"/>
        </w:rPr>
        <w:t xml:space="preserve"> 881</w:t>
      </w:r>
      <w:r w:rsidRPr="00DF27C7">
        <w:t xml:space="preserve">,9 млн. лв. (16,2 %). Постъпилите средства представляват 49,0 % спрямо разчетените в Закона за бюджета на Държавното обществено осигуряване за 2024 г. (ЗБДОО за  2024 г.). </w:t>
      </w:r>
      <w:r w:rsidRPr="00FD66DF">
        <w:t xml:space="preserve">Най-голям е делът на приходите от осигурителни вноски (98,5 % от общите приходи), които за отчетния </w:t>
      </w:r>
      <w:r w:rsidRPr="00DF27C7">
        <w:t>период са в размер на 6 220,3 млн. лв.</w:t>
      </w:r>
      <w:r>
        <w:t xml:space="preserve"> </w:t>
      </w:r>
      <w:r w:rsidRPr="00162245">
        <w:t>Приходите от осигурителни вноски към 3</w:t>
      </w:r>
      <w:r>
        <w:t>0</w:t>
      </w:r>
      <w:r w:rsidRPr="00162245">
        <w:t>.0</w:t>
      </w:r>
      <w:r>
        <w:t>6</w:t>
      </w:r>
      <w:r w:rsidRPr="00162245">
        <w:t xml:space="preserve">.2024 г. са </w:t>
      </w:r>
      <w:r>
        <w:t>48</w:t>
      </w:r>
      <w:r w:rsidRPr="00162245">
        <w:t>,</w:t>
      </w:r>
      <w:r>
        <w:t>9</w:t>
      </w:r>
      <w:r w:rsidRPr="00162245">
        <w:t xml:space="preserve"> % от разчетите към ЗБДОО за 2024 г</w:t>
      </w:r>
      <w:r>
        <w:t xml:space="preserve">., а спрямо същия </w:t>
      </w:r>
      <w:r w:rsidRPr="00C90AE1">
        <w:t>период на предходната година нарастват с 16,4</w:t>
      </w:r>
      <w:r>
        <w:rPr>
          <w:lang w:val="en-US"/>
        </w:rPr>
        <w:t> </w:t>
      </w:r>
      <w:r w:rsidRPr="00C90AE1">
        <w:t>%.</w:t>
      </w:r>
    </w:p>
    <w:p w14:paraId="1CA4ACCB" w14:textId="77777777" w:rsidR="006D0874" w:rsidRPr="00C90AE1" w:rsidRDefault="006D0874" w:rsidP="006D0874">
      <w:pPr>
        <w:ind w:firstLine="567"/>
        <w:jc w:val="both"/>
        <w:rPr>
          <w:bCs/>
        </w:rPr>
      </w:pPr>
      <w:r w:rsidRPr="00C90AE1">
        <w:rPr>
          <w:bCs/>
        </w:rPr>
        <w:t>Отчетените неданъчни приходи към края на юни 2024 г. по бюджета на ДОО възлизат на 91,6 млн. лв., в т.ч. 82,7 млн. лв. постъпили средства по чл. 4б, чл. 4в и чл. 69б от Кодекса за социално осигуряване (КСО)</w:t>
      </w:r>
      <w:r w:rsidRPr="00C90AE1">
        <w:t>.</w:t>
      </w:r>
      <w:r w:rsidRPr="00C90AE1">
        <w:rPr>
          <w:bCs/>
        </w:rPr>
        <w:t xml:space="preserve"> </w:t>
      </w:r>
    </w:p>
    <w:p w14:paraId="748596CC" w14:textId="77777777" w:rsidR="006D0874" w:rsidRPr="00C90AE1" w:rsidRDefault="006D0874" w:rsidP="006D0874">
      <w:pPr>
        <w:ind w:firstLine="567"/>
        <w:jc w:val="both"/>
        <w:rPr>
          <w:bCs/>
        </w:rPr>
      </w:pPr>
      <w:r w:rsidRPr="00C90AE1">
        <w:rPr>
          <w:bCs/>
        </w:rPr>
        <w:t xml:space="preserve">Получените трансфери от централния бюджет </w:t>
      </w:r>
      <w:r w:rsidRPr="00D33BB5">
        <w:rPr>
          <w:bCs/>
        </w:rPr>
        <w:t>(вкл. за поети осигурителни вноски)</w:t>
      </w:r>
      <w:r>
        <w:rPr>
          <w:bCs/>
        </w:rPr>
        <w:t xml:space="preserve"> </w:t>
      </w:r>
      <w:r w:rsidRPr="00C90AE1">
        <w:rPr>
          <w:bCs/>
        </w:rPr>
        <w:t>за периода са 5 324,3 млн. лв.</w:t>
      </w:r>
    </w:p>
    <w:p w14:paraId="43F71302" w14:textId="77777777" w:rsidR="006D0874" w:rsidRPr="00722919" w:rsidRDefault="006D0874" w:rsidP="006D0874">
      <w:pPr>
        <w:tabs>
          <w:tab w:val="num" w:pos="1499"/>
          <w:tab w:val="num" w:pos="2148"/>
        </w:tabs>
        <w:ind w:firstLine="567"/>
        <w:jc w:val="both"/>
        <w:rPr>
          <w:bCs/>
          <w:color w:val="0070C0"/>
        </w:rPr>
      </w:pPr>
      <w:r w:rsidRPr="0041295C">
        <w:rPr>
          <w:bCs/>
        </w:rPr>
        <w:t xml:space="preserve">Размерът на извършените </w:t>
      </w:r>
      <w:r w:rsidRPr="0041295C">
        <w:rPr>
          <w:b/>
          <w:bCs/>
        </w:rPr>
        <w:t xml:space="preserve">разходи </w:t>
      </w:r>
      <w:r w:rsidRPr="0041295C">
        <w:rPr>
          <w:bCs/>
        </w:rPr>
        <w:t xml:space="preserve">за първите шест месеца на 2024 г. по бюджета на ДОО е 11 568,8 млн. лв. Спрямо същия период на миналата година, общо разходите по </w:t>
      </w:r>
      <w:r w:rsidRPr="009635F3">
        <w:rPr>
          <w:bCs/>
        </w:rPr>
        <w:t xml:space="preserve">бюджета на ДОО са с 1 411,9 млн. лв. (13,9 %) повече. Изразходваните средства представляват 47,5 % от разчетените със ЗБДОО 2024 г. разходи.  От структурна гледна точка най-голям относителен дял в общите разходи заемат разходите за пенсии, обезщетения и помощи, изплащани на основание КСО – общо 11 478,5 млн. лв. или 99,2 % от общия размер на разходите за отчетния период. </w:t>
      </w:r>
    </w:p>
    <w:p w14:paraId="78A11A27" w14:textId="77777777" w:rsidR="006D0874" w:rsidRPr="00153C68" w:rsidRDefault="006D0874" w:rsidP="006D0874">
      <w:pPr>
        <w:tabs>
          <w:tab w:val="num" w:pos="1499"/>
          <w:tab w:val="num" w:pos="2148"/>
        </w:tabs>
        <w:ind w:firstLine="567"/>
        <w:jc w:val="both"/>
        <w:rPr>
          <w:bCs/>
          <w:color w:val="0070C0"/>
          <w:lang w:val="ru-RU"/>
        </w:rPr>
      </w:pPr>
      <w:r w:rsidRPr="009635F3">
        <w:rPr>
          <w:bCs/>
        </w:rPr>
        <w:t xml:space="preserve">Отчетените разходи за </w:t>
      </w:r>
      <w:r w:rsidRPr="009635F3">
        <w:rPr>
          <w:b/>
          <w:bCs/>
        </w:rPr>
        <w:t>пенсии</w:t>
      </w:r>
      <w:r w:rsidRPr="009635F3">
        <w:rPr>
          <w:bCs/>
        </w:rPr>
        <w:t xml:space="preserve"> по бюджета на ДОО към 30.06.2024 г. възлизат на 10 201,6 млн. лв., което е с 1 165,9 млн. лв. повече спрямо първите шест месеца на 2023 г. </w:t>
      </w:r>
      <w:r w:rsidRPr="00667CFD">
        <w:rPr>
          <w:bCs/>
        </w:rPr>
        <w:t xml:space="preserve">и представляват </w:t>
      </w:r>
      <w:r>
        <w:rPr>
          <w:bCs/>
        </w:rPr>
        <w:t>47</w:t>
      </w:r>
      <w:r w:rsidRPr="00667CFD">
        <w:rPr>
          <w:bCs/>
        </w:rPr>
        <w:t>,</w:t>
      </w:r>
      <w:r>
        <w:rPr>
          <w:bCs/>
        </w:rPr>
        <w:t>2</w:t>
      </w:r>
      <w:r w:rsidRPr="00667CFD">
        <w:rPr>
          <w:bCs/>
        </w:rPr>
        <w:t xml:space="preserve"> % от разчета за годината. </w:t>
      </w:r>
      <w:r w:rsidRPr="009635F3">
        <w:rPr>
          <w:bCs/>
        </w:rPr>
        <w:t xml:space="preserve"> </w:t>
      </w:r>
      <w:r w:rsidRPr="00667CFD">
        <w:rPr>
          <w:bCs/>
        </w:rPr>
        <w:t xml:space="preserve">Основната причина за това е изплащането през първото тримесечие на 2024 г. на осъвременените пенсии с 12 % от 1 юли 2023 г., </w:t>
      </w:r>
      <w:r w:rsidRPr="005C2CE4">
        <w:rPr>
          <w:bCs/>
        </w:rPr>
        <w:t>вкл. увеличението на минималната пенсия.</w:t>
      </w:r>
      <w:r>
        <w:rPr>
          <w:bCs/>
        </w:rPr>
        <w:t xml:space="preserve"> </w:t>
      </w:r>
    </w:p>
    <w:p w14:paraId="57752F9F" w14:textId="77777777" w:rsidR="006D0874" w:rsidRPr="00722919" w:rsidRDefault="006D0874" w:rsidP="006D0874">
      <w:pPr>
        <w:tabs>
          <w:tab w:val="num" w:pos="1499"/>
          <w:tab w:val="num" w:pos="2148"/>
        </w:tabs>
        <w:ind w:firstLine="567"/>
        <w:jc w:val="both"/>
        <w:rPr>
          <w:color w:val="0070C0"/>
        </w:rPr>
      </w:pPr>
      <w:r w:rsidRPr="00E54C13">
        <w:t xml:space="preserve">Отчетените разходи за </w:t>
      </w:r>
      <w:r w:rsidRPr="00E54C13">
        <w:rPr>
          <w:b/>
        </w:rPr>
        <w:t>краткосрочни обезщетения и помощи по КСО</w:t>
      </w:r>
      <w:r w:rsidRPr="00E54C13">
        <w:t xml:space="preserve"> са в размер на 1 </w:t>
      </w:r>
      <w:r w:rsidRPr="00153C68">
        <w:rPr>
          <w:lang w:val="ru-RU"/>
        </w:rPr>
        <w:t>276</w:t>
      </w:r>
      <w:r w:rsidRPr="00E54C13">
        <w:t>,</w:t>
      </w:r>
      <w:r w:rsidRPr="00153C68">
        <w:rPr>
          <w:lang w:val="ru-RU"/>
        </w:rPr>
        <w:t>8</w:t>
      </w:r>
      <w:r w:rsidRPr="00E54C13">
        <w:t xml:space="preserve"> млн. лева. Спрямо същия период на миналата година изплатените обезщетения по КСО са с 2</w:t>
      </w:r>
      <w:r w:rsidRPr="00153C68">
        <w:rPr>
          <w:lang w:val="ru-RU"/>
        </w:rPr>
        <w:t>34</w:t>
      </w:r>
      <w:r w:rsidRPr="00E54C13">
        <w:t>,</w:t>
      </w:r>
      <w:r w:rsidRPr="00153C68">
        <w:rPr>
          <w:lang w:val="ru-RU"/>
        </w:rPr>
        <w:t>4</w:t>
      </w:r>
      <w:r w:rsidRPr="00E54C13">
        <w:t xml:space="preserve"> млн. лв. (2</w:t>
      </w:r>
      <w:r w:rsidRPr="00E54C13">
        <w:rPr>
          <w:lang w:val="en-US"/>
        </w:rPr>
        <w:t>2</w:t>
      </w:r>
      <w:r w:rsidRPr="00E54C13">
        <w:t>,</w:t>
      </w:r>
      <w:r w:rsidRPr="00E54C13">
        <w:rPr>
          <w:lang w:val="en-US"/>
        </w:rPr>
        <w:t>5</w:t>
      </w:r>
      <w:r w:rsidRPr="00E54C13">
        <w:t xml:space="preserve"> %) повече. </w:t>
      </w:r>
      <w:r w:rsidRPr="00945BBB">
        <w:t xml:space="preserve">Спрямо разчета в ЗБДОО за 2024 г. изпълнението е </w:t>
      </w:r>
      <w:r>
        <w:rPr>
          <w:lang w:val="en-US"/>
        </w:rPr>
        <w:t>50</w:t>
      </w:r>
      <w:r w:rsidRPr="00945BBB">
        <w:t>,</w:t>
      </w:r>
      <w:r>
        <w:rPr>
          <w:lang w:val="en-US"/>
        </w:rPr>
        <w:t>2</w:t>
      </w:r>
      <w:r w:rsidRPr="00945BBB">
        <w:t xml:space="preserve"> %.</w:t>
      </w:r>
    </w:p>
    <w:p w14:paraId="45B0BE81" w14:textId="77777777" w:rsidR="006D0874" w:rsidRPr="00450749" w:rsidRDefault="006D0874" w:rsidP="006D0874">
      <w:pPr>
        <w:numPr>
          <w:ilvl w:val="1"/>
          <w:numId w:val="6"/>
        </w:numPr>
        <w:tabs>
          <w:tab w:val="num" w:pos="709"/>
          <w:tab w:val="left" w:pos="851"/>
          <w:tab w:val="left" w:pos="1134"/>
        </w:tabs>
        <w:spacing w:before="120" w:line="276" w:lineRule="auto"/>
        <w:ind w:left="709" w:hanging="357"/>
        <w:jc w:val="both"/>
        <w:rPr>
          <w:b/>
          <w:bCs/>
        </w:rPr>
      </w:pPr>
      <w:r w:rsidRPr="00450749">
        <w:rPr>
          <w:b/>
          <w:bCs/>
        </w:rPr>
        <w:t>Национална здравноосигурителна каса</w:t>
      </w:r>
    </w:p>
    <w:p w14:paraId="2889293D" w14:textId="77777777" w:rsidR="006D0874" w:rsidRPr="003803F4" w:rsidRDefault="006D0874" w:rsidP="006D0874">
      <w:pPr>
        <w:ind w:firstLine="567"/>
        <w:jc w:val="both"/>
      </w:pPr>
      <w:r w:rsidRPr="00450749">
        <w:t xml:space="preserve">Общият размер на събраните </w:t>
      </w:r>
      <w:r w:rsidRPr="00450749">
        <w:rPr>
          <w:b/>
        </w:rPr>
        <w:t>приходи, помощи и дарения</w:t>
      </w:r>
      <w:r w:rsidRPr="00450749">
        <w:t xml:space="preserve"> по бюджета на НЗОК за първите шест месеца на 2024 г. възлиза на 2 434,0 млн. лв., което е с 349,0 млн. лв.  (16,7 %) повече в сравнение със същия период на предходната година. </w:t>
      </w:r>
      <w:r w:rsidRPr="00A17624">
        <w:t xml:space="preserve">Постъпилите средства представляват </w:t>
      </w:r>
      <w:r>
        <w:t>49</w:t>
      </w:r>
      <w:r w:rsidRPr="00A17624">
        <w:t>,</w:t>
      </w:r>
      <w:r>
        <w:t>6</w:t>
      </w:r>
      <w:r w:rsidRPr="00A17624">
        <w:t xml:space="preserve"> </w:t>
      </w:r>
      <w:r w:rsidRPr="003803F4">
        <w:t>% от предвидените в Закона за бюджета на Националната здравноосигурителна каса за 2024 г. (ЗБНЗОК за 2024 г.) приходи. Постъпленията от здравноосигурителни вноски са в размер на 2</w:t>
      </w:r>
      <w:r>
        <w:rPr>
          <w:lang w:val="en-US"/>
        </w:rPr>
        <w:t> </w:t>
      </w:r>
      <w:r w:rsidRPr="003803F4">
        <w:t xml:space="preserve">420,4 млн. лв., </w:t>
      </w:r>
      <w:r w:rsidRPr="00A17624">
        <w:t xml:space="preserve">което е </w:t>
      </w:r>
      <w:r>
        <w:t>49</w:t>
      </w:r>
      <w:r w:rsidRPr="00A17624">
        <w:t>,</w:t>
      </w:r>
      <w:r>
        <w:t>6</w:t>
      </w:r>
      <w:r w:rsidRPr="00A17624">
        <w:t xml:space="preserve"> % от предвидените в ЗБНЗОК за 2024 г. </w:t>
      </w:r>
      <w:r w:rsidRPr="003803F4">
        <w:t xml:space="preserve"> </w:t>
      </w:r>
      <w:r>
        <w:t>и</w:t>
      </w:r>
      <w:r w:rsidRPr="003803F4">
        <w:t xml:space="preserve"> с 351,8 млн. лв. повече от първото полугодие на 2023 г. Събраните неданъчни приходи за първото полугодие на 2024 г. са 13,6 млн. лв., като основната част от тях са приходи от глоби, санкции и наказателни лихви. </w:t>
      </w:r>
    </w:p>
    <w:p w14:paraId="30FFE2DA" w14:textId="77777777" w:rsidR="006D0874" w:rsidRPr="00722919" w:rsidRDefault="006D0874" w:rsidP="006D0874">
      <w:pPr>
        <w:ind w:firstLine="567"/>
        <w:jc w:val="both"/>
        <w:rPr>
          <w:color w:val="0070C0"/>
          <w:lang w:val="ru-RU"/>
        </w:rPr>
      </w:pPr>
      <w:r w:rsidRPr="001973EF">
        <w:t>Полученият трансфер от МЗ за</w:t>
      </w:r>
      <w:r w:rsidRPr="001973EF">
        <w:rPr>
          <w:szCs w:val="20"/>
        </w:rPr>
        <w:t xml:space="preserve"> финансиране на разходите </w:t>
      </w:r>
      <w:r w:rsidRPr="001973EF">
        <w:t xml:space="preserve">за лекарствени продукти – ваксини и дейности по прилагането им по чл. 82, ал. 2, т. 3 от Закона за здравето; за дейности за здравно неосигурени лица, включващи: интензивно лечение; комплексно диспансерно (амбулаторно) наблюдение при пациенти с кожно-венерически и психиатрични заболявания; </w:t>
      </w:r>
      <w:r w:rsidRPr="001973EF">
        <w:rPr>
          <w:szCs w:val="20"/>
        </w:rPr>
        <w:t xml:space="preserve">дейности по </w:t>
      </w:r>
      <w:r w:rsidRPr="00C8125F">
        <w:rPr>
          <w:color w:val="000000" w:themeColor="text1"/>
          <w:szCs w:val="20"/>
        </w:rPr>
        <w:t>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w:t>
      </w:r>
      <w:r w:rsidRPr="00C8125F">
        <w:rPr>
          <w:color w:val="000000" w:themeColor="text1"/>
        </w:rPr>
        <w:t xml:space="preserve"> </w:t>
      </w:r>
      <w:r w:rsidRPr="00C8125F">
        <w:rPr>
          <w:color w:val="000000" w:themeColor="text1"/>
          <w:szCs w:val="20"/>
        </w:rPr>
        <w:t xml:space="preserve">за отчетния период e в размер на </w:t>
      </w:r>
      <w:r w:rsidRPr="00153C68">
        <w:rPr>
          <w:color w:val="000000" w:themeColor="text1"/>
          <w:szCs w:val="20"/>
          <w:lang w:val="ru-RU"/>
        </w:rPr>
        <w:t>105</w:t>
      </w:r>
      <w:r w:rsidRPr="00C8125F">
        <w:rPr>
          <w:color w:val="000000" w:themeColor="text1"/>
          <w:szCs w:val="20"/>
        </w:rPr>
        <w:t>,</w:t>
      </w:r>
      <w:r w:rsidRPr="00153C68">
        <w:rPr>
          <w:color w:val="000000" w:themeColor="text1"/>
          <w:szCs w:val="20"/>
          <w:lang w:val="ru-RU"/>
        </w:rPr>
        <w:t>8</w:t>
      </w:r>
      <w:r w:rsidRPr="00C8125F">
        <w:rPr>
          <w:color w:val="000000" w:themeColor="text1"/>
        </w:rPr>
        <w:t xml:space="preserve"> млн. лева.</w:t>
      </w:r>
    </w:p>
    <w:p w14:paraId="63AE88EE" w14:textId="77777777" w:rsidR="006D0874" w:rsidRPr="00E20993" w:rsidRDefault="006D0874" w:rsidP="006D0874">
      <w:pPr>
        <w:ind w:firstLine="567"/>
        <w:jc w:val="both"/>
      </w:pPr>
      <w:r w:rsidRPr="00E20993">
        <w:t xml:space="preserve">Получените трансфери от централния бюджет (вкл. за поети осигурителни вноски) за периода са </w:t>
      </w:r>
      <w:r w:rsidRPr="00153C68">
        <w:rPr>
          <w:lang w:val="ru-RU"/>
        </w:rPr>
        <w:t>1</w:t>
      </w:r>
      <w:r w:rsidR="00C37EB8">
        <w:rPr>
          <w:lang w:val="en-US"/>
        </w:rPr>
        <w:t> </w:t>
      </w:r>
      <w:r w:rsidR="00C37EB8">
        <w:t>542,4</w:t>
      </w:r>
      <w:r w:rsidRPr="00E20993">
        <w:t xml:space="preserve"> млн. лв. </w:t>
      </w:r>
    </w:p>
    <w:p w14:paraId="39C7F418" w14:textId="77777777" w:rsidR="006D0874" w:rsidRPr="00E20993" w:rsidRDefault="006D0874" w:rsidP="006D0874">
      <w:pPr>
        <w:ind w:firstLine="567"/>
        <w:jc w:val="both"/>
      </w:pPr>
      <w:r w:rsidRPr="00E20993">
        <w:t xml:space="preserve">Отчетените </w:t>
      </w:r>
      <w:r w:rsidRPr="00E20993">
        <w:rPr>
          <w:b/>
        </w:rPr>
        <w:t>разходи</w:t>
      </w:r>
      <w:r w:rsidRPr="00E20993">
        <w:t xml:space="preserve"> към 3</w:t>
      </w:r>
      <w:r>
        <w:t>0</w:t>
      </w:r>
      <w:r w:rsidRPr="00E20993">
        <w:t>.0</w:t>
      </w:r>
      <w:r>
        <w:t>6</w:t>
      </w:r>
      <w:r w:rsidRPr="00E20993">
        <w:t xml:space="preserve">.2024 г. са в размер на </w:t>
      </w:r>
      <w:r>
        <w:t>3</w:t>
      </w:r>
      <w:r w:rsidRPr="00E20993">
        <w:t> </w:t>
      </w:r>
      <w:r>
        <w:t>957</w:t>
      </w:r>
      <w:r w:rsidRPr="00E20993">
        <w:t>,</w:t>
      </w:r>
      <w:r>
        <w:t>2</w:t>
      </w:r>
      <w:r w:rsidRPr="00E20993">
        <w:t xml:space="preserve"> млн. лв. и нарастват с</w:t>
      </w:r>
      <w:r>
        <w:t>ъс</w:t>
      </w:r>
      <w:r w:rsidRPr="00E20993">
        <w:t xml:space="preserve"> </w:t>
      </w:r>
      <w:r>
        <w:t>760</w:t>
      </w:r>
      <w:r w:rsidRPr="00E20993">
        <w:t>,</w:t>
      </w:r>
      <w:r>
        <w:t>7</w:t>
      </w:r>
      <w:r w:rsidRPr="00E20993">
        <w:rPr>
          <w:lang w:val="en-US"/>
        </w:rPr>
        <w:t> </w:t>
      </w:r>
      <w:r w:rsidRPr="00E20993">
        <w:t>млн. лв. (</w:t>
      </w:r>
      <w:r>
        <w:t>23</w:t>
      </w:r>
      <w:r w:rsidRPr="00E20993">
        <w:t>,</w:t>
      </w:r>
      <w:r>
        <w:t>8</w:t>
      </w:r>
      <w:r w:rsidRPr="00E20993">
        <w:t xml:space="preserve"> %) спрямо същия период на миналата година. Спрямо годишните разчети извършените разходи представляват </w:t>
      </w:r>
      <w:r>
        <w:t>48</w:t>
      </w:r>
      <w:r w:rsidRPr="00E20993">
        <w:t>,</w:t>
      </w:r>
      <w:r>
        <w:t>4</w:t>
      </w:r>
      <w:r w:rsidRPr="00E20993">
        <w:t xml:space="preserve"> %.</w:t>
      </w:r>
    </w:p>
    <w:p w14:paraId="46EC0A32" w14:textId="77777777" w:rsidR="006D0874" w:rsidRPr="004B7A23" w:rsidRDefault="006D0874" w:rsidP="006D0874">
      <w:pPr>
        <w:ind w:firstLine="567"/>
        <w:jc w:val="both"/>
        <w:rPr>
          <w:color w:val="0070C0"/>
        </w:rPr>
      </w:pPr>
      <w:r w:rsidRPr="00E20993">
        <w:t>Най-голям относителен дял в общите разходи (96,</w:t>
      </w:r>
      <w:r>
        <w:t>7</w:t>
      </w:r>
      <w:r w:rsidRPr="00E20993">
        <w:t xml:space="preserve"> %) заемат </w:t>
      </w:r>
      <w:r w:rsidRPr="00D01512">
        <w:t xml:space="preserve">здравноосигурителните плащания, които възлизат на </w:t>
      </w:r>
      <w:r>
        <w:t>3</w:t>
      </w:r>
      <w:r w:rsidRPr="00D01512">
        <w:t> </w:t>
      </w:r>
      <w:r>
        <w:t>827</w:t>
      </w:r>
      <w:r w:rsidRPr="00D01512">
        <w:t>,</w:t>
      </w:r>
      <w:r>
        <w:t>5</w:t>
      </w:r>
      <w:r w:rsidRPr="00D01512">
        <w:t xml:space="preserve"> млн. лева. В отделните направления на здравноосигурителни плащания изпълнението на бюджета за първото </w:t>
      </w:r>
      <w:r>
        <w:t>полугодие</w:t>
      </w:r>
      <w:r w:rsidRPr="00D01512">
        <w:t xml:space="preserve"> на 2024 г. е следното:</w:t>
      </w:r>
    </w:p>
    <w:p w14:paraId="684FF2F5" w14:textId="77777777" w:rsidR="006D0874" w:rsidRPr="00A82D16" w:rsidRDefault="006D0874" w:rsidP="006D0874">
      <w:pPr>
        <w:numPr>
          <w:ilvl w:val="0"/>
          <w:numId w:val="15"/>
        </w:numPr>
        <w:tabs>
          <w:tab w:val="num" w:pos="0"/>
          <w:tab w:val="left" w:pos="720"/>
          <w:tab w:val="left" w:pos="1134"/>
        </w:tabs>
        <w:spacing w:before="120" w:line="276" w:lineRule="auto"/>
        <w:ind w:hanging="6169"/>
        <w:jc w:val="both"/>
        <w:rPr>
          <w:bCs/>
        </w:rPr>
      </w:pPr>
      <w:r w:rsidRPr="00A82D16">
        <w:rPr>
          <w:b/>
          <w:i/>
        </w:rPr>
        <w:t>първична извънболнична медицинска помощ</w:t>
      </w:r>
      <w:r w:rsidRPr="00A82D16">
        <w:rPr>
          <w:i/>
        </w:rPr>
        <w:t xml:space="preserve"> –</w:t>
      </w:r>
      <w:r w:rsidRPr="00A82D16">
        <w:t xml:space="preserve"> </w:t>
      </w:r>
      <w:r w:rsidRPr="00153C68">
        <w:rPr>
          <w:lang w:val="ru-RU"/>
        </w:rPr>
        <w:t>266</w:t>
      </w:r>
      <w:r w:rsidRPr="00A82D16">
        <w:t>,</w:t>
      </w:r>
      <w:r w:rsidRPr="00153C68">
        <w:rPr>
          <w:lang w:val="ru-RU"/>
        </w:rPr>
        <w:t>1</w:t>
      </w:r>
      <w:r w:rsidRPr="00A82D16">
        <w:t xml:space="preserve"> млн. лева;</w:t>
      </w:r>
      <w:r w:rsidRPr="00A82D16">
        <w:rPr>
          <w:bCs/>
        </w:rPr>
        <w:t xml:space="preserve"> </w:t>
      </w:r>
    </w:p>
    <w:p w14:paraId="5E289631" w14:textId="77777777" w:rsidR="006D0874" w:rsidRPr="00A82D16" w:rsidRDefault="006D0874" w:rsidP="006D0874">
      <w:pPr>
        <w:numPr>
          <w:ilvl w:val="0"/>
          <w:numId w:val="15"/>
        </w:numPr>
        <w:tabs>
          <w:tab w:val="num" w:pos="0"/>
          <w:tab w:val="left" w:pos="720"/>
          <w:tab w:val="left" w:pos="1134"/>
        </w:tabs>
        <w:spacing w:line="276" w:lineRule="auto"/>
        <w:ind w:hanging="6169"/>
        <w:jc w:val="both"/>
        <w:rPr>
          <w:i/>
        </w:rPr>
      </w:pPr>
      <w:r w:rsidRPr="00A82D16">
        <w:rPr>
          <w:b/>
          <w:i/>
        </w:rPr>
        <w:t xml:space="preserve">специализирана извънболнична медицинска помощ </w:t>
      </w:r>
      <w:r w:rsidRPr="00A82D16">
        <w:t xml:space="preserve"> – </w:t>
      </w:r>
      <w:r w:rsidRPr="00153C68">
        <w:rPr>
          <w:lang w:val="ru-RU"/>
        </w:rPr>
        <w:t>283</w:t>
      </w:r>
      <w:r w:rsidRPr="00A82D16">
        <w:t>,</w:t>
      </w:r>
      <w:r w:rsidRPr="00153C68">
        <w:rPr>
          <w:lang w:val="ru-RU"/>
        </w:rPr>
        <w:t>1</w:t>
      </w:r>
      <w:r w:rsidRPr="00A82D16">
        <w:t> млн. лева;</w:t>
      </w:r>
    </w:p>
    <w:p w14:paraId="5616B2F0" w14:textId="77777777" w:rsidR="006D0874" w:rsidRPr="00A82D16" w:rsidRDefault="006D0874" w:rsidP="006D0874">
      <w:pPr>
        <w:numPr>
          <w:ilvl w:val="0"/>
          <w:numId w:val="15"/>
        </w:numPr>
        <w:tabs>
          <w:tab w:val="num" w:pos="0"/>
          <w:tab w:val="left" w:pos="720"/>
          <w:tab w:val="left" w:pos="1134"/>
        </w:tabs>
        <w:spacing w:line="276" w:lineRule="auto"/>
        <w:ind w:hanging="6169"/>
        <w:jc w:val="both"/>
        <w:rPr>
          <w:b/>
        </w:rPr>
      </w:pPr>
      <w:r w:rsidRPr="00A82D16">
        <w:rPr>
          <w:b/>
          <w:i/>
        </w:rPr>
        <w:t xml:space="preserve">дентална помощ </w:t>
      </w:r>
      <w:r w:rsidRPr="00A82D16">
        <w:rPr>
          <w:b/>
        </w:rPr>
        <w:t xml:space="preserve">– </w:t>
      </w:r>
      <w:r w:rsidRPr="00A82D16">
        <w:rPr>
          <w:lang w:val="en-US"/>
        </w:rPr>
        <w:t>200</w:t>
      </w:r>
      <w:r w:rsidRPr="00A82D16">
        <w:t>,2 млн. лева;</w:t>
      </w:r>
    </w:p>
    <w:p w14:paraId="3FDB728F" w14:textId="77777777" w:rsidR="006D0874" w:rsidRPr="00A82D16" w:rsidRDefault="006D0874" w:rsidP="006D0874">
      <w:pPr>
        <w:numPr>
          <w:ilvl w:val="0"/>
          <w:numId w:val="15"/>
        </w:numPr>
        <w:tabs>
          <w:tab w:val="num" w:pos="0"/>
          <w:tab w:val="left" w:pos="720"/>
          <w:tab w:val="left" w:pos="1134"/>
        </w:tabs>
        <w:spacing w:line="276" w:lineRule="auto"/>
        <w:ind w:hanging="6169"/>
        <w:jc w:val="both"/>
        <w:rPr>
          <w:b/>
          <w:i/>
        </w:rPr>
      </w:pPr>
      <w:r w:rsidRPr="00A82D16">
        <w:rPr>
          <w:b/>
          <w:i/>
        </w:rPr>
        <w:t xml:space="preserve">медико-диагностична дейност </w:t>
      </w:r>
      <w:r w:rsidRPr="00A82D16">
        <w:rPr>
          <w:b/>
        </w:rPr>
        <w:t xml:space="preserve">– </w:t>
      </w:r>
      <w:r w:rsidRPr="00153C68">
        <w:rPr>
          <w:lang w:val="ru-RU"/>
        </w:rPr>
        <w:t>99</w:t>
      </w:r>
      <w:r w:rsidRPr="00A82D16">
        <w:t>,</w:t>
      </w:r>
      <w:r w:rsidRPr="00153C68">
        <w:rPr>
          <w:lang w:val="ru-RU"/>
        </w:rPr>
        <w:t>3</w:t>
      </w:r>
      <w:r w:rsidRPr="00A82D16">
        <w:t xml:space="preserve"> млн. лева;</w:t>
      </w:r>
      <w:r w:rsidRPr="00A82D16">
        <w:rPr>
          <w:b/>
          <w:i/>
        </w:rPr>
        <w:t xml:space="preserve"> </w:t>
      </w:r>
    </w:p>
    <w:p w14:paraId="60C6BBD4" w14:textId="77777777" w:rsidR="006D0874" w:rsidRPr="00A82D16" w:rsidRDefault="006D0874" w:rsidP="006D0874">
      <w:pPr>
        <w:numPr>
          <w:ilvl w:val="0"/>
          <w:numId w:val="15"/>
        </w:numPr>
        <w:tabs>
          <w:tab w:val="num" w:pos="0"/>
          <w:tab w:val="left" w:pos="1134"/>
        </w:tabs>
        <w:spacing w:line="276" w:lineRule="auto"/>
        <w:ind w:left="1134" w:hanging="425"/>
        <w:jc w:val="both"/>
      </w:pPr>
      <w:r w:rsidRPr="00A82D16">
        <w:rPr>
          <w:b/>
          <w:i/>
        </w:rPr>
        <w:t xml:space="preserve">лекарствени продукти, медицински изделия и диетични храни за домашно лечение на територията на страната  - </w:t>
      </w:r>
      <w:r w:rsidRPr="00153C68">
        <w:rPr>
          <w:lang w:val="ru-RU"/>
        </w:rPr>
        <w:t>547</w:t>
      </w:r>
      <w:r w:rsidRPr="00A82D16">
        <w:t>,</w:t>
      </w:r>
      <w:r w:rsidRPr="00153C68">
        <w:rPr>
          <w:lang w:val="ru-RU"/>
        </w:rPr>
        <w:t>5</w:t>
      </w:r>
      <w:r w:rsidRPr="00A82D16">
        <w:t xml:space="preserve"> млн. лв.</w:t>
      </w:r>
    </w:p>
    <w:p w14:paraId="432092BA" w14:textId="77777777" w:rsidR="006D0874" w:rsidRPr="00A82D16" w:rsidRDefault="006D0874" w:rsidP="006D0874">
      <w:pPr>
        <w:numPr>
          <w:ilvl w:val="0"/>
          <w:numId w:val="15"/>
        </w:numPr>
        <w:tabs>
          <w:tab w:val="num" w:pos="0"/>
          <w:tab w:val="left" w:pos="1134"/>
          <w:tab w:val="num" w:pos="6096"/>
        </w:tabs>
        <w:spacing w:line="276" w:lineRule="auto"/>
        <w:ind w:left="1134" w:hanging="425"/>
        <w:jc w:val="both"/>
      </w:pPr>
      <w:r w:rsidRPr="00A82D16">
        <w:rPr>
          <w:b/>
          <w:i/>
        </w:rPr>
        <w:t xml:space="preserve"> лекарствени продукти за лечение на злокачествени заболявания в условията на болнична медицинска помощ </w:t>
      </w:r>
      <w:r w:rsidRPr="00A82D16">
        <w:t xml:space="preserve"> – </w:t>
      </w:r>
      <w:r w:rsidRPr="00153C68">
        <w:rPr>
          <w:lang w:val="ru-RU"/>
        </w:rPr>
        <w:t>501</w:t>
      </w:r>
      <w:r w:rsidRPr="00A82D16">
        <w:t>,3 млн. лева;</w:t>
      </w:r>
    </w:p>
    <w:p w14:paraId="53A9B3D3" w14:textId="77777777" w:rsidR="006D0874" w:rsidRPr="00A82D16" w:rsidRDefault="006D0874" w:rsidP="006D0874">
      <w:pPr>
        <w:numPr>
          <w:ilvl w:val="0"/>
          <w:numId w:val="15"/>
        </w:numPr>
        <w:tabs>
          <w:tab w:val="num" w:pos="0"/>
          <w:tab w:val="left" w:pos="720"/>
          <w:tab w:val="num" w:pos="1134"/>
        </w:tabs>
        <w:spacing w:line="276" w:lineRule="auto"/>
        <w:ind w:left="1134" w:hanging="425"/>
        <w:jc w:val="both"/>
      </w:pPr>
      <w:r w:rsidRPr="00A82D16">
        <w:rPr>
          <w:b/>
          <w:i/>
        </w:rPr>
        <w:t>медицински изделия, прилагани в болничната  помощ –</w:t>
      </w:r>
      <w:r w:rsidRPr="00A82D16">
        <w:t xml:space="preserve"> </w:t>
      </w:r>
      <w:r w:rsidRPr="00153C68">
        <w:rPr>
          <w:lang w:val="ru-RU"/>
        </w:rPr>
        <w:t>75</w:t>
      </w:r>
      <w:r w:rsidRPr="00A82D16">
        <w:t>,</w:t>
      </w:r>
      <w:r w:rsidRPr="00153C68">
        <w:rPr>
          <w:lang w:val="ru-RU"/>
        </w:rPr>
        <w:t>9</w:t>
      </w:r>
      <w:r w:rsidRPr="00A82D16">
        <w:t xml:space="preserve"> млн. лева;</w:t>
      </w:r>
    </w:p>
    <w:p w14:paraId="30647FB8" w14:textId="77777777" w:rsidR="006D0874" w:rsidRPr="00722919" w:rsidRDefault="006D0874" w:rsidP="006D0874">
      <w:pPr>
        <w:numPr>
          <w:ilvl w:val="0"/>
          <w:numId w:val="15"/>
        </w:numPr>
        <w:tabs>
          <w:tab w:val="num" w:pos="0"/>
          <w:tab w:val="left" w:pos="720"/>
          <w:tab w:val="left" w:pos="1134"/>
        </w:tabs>
        <w:spacing w:line="276" w:lineRule="auto"/>
        <w:ind w:hanging="6169"/>
        <w:jc w:val="both"/>
        <w:rPr>
          <w:color w:val="0070C0"/>
        </w:rPr>
      </w:pPr>
      <w:r w:rsidRPr="00A82D16">
        <w:rPr>
          <w:b/>
          <w:i/>
        </w:rPr>
        <w:t>болнична медицинска помощ –</w:t>
      </w:r>
      <w:r w:rsidRPr="00A82D16">
        <w:t xml:space="preserve"> 1 </w:t>
      </w:r>
      <w:r w:rsidRPr="00153C68">
        <w:rPr>
          <w:lang w:val="ru-RU"/>
        </w:rPr>
        <w:t>827</w:t>
      </w:r>
      <w:r w:rsidRPr="00A82D16">
        <w:t>,2 млн. лева.</w:t>
      </w:r>
      <w:r w:rsidRPr="00A82D16">
        <w:tab/>
      </w:r>
      <w:r w:rsidRPr="00722919">
        <w:rPr>
          <w:color w:val="0070C0"/>
        </w:rPr>
        <w:t xml:space="preserve"> </w:t>
      </w:r>
    </w:p>
    <w:p w14:paraId="1A84760F" w14:textId="77777777" w:rsidR="006D0874" w:rsidRPr="00A82D16" w:rsidRDefault="006D0874" w:rsidP="006D0874">
      <w:pPr>
        <w:numPr>
          <w:ilvl w:val="0"/>
          <w:numId w:val="15"/>
        </w:numPr>
        <w:tabs>
          <w:tab w:val="num" w:pos="0"/>
          <w:tab w:val="left" w:pos="720"/>
          <w:tab w:val="left" w:pos="1134"/>
        </w:tabs>
        <w:spacing w:line="276" w:lineRule="auto"/>
        <w:ind w:hanging="6169"/>
        <w:jc w:val="both"/>
      </w:pPr>
      <w:r w:rsidRPr="00A82D16">
        <w:rPr>
          <w:b/>
          <w:i/>
        </w:rPr>
        <w:t xml:space="preserve">други здравноосигурителни плащания – </w:t>
      </w:r>
      <w:r w:rsidRPr="00A82D16">
        <w:t>2</w:t>
      </w:r>
      <w:r w:rsidRPr="00153C68">
        <w:rPr>
          <w:lang w:val="ru-RU"/>
        </w:rPr>
        <w:t>6</w:t>
      </w:r>
      <w:r w:rsidRPr="00A82D16">
        <w:t>,</w:t>
      </w:r>
      <w:r w:rsidRPr="00153C68">
        <w:rPr>
          <w:lang w:val="ru-RU"/>
        </w:rPr>
        <w:t>9</w:t>
      </w:r>
      <w:r w:rsidRPr="00A82D16">
        <w:t xml:space="preserve"> млн. лева.</w:t>
      </w:r>
    </w:p>
    <w:p w14:paraId="66B1EA79" w14:textId="77777777" w:rsidR="006D0874" w:rsidRPr="00722919" w:rsidRDefault="006D0874" w:rsidP="006D0874">
      <w:pPr>
        <w:spacing w:before="120"/>
        <w:ind w:firstLine="567"/>
        <w:jc w:val="both"/>
        <w:rPr>
          <w:color w:val="0070C0"/>
        </w:rPr>
      </w:pPr>
      <w:r w:rsidRPr="007438AC">
        <w:t xml:space="preserve">Като здравноосигурителни плащания следва да се третират и преведените </w:t>
      </w:r>
      <w:r w:rsidRPr="00153C68">
        <w:rPr>
          <w:lang w:val="ru-RU"/>
        </w:rPr>
        <w:t>93</w:t>
      </w:r>
      <w:r w:rsidRPr="007438AC">
        <w:t>,</w:t>
      </w:r>
      <w:r w:rsidRPr="00153C68">
        <w:rPr>
          <w:lang w:val="ru-RU"/>
        </w:rPr>
        <w:t>6</w:t>
      </w:r>
      <w:r w:rsidRPr="007438AC">
        <w:t xml:space="preserve">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w:t>
      </w:r>
      <w:r w:rsidRPr="00153C68">
        <w:rPr>
          <w:lang w:val="ru-RU"/>
        </w:rPr>
        <w:t>3</w:t>
      </w:r>
      <w:r w:rsidRPr="007438AC">
        <w:t> </w:t>
      </w:r>
      <w:r w:rsidRPr="00153C68">
        <w:rPr>
          <w:lang w:val="ru-RU"/>
        </w:rPr>
        <w:t>921</w:t>
      </w:r>
      <w:r w:rsidRPr="007438AC">
        <w:t>,</w:t>
      </w:r>
      <w:r w:rsidRPr="00153C68">
        <w:rPr>
          <w:lang w:val="ru-RU"/>
        </w:rPr>
        <w:t>0</w:t>
      </w:r>
      <w:r w:rsidRPr="007438AC">
        <w:t> млн. лв.</w:t>
      </w:r>
      <w:r w:rsidRPr="00153C68">
        <w:rPr>
          <w:lang w:val="ru-RU"/>
        </w:rPr>
        <w:t xml:space="preserve"> </w:t>
      </w:r>
    </w:p>
    <w:p w14:paraId="527D19AB" w14:textId="77777777" w:rsidR="006D0874" w:rsidRPr="00153C68" w:rsidRDefault="006D0874" w:rsidP="006D0874">
      <w:pPr>
        <w:ind w:firstLine="567"/>
        <w:jc w:val="both"/>
        <w:rPr>
          <w:lang w:val="ru-RU"/>
        </w:rPr>
      </w:pPr>
      <w:r w:rsidRPr="00BA607F">
        <w:t xml:space="preserve">За периода са отчетени плащания в размер на </w:t>
      </w:r>
      <w:r w:rsidRPr="00153C68">
        <w:rPr>
          <w:lang w:val="ru-RU"/>
        </w:rPr>
        <w:t>75</w:t>
      </w:r>
      <w:r w:rsidRPr="00BA607F">
        <w:t>,</w:t>
      </w:r>
      <w:r w:rsidRPr="00587800">
        <w:rPr>
          <w:lang w:val="ru-RU"/>
        </w:rPr>
        <w:t>2</w:t>
      </w:r>
      <w:r>
        <w:t xml:space="preserve"> </w:t>
      </w:r>
      <w:r w:rsidRPr="00BA607F">
        <w:t>млн. лв. за дейности за здравнонеосигурени лица, лекарствени продукти, потребителска такса, медицински изделия за хората с увреждания и за лечение на лица до 18 годишна възраст по чл.82, ал.1а, 3 и 6 от Закона за здравето и на лица над 18 годишна възраст по чл.82, ал.1а и 6.</w:t>
      </w:r>
      <w:r w:rsidRPr="00153C68">
        <w:rPr>
          <w:lang w:val="ru-RU"/>
        </w:rPr>
        <w:t xml:space="preserve"> </w:t>
      </w:r>
    </w:p>
    <w:p w14:paraId="244E9CAD" w14:textId="77777777" w:rsidR="006D0874" w:rsidRDefault="006D0874" w:rsidP="006D0874">
      <w:pPr>
        <w:ind w:firstLine="567"/>
        <w:jc w:val="both"/>
      </w:pPr>
      <w:r w:rsidRPr="00BF34B0">
        <w:t xml:space="preserve">За първите шест месеца на годината са отчетени </w:t>
      </w:r>
      <w:r>
        <w:t>51</w:t>
      </w:r>
      <w:r w:rsidRPr="00BF34B0">
        <w:t>,</w:t>
      </w:r>
      <w:r>
        <w:t>7</w:t>
      </w:r>
      <w:r w:rsidRPr="00BF34B0">
        <w:t xml:space="preserve"> млн. лв. за административни разходи на институцията, които включват разходите за персонал, за текуща издръжка и лихвени плащания. Усвоените средства за административни разходи заемат 1,3 на сто в структурата на общите разходи за отчетния период. Отчетените капиталови разходи за периода възлизат на 2,</w:t>
      </w:r>
      <w:r>
        <w:t>9</w:t>
      </w:r>
      <w:r w:rsidRPr="00BF34B0">
        <w:t> млн. лева</w:t>
      </w:r>
      <w:r w:rsidRPr="00337959">
        <w:t>.</w:t>
      </w:r>
    </w:p>
    <w:p w14:paraId="76DD4D5F" w14:textId="77777777" w:rsidR="00656380" w:rsidRPr="00793C4E" w:rsidRDefault="00656380" w:rsidP="002763DB">
      <w:pPr>
        <w:ind w:firstLine="567"/>
        <w:jc w:val="both"/>
        <w:rPr>
          <w:color w:val="0070C0"/>
        </w:rPr>
      </w:pPr>
    </w:p>
    <w:p w14:paraId="22EE1C04" w14:textId="77777777" w:rsidR="00B6120B" w:rsidRPr="00C64EA1" w:rsidRDefault="00B6120B" w:rsidP="00ED2B9A">
      <w:pPr>
        <w:pStyle w:val="Heading1"/>
        <w:numPr>
          <w:ilvl w:val="1"/>
          <w:numId w:val="9"/>
        </w:numPr>
        <w:spacing w:before="120"/>
        <w:ind w:left="788" w:right="-108" w:hanging="431"/>
        <w:jc w:val="both"/>
        <w:rPr>
          <w:sz w:val="24"/>
        </w:rPr>
      </w:pPr>
      <w:r w:rsidRPr="00C64EA1">
        <w:rPr>
          <w:sz w:val="24"/>
        </w:rPr>
        <w:t>Общински бюджети</w:t>
      </w:r>
    </w:p>
    <w:p w14:paraId="23B58B83" w14:textId="77777777" w:rsidR="00750EB3" w:rsidRPr="00C64EA1" w:rsidRDefault="00750EB3" w:rsidP="00FB0C77">
      <w:pPr>
        <w:numPr>
          <w:ilvl w:val="0"/>
          <w:numId w:val="27"/>
        </w:numPr>
        <w:tabs>
          <w:tab w:val="left" w:pos="851"/>
        </w:tabs>
        <w:spacing w:before="120" w:line="276" w:lineRule="auto"/>
        <w:ind w:left="533" w:firstLine="34"/>
        <w:jc w:val="both"/>
        <w:rPr>
          <w:b/>
        </w:rPr>
      </w:pPr>
      <w:r w:rsidRPr="00C64EA1">
        <w:rPr>
          <w:b/>
        </w:rPr>
        <w:t>Приходи</w:t>
      </w:r>
    </w:p>
    <w:p w14:paraId="06B5F410" w14:textId="77777777" w:rsidR="00C64EA1" w:rsidRPr="00793C4E" w:rsidRDefault="00C64EA1" w:rsidP="00C64EA1">
      <w:pPr>
        <w:ind w:firstLine="567"/>
        <w:jc w:val="both"/>
        <w:rPr>
          <w:i/>
          <w:color w:val="0070C0"/>
        </w:rPr>
      </w:pPr>
      <w:r w:rsidRPr="003C263A">
        <w:rPr>
          <w:b/>
        </w:rPr>
        <w:t>Приходите</w:t>
      </w:r>
      <w:r w:rsidRPr="003C263A">
        <w:t xml:space="preserve"> по бюджетите на общините към 30.06.2024 г. са в размер на </w:t>
      </w:r>
      <w:r w:rsidRPr="00153C68">
        <w:rPr>
          <w:lang w:val="ru-RU"/>
        </w:rPr>
        <w:t xml:space="preserve">1 </w:t>
      </w:r>
      <w:r w:rsidRPr="003C263A">
        <w:t xml:space="preserve">959,1 млн. лв., което представлява 51,0 % от разчетените към ЗДБРБ за 2024 г. постъпления в размер на </w:t>
      </w:r>
      <w:r w:rsidRPr="003C263A">
        <w:rPr>
          <w:bCs/>
        </w:rPr>
        <w:t xml:space="preserve">3 </w:t>
      </w:r>
      <w:r w:rsidRPr="003C263A">
        <w:rPr>
          <w:bCs/>
          <w:lang w:val="ru-RU"/>
        </w:rPr>
        <w:t>841</w:t>
      </w:r>
      <w:r w:rsidRPr="003C263A">
        <w:rPr>
          <w:bCs/>
        </w:rPr>
        <w:t>,</w:t>
      </w:r>
      <w:r w:rsidRPr="00475288">
        <w:rPr>
          <w:bCs/>
        </w:rPr>
        <w:t>5</w:t>
      </w:r>
      <w:r w:rsidRPr="00475288">
        <w:t xml:space="preserve"> млн. лв. и с 86,1 млн. лв.</w:t>
      </w:r>
      <w:r w:rsidRPr="00475288">
        <w:rPr>
          <w:lang w:val="ru-RU"/>
        </w:rPr>
        <w:t xml:space="preserve"> </w:t>
      </w:r>
      <w:r w:rsidRPr="00475288">
        <w:t xml:space="preserve">или с 4,6 %  повече спрямо събраните за същия период на 2023 г. </w:t>
      </w:r>
      <w:r w:rsidRPr="00475288">
        <w:rPr>
          <w:i/>
        </w:rPr>
        <w:t>Данъчните приходи</w:t>
      </w:r>
      <w:r w:rsidRPr="00475288">
        <w:t xml:space="preserve"> по общинските бюджети са в размер на 922</w:t>
      </w:r>
      <w:r w:rsidR="00842B8C">
        <w:rPr>
          <w:lang w:val="en-US"/>
        </w:rPr>
        <w:t>,</w:t>
      </w:r>
      <w:r w:rsidRPr="00475288">
        <w:t xml:space="preserve">7 млн. лв. или </w:t>
      </w:r>
      <w:r w:rsidRPr="00475288">
        <w:rPr>
          <w:lang w:val="ru-RU"/>
        </w:rPr>
        <w:t>57,4</w:t>
      </w:r>
      <w:r w:rsidRPr="00475288">
        <w:t xml:space="preserve"> %  от годишните разчети към ЗДБРБ за 2024 г. и с 10,8 % (90,1 млн. лв.) повече спрямо тези за предходната година. </w:t>
      </w:r>
      <w:r w:rsidRPr="00475288">
        <w:rPr>
          <w:i/>
        </w:rPr>
        <w:t>Неданъчните приходи и помощите</w:t>
      </w:r>
      <w:r w:rsidRPr="00475288">
        <w:t xml:space="preserve"> възлизат на</w:t>
      </w:r>
      <w:r>
        <w:rPr>
          <w:lang w:val="en-US"/>
        </w:rPr>
        <w:t>  </w:t>
      </w:r>
      <w:r w:rsidRPr="00153C68">
        <w:rPr>
          <w:lang w:val="ru-RU"/>
        </w:rPr>
        <w:t>1</w:t>
      </w:r>
      <w:r>
        <w:rPr>
          <w:lang w:val="en-US"/>
        </w:rPr>
        <w:t> </w:t>
      </w:r>
      <w:r w:rsidRPr="00475288">
        <w:rPr>
          <w:lang w:val="ru-RU"/>
        </w:rPr>
        <w:t>036</w:t>
      </w:r>
      <w:r w:rsidRPr="00475288">
        <w:t>,4 млн. лв. или 46,4</w:t>
      </w:r>
      <w:r>
        <w:t xml:space="preserve"> % от </w:t>
      </w:r>
      <w:r w:rsidRPr="00767B14">
        <w:t xml:space="preserve">разчетите </w:t>
      </w:r>
      <w:r w:rsidRPr="00272952">
        <w:t xml:space="preserve">или с </w:t>
      </w:r>
      <w:r w:rsidRPr="00153C68">
        <w:rPr>
          <w:lang w:val="ru-RU"/>
        </w:rPr>
        <w:t>4</w:t>
      </w:r>
      <w:r w:rsidRPr="00272952">
        <w:t>,</w:t>
      </w:r>
      <w:r w:rsidRPr="00153C68">
        <w:rPr>
          <w:lang w:val="ru-RU"/>
        </w:rPr>
        <w:t>0</w:t>
      </w:r>
      <w:r w:rsidRPr="00272952">
        <w:t xml:space="preserve"> млн. лв. по-малко спрямо първото шестмесечие на предходната година, като намалението се дължи на спад в постъпленията от продажба на нефинансови активи. </w:t>
      </w:r>
      <w:r w:rsidRPr="00475288">
        <w:t xml:space="preserve"> От имуществени данъци в общинските бюджети към 30.06.2024 г. са постъпили 914,7 млн. лв. или</w:t>
      </w:r>
      <w:r w:rsidRPr="00475288">
        <w:rPr>
          <w:lang w:val="ru-RU"/>
        </w:rPr>
        <w:t xml:space="preserve"> 58,1 % </w:t>
      </w:r>
      <w:r w:rsidRPr="00475288">
        <w:t xml:space="preserve">от </w:t>
      </w:r>
      <w:r w:rsidRPr="00091358">
        <w:t>годишния разчет и с 88,6 млн. лв.</w:t>
      </w:r>
      <w:r w:rsidRPr="00091358">
        <w:rPr>
          <w:lang w:val="ru-RU"/>
        </w:rPr>
        <w:t xml:space="preserve"> (10,7 %)</w:t>
      </w:r>
      <w:r w:rsidRPr="00091358">
        <w:t xml:space="preserve"> повече спрямо същия период от миналата година. С най-значителен дял в приходите от имуществени данъци е данъкът върху недвижимите имоти</w:t>
      </w:r>
      <w:r w:rsidRPr="00153C68">
        <w:rPr>
          <w:lang w:val="ru-RU"/>
        </w:rPr>
        <w:t xml:space="preserve"> – 34,8 %</w:t>
      </w:r>
      <w:r w:rsidRPr="00091358">
        <w:t>, следват  данъкът върху превозните средства – 32,3</w:t>
      </w:r>
      <w:r w:rsidRPr="00091358">
        <w:rPr>
          <w:lang w:val="ru-RU"/>
        </w:rPr>
        <w:t xml:space="preserve"> </w:t>
      </w:r>
      <w:r w:rsidRPr="00091358">
        <w:t>%</w:t>
      </w:r>
      <w:r w:rsidRPr="00091358">
        <w:rPr>
          <w:lang w:val="ru-RU"/>
        </w:rPr>
        <w:t>,</w:t>
      </w:r>
      <w:r w:rsidRPr="00091358">
        <w:t xml:space="preserve"> данъкът върху придобиването на имущество по дарения и възмезден начин – 31,9</w:t>
      </w:r>
      <w:r w:rsidRPr="00091358">
        <w:rPr>
          <w:lang w:val="ru-RU"/>
        </w:rPr>
        <w:t xml:space="preserve"> </w:t>
      </w:r>
      <w:r w:rsidRPr="00091358">
        <w:t>% и туристическият данък – 0,9</w:t>
      </w:r>
      <w:r w:rsidRPr="00091358">
        <w:rPr>
          <w:lang w:val="ru-RU"/>
        </w:rPr>
        <w:t xml:space="preserve"> </w:t>
      </w:r>
      <w:r w:rsidRPr="00091358">
        <w:t>%. Към 30.06.2024 г. по бюджетите на общините са постъпили 7,9 млн. лв. от патентен данък и данък върху таксиметров превоз на пътници.</w:t>
      </w:r>
    </w:p>
    <w:p w14:paraId="0D60CAA1" w14:textId="77777777" w:rsidR="00C64EA1" w:rsidRPr="00793C4E" w:rsidRDefault="00C64EA1" w:rsidP="00C64EA1">
      <w:pPr>
        <w:tabs>
          <w:tab w:val="center" w:pos="4153"/>
          <w:tab w:val="right" w:pos="8306"/>
        </w:tabs>
        <w:ind w:firstLine="567"/>
        <w:jc w:val="both"/>
        <w:rPr>
          <w:color w:val="0070C0"/>
          <w:lang w:eastAsia="bg-BG"/>
        </w:rPr>
      </w:pPr>
      <w:r w:rsidRPr="00091358">
        <w:t>Общият размер на </w:t>
      </w:r>
      <w:r w:rsidRPr="00091358">
        <w:rPr>
          <w:i/>
        </w:rPr>
        <w:t>неданъчните приходи</w:t>
      </w:r>
      <w:r w:rsidRPr="00091358">
        <w:t xml:space="preserve"> по местните бюджети към 30 юни 2024 г. е </w:t>
      </w:r>
      <w:r w:rsidRPr="00153C68">
        <w:rPr>
          <w:lang w:val="ru-RU"/>
        </w:rPr>
        <w:t>1</w:t>
      </w:r>
      <w:r w:rsidRPr="00091358">
        <w:rPr>
          <w:lang w:val="en-US"/>
        </w:rPr>
        <w:t> </w:t>
      </w:r>
      <w:r w:rsidRPr="00091358">
        <w:rPr>
          <w:lang w:val="ru-RU"/>
        </w:rPr>
        <w:t>023,5 </w:t>
      </w:r>
      <w:r w:rsidRPr="00091358">
        <w:t>млн. лв. Най-голям относителен дял в тях заемат приходите от общински такси (712,8 млн. лв.) или 69,6</w:t>
      </w:r>
      <w:r w:rsidRPr="00091358">
        <w:rPr>
          <w:lang w:val="ru-RU"/>
        </w:rPr>
        <w:t xml:space="preserve"> </w:t>
      </w:r>
      <w:r w:rsidRPr="00091358">
        <w:t>%, следват приходите и доходите от собственост (</w:t>
      </w:r>
      <w:r w:rsidRPr="00153C68">
        <w:rPr>
          <w:lang w:val="ru-RU"/>
        </w:rPr>
        <w:t>1</w:t>
      </w:r>
      <w:r w:rsidRPr="00091358">
        <w:t>86,6 млн. лв.) – 18,2</w:t>
      </w:r>
      <w:r w:rsidRPr="00091358">
        <w:rPr>
          <w:lang w:val="en-US"/>
        </w:rPr>
        <w:t> </w:t>
      </w:r>
      <w:r w:rsidRPr="00091358">
        <w:t xml:space="preserve">%, </w:t>
      </w:r>
      <w:r w:rsidRPr="001D73E4">
        <w:t>постъпленията от продажба на нефинансови активи (64,4 млн. лв.)</w:t>
      </w:r>
      <w:r w:rsidRPr="00153C68">
        <w:rPr>
          <w:lang w:val="ru-RU"/>
        </w:rPr>
        <w:t xml:space="preserve"> - </w:t>
      </w:r>
      <w:r w:rsidRPr="001D73E4">
        <w:t>6,3 %, постъпленията от глоби, санкции и наказателни лихви (45,7</w:t>
      </w:r>
      <w:r w:rsidRPr="001D73E4">
        <w:rPr>
          <w:lang w:val="en-US"/>
        </w:rPr>
        <w:t> </w:t>
      </w:r>
      <w:r w:rsidRPr="001D73E4">
        <w:t>млн. лв.) – 4,5</w:t>
      </w:r>
      <w:r w:rsidRPr="001D73E4">
        <w:rPr>
          <w:lang w:val="ru-RU"/>
        </w:rPr>
        <w:t xml:space="preserve"> </w:t>
      </w:r>
      <w:r w:rsidRPr="001D73E4">
        <w:t xml:space="preserve">% и </w:t>
      </w:r>
      <w:r w:rsidRPr="00091358">
        <w:t>приходите от концесии</w:t>
      </w:r>
      <w:r>
        <w:t xml:space="preserve"> – 3,1 </w:t>
      </w:r>
      <w:r w:rsidRPr="008D1B89">
        <w:t xml:space="preserve">%. Съпоставени с първите шест месеца  на 2023 г. постъпленията от неданъчни приходи са </w:t>
      </w:r>
      <w:r w:rsidRPr="00272952">
        <w:t>с 1,8 млн. лв. по-малко, което се дължи на спад в постъпленията от продажба на нефинансови активи, които са с еднократен характер.</w:t>
      </w:r>
      <w:r w:rsidRPr="00153C68">
        <w:rPr>
          <w:lang w:val="ru-RU"/>
        </w:rPr>
        <w:t xml:space="preserve"> </w:t>
      </w:r>
      <w:r w:rsidRPr="00793C4E">
        <w:rPr>
          <w:color w:val="0070C0"/>
        </w:rPr>
        <w:tab/>
      </w:r>
      <w:r w:rsidRPr="00FB6D2F">
        <w:t>Към 30.06.2024 г. по общинските бюджети са постъпили 12,8 млн. лв. приходи от помощи и дарения, които са с 1</w:t>
      </w:r>
      <w:r w:rsidRPr="00153C68">
        <w:rPr>
          <w:lang w:val="ru-RU"/>
        </w:rPr>
        <w:t>4</w:t>
      </w:r>
      <w:r w:rsidRPr="00FB6D2F">
        <w:t>,5 %  по-малко от размера им през същия период на миналата година.</w:t>
      </w:r>
      <w:r w:rsidRPr="00FB6D2F">
        <w:rPr>
          <w:lang w:eastAsia="bg-BG"/>
        </w:rPr>
        <w:t xml:space="preserve"> </w:t>
      </w:r>
    </w:p>
    <w:p w14:paraId="554A3A89" w14:textId="77777777" w:rsidR="00C64EA1" w:rsidRPr="003328CC" w:rsidRDefault="00C64EA1" w:rsidP="00FB0C77">
      <w:pPr>
        <w:numPr>
          <w:ilvl w:val="0"/>
          <w:numId w:val="27"/>
        </w:numPr>
        <w:tabs>
          <w:tab w:val="left" w:pos="851"/>
        </w:tabs>
        <w:spacing w:before="120" w:line="276" w:lineRule="auto"/>
        <w:ind w:left="533" w:firstLine="34"/>
        <w:jc w:val="both"/>
        <w:rPr>
          <w:b/>
        </w:rPr>
      </w:pPr>
      <w:r w:rsidRPr="003328CC">
        <w:rPr>
          <w:b/>
        </w:rPr>
        <w:t>Разходи</w:t>
      </w:r>
    </w:p>
    <w:p w14:paraId="1BB46E84" w14:textId="77777777" w:rsidR="00C64EA1" w:rsidRPr="00EE1924" w:rsidRDefault="00C64EA1" w:rsidP="00C64EA1">
      <w:pPr>
        <w:ind w:firstLine="533"/>
        <w:jc w:val="both"/>
      </w:pPr>
      <w:r w:rsidRPr="000826B2">
        <w:t xml:space="preserve">Към 30.06.2024 г. общините са отчели общо </w:t>
      </w:r>
      <w:r w:rsidRPr="003328CC">
        <w:rPr>
          <w:b/>
        </w:rPr>
        <w:t>разходи</w:t>
      </w:r>
      <w:r w:rsidRPr="000826B2">
        <w:t xml:space="preserve"> в размер на 6 263,6 млн. лв., включително за сметка на предоставени допълнителни трансфери главно от държавния бюджет, и представляват 62,4 % от разчетите по ЗДБРБ за 2024 г. и</w:t>
      </w:r>
      <w:r w:rsidRPr="000826B2">
        <w:rPr>
          <w:lang w:val="ru-RU"/>
        </w:rPr>
        <w:t xml:space="preserve"> </w:t>
      </w:r>
      <w:r>
        <w:t>с 22</w:t>
      </w:r>
      <w:r w:rsidRPr="000826B2">
        <w:rPr>
          <w:lang w:val="ru-RU"/>
        </w:rPr>
        <w:t>,3 % (</w:t>
      </w:r>
      <w:r w:rsidRPr="00153C68">
        <w:rPr>
          <w:lang w:val="ru-RU"/>
        </w:rPr>
        <w:t xml:space="preserve">1 </w:t>
      </w:r>
      <w:r w:rsidRPr="000826B2">
        <w:rPr>
          <w:lang w:val="ru-RU"/>
        </w:rPr>
        <w:t xml:space="preserve">141,8 </w:t>
      </w:r>
      <w:r w:rsidRPr="000826B2">
        <w:t>млн. лв.</w:t>
      </w:r>
      <w:r w:rsidRPr="000826B2">
        <w:rPr>
          <w:lang w:val="ru-RU"/>
        </w:rPr>
        <w:t>)</w:t>
      </w:r>
      <w:r w:rsidRPr="000826B2">
        <w:t xml:space="preserve"> повече от </w:t>
      </w:r>
      <w:r w:rsidRPr="00385CA6">
        <w:t>същия период на миналата година</w:t>
      </w:r>
      <w:r w:rsidRPr="00385CA6">
        <w:rPr>
          <w:lang w:val="ru-RU"/>
        </w:rPr>
        <w:t xml:space="preserve">. </w:t>
      </w:r>
      <w:r w:rsidRPr="00385CA6">
        <w:rPr>
          <w:i/>
        </w:rPr>
        <w:t>Нелихвените разходи</w:t>
      </w:r>
      <w:r w:rsidRPr="00385CA6">
        <w:t xml:space="preserve"> възлизат на </w:t>
      </w:r>
      <w:r w:rsidRPr="00385CA6">
        <w:rPr>
          <w:lang w:eastAsia="bg-BG"/>
        </w:rPr>
        <w:t>6 235,1</w:t>
      </w:r>
      <w:r w:rsidRPr="00385CA6">
        <w:rPr>
          <w:lang w:val="ru-RU" w:eastAsia="bg-BG"/>
        </w:rPr>
        <w:t xml:space="preserve"> </w:t>
      </w:r>
      <w:r w:rsidRPr="00385CA6">
        <w:t>млн. лв.</w:t>
      </w:r>
      <w:r w:rsidRPr="00385CA6">
        <w:rPr>
          <w:lang w:val="ru-RU"/>
        </w:rPr>
        <w:t xml:space="preserve"> С най-голям относителен дял са</w:t>
      </w:r>
      <w:r w:rsidRPr="00385CA6">
        <w:t xml:space="preserve"> разходите за персонал (</w:t>
      </w:r>
      <w:r w:rsidRPr="00385CA6">
        <w:rPr>
          <w:bCs/>
        </w:rPr>
        <w:t>заплати и възнаграждения, други възнаграждения и плащания за персонала и осигурителни вноски), които</w:t>
      </w:r>
      <w:r w:rsidRPr="00385CA6">
        <w:t xml:space="preserve"> са в размер на </w:t>
      </w:r>
      <w:r w:rsidRPr="00385CA6">
        <w:rPr>
          <w:lang w:val="ru-RU"/>
        </w:rPr>
        <w:t>3</w:t>
      </w:r>
      <w:r w:rsidRPr="00385CA6">
        <w:t> </w:t>
      </w:r>
      <w:r w:rsidRPr="00385CA6">
        <w:rPr>
          <w:lang w:val="ru-RU"/>
        </w:rPr>
        <w:t>644</w:t>
      </w:r>
      <w:r w:rsidRPr="00385CA6">
        <w:t xml:space="preserve">,5 млн. лв. – 58,2 %, следвани от  разходите за издръжка </w:t>
      </w:r>
      <w:r w:rsidRPr="00385CA6">
        <w:rPr>
          <w:bCs/>
        </w:rPr>
        <w:t>(вкл. разходи за членски внос и участие в нетърговски организации и дейности, платени данъци, такси и административни санкции), които</w:t>
      </w:r>
      <w:r w:rsidRPr="00385CA6">
        <w:t xml:space="preserve"> са в размер на</w:t>
      </w:r>
      <w:r w:rsidRPr="00385CA6">
        <w:rPr>
          <w:lang w:val="ru-RU"/>
        </w:rPr>
        <w:t xml:space="preserve"> 1 372</w:t>
      </w:r>
      <w:r w:rsidRPr="00385CA6">
        <w:t>,9 млн. лв. – 21,9</w:t>
      </w:r>
      <w:r w:rsidRPr="00385CA6">
        <w:rPr>
          <w:lang w:val="en-US"/>
        </w:rPr>
        <w:t> </w:t>
      </w:r>
      <w:r w:rsidRPr="00EE1924">
        <w:t xml:space="preserve">%. Разходите за субсидии възлизат на 317,3 млн. лв. </w:t>
      </w:r>
      <w:r w:rsidRPr="00EE1924">
        <w:rPr>
          <w:lang w:eastAsia="bg-BG"/>
        </w:rPr>
        <w:t>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Pr="00EE1924">
        <w:rPr>
          <w:lang w:val="ru-RU" w:eastAsia="bg-BG"/>
        </w:rPr>
        <w:t xml:space="preserve"> (</w:t>
      </w:r>
      <w:r w:rsidRPr="00EE1924">
        <w:rPr>
          <w:lang w:eastAsia="bg-BG"/>
        </w:rPr>
        <w:t>отчитат се в местните дейности</w:t>
      </w:r>
      <w:r w:rsidRPr="00EE1924">
        <w:rPr>
          <w:lang w:val="ru-RU" w:eastAsia="bg-BG"/>
        </w:rPr>
        <w:t>)</w:t>
      </w:r>
      <w:r w:rsidRPr="00EE1924">
        <w:rPr>
          <w:lang w:eastAsia="bg-BG"/>
        </w:rPr>
        <w:t>.</w:t>
      </w:r>
      <w:r w:rsidRPr="00EE1924">
        <w:t xml:space="preserve"> </w:t>
      </w:r>
      <w:r w:rsidRPr="00EE1924">
        <w:rPr>
          <w:bCs/>
        </w:rPr>
        <w:t>Социалните разходи (</w:t>
      </w:r>
      <w:r w:rsidRPr="00EE1924">
        <w:t xml:space="preserve">текущи трансфери, обезщетения и помощи за домакинствата, </w:t>
      </w:r>
      <w:r w:rsidRPr="00EE1924">
        <w:rPr>
          <w:bCs/>
        </w:rPr>
        <w:t>вкл. разходите за стипендии)</w:t>
      </w:r>
      <w:r w:rsidRPr="00EE1924">
        <w:t xml:space="preserve"> са в размер на </w:t>
      </w:r>
      <w:r w:rsidRPr="00EE1924">
        <w:rPr>
          <w:lang w:val="ru-RU"/>
        </w:rPr>
        <w:t>145</w:t>
      </w:r>
      <w:r w:rsidRPr="00EE1924">
        <w:t>,8 млн. лева.</w:t>
      </w:r>
    </w:p>
    <w:p w14:paraId="74008223" w14:textId="77777777" w:rsidR="00C64EA1" w:rsidRPr="00EE1924" w:rsidRDefault="00C64EA1" w:rsidP="00C64EA1">
      <w:pPr>
        <w:widowControl w:val="0"/>
        <w:tabs>
          <w:tab w:val="center" w:pos="4153"/>
          <w:tab w:val="right" w:pos="8306"/>
        </w:tabs>
        <w:ind w:firstLine="567"/>
        <w:jc w:val="both"/>
      </w:pPr>
      <w:r w:rsidRPr="00EE1924">
        <w:t>Капиталовите разходи са в размер на 753,3 млн. лв. и в сравнение със същия период на 2023</w:t>
      </w:r>
      <w:r w:rsidR="003836A5">
        <w:t> </w:t>
      </w:r>
      <w:r w:rsidRPr="00EE1924">
        <w:t>г. са се увеличили със 155,1 млн. лв. В общия размер на капиталовите разходи най-съществен дял (54,2%) заемат разходите за основен ремонт (408,6 млн. лв.) и за придобиване на ДМА (42,8% дял, 322,1 млн. лева).</w:t>
      </w:r>
    </w:p>
    <w:p w14:paraId="528D5DCB" w14:textId="77777777" w:rsidR="00C64EA1" w:rsidRPr="00272952" w:rsidRDefault="00C64EA1" w:rsidP="00C64EA1">
      <w:pPr>
        <w:tabs>
          <w:tab w:val="center" w:pos="4153"/>
          <w:tab w:val="right" w:pos="8306"/>
        </w:tabs>
        <w:jc w:val="both"/>
      </w:pPr>
      <w:r w:rsidRPr="00EE1924">
        <w:rPr>
          <w:i/>
        </w:rPr>
        <w:t xml:space="preserve">Разходите за лихви към </w:t>
      </w:r>
      <w:r w:rsidRPr="00EE1924">
        <w:t xml:space="preserve">30.06.2024 г. възлизат на </w:t>
      </w:r>
      <w:r w:rsidRPr="00272952">
        <w:t>28,4 млн. лв. Към същия период на 2023</w:t>
      </w:r>
      <w:r>
        <w:t> </w:t>
      </w:r>
      <w:r w:rsidRPr="00272952">
        <w:t>г. те са били 21,2 млн. лв. или с 7,2 млн. лв. по-малко. Лихвените плащания по заеми от чужбина към второто тримесечие на тази година са в размер на 9,0 млн. лв. (с 0,5 млн. лв. повече в сравнение със същия период на миналата година). По облигационни заеми платените лихви от общините са 1,0 млн. лв. По заеми към местни лица от страната (заеми от банки, заеми от „ФЛАГ“ ЕАД и др. местни лица) отчетените разходи за лихви са 15,1 млн. лв., като при тях е  отчетено най-голямото увеличение спрямо 2023 г. (към 30.06.2023 г. те са били 9,5 млн. лв. или с 5,6 млн. лв. по-малко). Отчетените други лихвени плащания (лихви по финансов лизинг, търговски кредити, лихви по просрочени безлихвени заеми и др. разход</w:t>
      </w:r>
      <w:r>
        <w:t>и за лихви) са в размер на</w:t>
      </w:r>
      <w:r w:rsidRPr="00272952">
        <w:t xml:space="preserve"> 3,3 млн. лв. и са с 1,0 млн. лв. повече спрямо същия период на миналата година, като увеличението е най-вече при платените законни лихви по </w:t>
      </w:r>
      <w:r>
        <w:t>н</w:t>
      </w:r>
      <w:r w:rsidRPr="00272952">
        <w:t xml:space="preserve">евъзстановени в срок безлихвени заеми, предоставени на общините от централния бюджет за покриване на временен недостиг на средства. </w:t>
      </w:r>
    </w:p>
    <w:p w14:paraId="14540FF0" w14:textId="77777777" w:rsidR="00C64EA1" w:rsidRPr="00793C4E" w:rsidRDefault="00C64EA1" w:rsidP="00C64EA1">
      <w:pPr>
        <w:widowControl w:val="0"/>
        <w:tabs>
          <w:tab w:val="center" w:pos="4153"/>
          <w:tab w:val="right" w:pos="8306"/>
        </w:tabs>
        <w:ind w:firstLine="567"/>
        <w:jc w:val="both"/>
        <w:rPr>
          <w:rFonts w:eastAsia="Calibri"/>
          <w:color w:val="0070C0"/>
          <w:sz w:val="8"/>
        </w:rPr>
      </w:pPr>
      <w:r w:rsidRPr="00793C4E">
        <w:rPr>
          <w:color w:val="0070C0"/>
          <w:lang w:eastAsia="bg-BG"/>
        </w:rPr>
        <w:tab/>
      </w:r>
    </w:p>
    <w:p w14:paraId="77F41FD5" w14:textId="77777777" w:rsidR="00C64EA1" w:rsidRPr="00EE1924" w:rsidRDefault="00C64EA1" w:rsidP="00FB0C77">
      <w:pPr>
        <w:numPr>
          <w:ilvl w:val="0"/>
          <w:numId w:val="27"/>
        </w:numPr>
        <w:tabs>
          <w:tab w:val="left" w:pos="851"/>
        </w:tabs>
        <w:spacing w:before="120" w:line="276" w:lineRule="auto"/>
        <w:ind w:left="533" w:firstLine="34"/>
        <w:jc w:val="both"/>
        <w:rPr>
          <w:b/>
        </w:rPr>
      </w:pPr>
      <w:r w:rsidRPr="00EE1924">
        <w:rPr>
          <w:b/>
        </w:rPr>
        <w:t>Финансиране</w:t>
      </w:r>
    </w:p>
    <w:p w14:paraId="6B7630AD" w14:textId="77777777" w:rsidR="00C64EA1" w:rsidRPr="00EE1924" w:rsidRDefault="00C64EA1" w:rsidP="00C64EA1">
      <w:pPr>
        <w:ind w:firstLine="567"/>
        <w:jc w:val="both"/>
      </w:pPr>
      <w:r w:rsidRPr="00EE1924">
        <w:t>През второто тримесечие на 2024 г. по общинските бюджети са получени заемни средства, в размер на 82,1 млн. лв., които са по договори с чуждестранни кредитори. Средствата са отчетени от Столична община и са за финансиране на проекти за изграждане и реконструкция на основни пътни артерии в град София и за осигуряване на транспортна свързаност и достъпна среда.</w:t>
      </w:r>
    </w:p>
    <w:p w14:paraId="30365841" w14:textId="77777777" w:rsidR="00C64EA1" w:rsidRPr="00EE1924" w:rsidRDefault="00C64EA1" w:rsidP="00C64EA1">
      <w:pPr>
        <w:ind w:firstLine="567"/>
        <w:jc w:val="both"/>
      </w:pPr>
      <w:r w:rsidRPr="00EE1924">
        <w:t>Изплатените главници от общинските бюджети по външните заеми от началото на годината до 30.06.2024 г. са в размер на 23,0 млн. лв. (от Столична община са 17,4 млн. лв., от Бургас – 2,0 млн. лв.; от Варна – 1,9 млн. лв.; Пловдив –</w:t>
      </w:r>
      <w:r w:rsidR="00FB1DC9">
        <w:t xml:space="preserve"> </w:t>
      </w:r>
      <w:r w:rsidRPr="00EE1924">
        <w:t xml:space="preserve">1,5 млн. лв., а от община Ловеч са 0,2 млн. лв.). </w:t>
      </w:r>
    </w:p>
    <w:p w14:paraId="2FE495BF" w14:textId="77777777" w:rsidR="00C64EA1" w:rsidRPr="00EE1924" w:rsidRDefault="00C64EA1" w:rsidP="00C64EA1">
      <w:pPr>
        <w:ind w:firstLine="567"/>
        <w:jc w:val="both"/>
      </w:pPr>
      <w:r w:rsidRPr="00EE1924">
        <w:t xml:space="preserve">За периода получените заемни средства от банки в страната са в размер на 32,6 млн. лв., а от други местни лица са 26,7 млн. лв. („ФЛАГ“ ЕАД) или общо получените заемни средства са 59,3 млн. лв. Отчетените изплатени главници по банкови заеми от страната са 53,4 млн. лв., а по заеми от др. лица са 88,1 млн. лв., в т.ч. 83,6 млн. лв. към „ФЛАГ“ ЕАД, 0,2 млн. лв. по заеми към Фонд „Енергийна ефективност и възобновяеми източници“, а останалите 4,3 млн. лв. към други кредитори по договори за заеми по финансов инструмент, управляван от „Фонд Мениджър на финансови инструменти в България“ ЕАД. Погашенията за периода по заемите от страната е по-голям от получените средства, поради което нетният размер на операциите по тези заеми е отрицателен (-82,2) млн. лв. За същия период на 2023 г. получените заемни средства от банки в страната и др. местни лица са били повече от погашенията т.е. имало е положителен нетен размер по тези заеми (88,4 млн. лв.). </w:t>
      </w:r>
    </w:p>
    <w:p w14:paraId="6F519BF2" w14:textId="77777777" w:rsidR="00C64EA1" w:rsidRPr="00EE1924" w:rsidRDefault="00C64EA1" w:rsidP="00C64EA1">
      <w:pPr>
        <w:ind w:firstLine="567"/>
        <w:jc w:val="both"/>
      </w:pPr>
      <w:r w:rsidRPr="00EE1924">
        <w:t xml:space="preserve">Погашенията по емитирани през предходни периоди общински ценни книжа са в размер на 3,2 млн. лв. и са отчетени от 6 общини. За отчетния период няма емитиран нов дълг. </w:t>
      </w:r>
    </w:p>
    <w:p w14:paraId="28D891C5" w14:textId="77777777" w:rsidR="00C64EA1" w:rsidRPr="00EE1924" w:rsidRDefault="00C64EA1" w:rsidP="00C64EA1">
      <w:pPr>
        <w:ind w:firstLine="567"/>
        <w:jc w:val="both"/>
      </w:pPr>
      <w:r w:rsidRPr="00EE1924">
        <w:t xml:space="preserve">Другото финансиране /нето/ по общинските бюджети към 30.06.2024 г. е 98,6 млн. лв., като съществена част от него представляват отчетените операции по Закона за управление на отпадъците. Нетният размер за периода на задълженията и погашенията по финансов лизинг и търговски кредити, като форми на дълг, е в размер на (-0,5) млн. лв. </w:t>
      </w:r>
    </w:p>
    <w:p w14:paraId="175CF9FA" w14:textId="77777777" w:rsidR="00C64EA1" w:rsidRPr="00EE1924" w:rsidRDefault="00C64EA1" w:rsidP="00C64EA1">
      <w:pPr>
        <w:ind w:firstLine="567"/>
        <w:jc w:val="both"/>
      </w:pPr>
      <w:r w:rsidRPr="00EE1924">
        <w:t>Нетният размер на събраните средства и извършени плащания от общините за сметка на други бюджети, сметки и фондове е в размер на (-20,3) млн. лв.</w:t>
      </w:r>
    </w:p>
    <w:p w14:paraId="64EEA344" w14:textId="77777777" w:rsidR="00C64EA1" w:rsidRPr="00EE1924" w:rsidRDefault="00C64EA1" w:rsidP="00C64EA1">
      <w:pPr>
        <w:ind w:firstLine="567"/>
        <w:jc w:val="both"/>
      </w:pPr>
      <w:r w:rsidRPr="00EE1924">
        <w:t xml:space="preserve">Към 30.06.2024 г. отчетеният от общините нетен размер на операциите по придобиване на дялове, акции и съучастия е в размер на (-1,6) млн. лв. </w:t>
      </w:r>
    </w:p>
    <w:p w14:paraId="31FA516E" w14:textId="77777777" w:rsidR="00C64EA1" w:rsidRPr="00EE1924" w:rsidRDefault="00C64EA1" w:rsidP="00C64EA1">
      <w:pPr>
        <w:ind w:firstLine="567"/>
        <w:jc w:val="both"/>
      </w:pPr>
      <w:r w:rsidRPr="00EE1924">
        <w:t>Средства по общинските бюджети от приватизация на дялове, акции и участия за периода не са отчетени.</w:t>
      </w:r>
    </w:p>
    <w:p w14:paraId="6B12A7C0" w14:textId="77777777" w:rsidR="00C64EA1" w:rsidRPr="00EE1924" w:rsidRDefault="00C64EA1" w:rsidP="00C64EA1">
      <w:pPr>
        <w:ind w:firstLine="567"/>
        <w:jc w:val="both"/>
      </w:pPr>
      <w:r w:rsidRPr="00EE1924">
        <w:t xml:space="preserve">Отчетеният нетен размер по общинските бюджети на възмездната финансова помощ е (-0,2) млн. лв., а на предоставените кредити (-0,7 млн. лв.). </w:t>
      </w:r>
    </w:p>
    <w:p w14:paraId="45BA52D5" w14:textId="77777777" w:rsidR="00C64EA1" w:rsidRPr="00EE1924" w:rsidRDefault="00C64EA1" w:rsidP="00C64EA1">
      <w:pPr>
        <w:ind w:firstLine="567"/>
        <w:jc w:val="both"/>
      </w:pPr>
      <w:r w:rsidRPr="00EE1924">
        <w:t xml:space="preserve">Общините отчитат 2 131,5 млн. лв. бюджетен преходен остатък, а наличността към края на второто тримесечие на 2024 г. (по банкови сметки и каса) нараства и е в размер на 3 168,4 млн. лв. (с 479,2 млн. лв. повече от същия период на миналата година). Преводите в процес на сетълмент са (– 2,4) млн. лв. при (– 13,0) млн. лв. към същия период на миналата година. </w:t>
      </w:r>
    </w:p>
    <w:p w14:paraId="18088661" w14:textId="77777777" w:rsidR="00C64EA1" w:rsidRPr="00EE1924" w:rsidRDefault="00C64EA1" w:rsidP="00C64EA1">
      <w:pPr>
        <w:ind w:firstLine="567"/>
        <w:jc w:val="both"/>
      </w:pPr>
      <w:r w:rsidRPr="00EE1924">
        <w:t xml:space="preserve">Отчетеният остатък в делегираните от държавата дейности е 1 506,5 млн. лв. (47,5% от общата наличност), а 1 661,9 млн. лв. (52,5%) е в местни дейности. </w:t>
      </w:r>
    </w:p>
    <w:p w14:paraId="1A17F847" w14:textId="77777777" w:rsidR="00C64EA1" w:rsidRPr="00EE1924" w:rsidRDefault="00C64EA1" w:rsidP="00C64EA1">
      <w:pPr>
        <w:ind w:firstLine="567"/>
        <w:jc w:val="both"/>
      </w:pPr>
      <w:r w:rsidRPr="00EE1924">
        <w:t>В държавните дейности наличността е формирана най-вече от получени от общините през тази година, но неизразходвани субсидии (1 138,9 млн. лв.), както и от неизразходвани субсидии от минали години (</w:t>
      </w:r>
      <w:r w:rsidR="00F167B3" w:rsidRPr="00057C33">
        <w:t xml:space="preserve">241, 8 </w:t>
      </w:r>
      <w:r w:rsidRPr="00EE1924">
        <w:t>млн. лв.).</w:t>
      </w:r>
    </w:p>
    <w:p w14:paraId="249C88BF" w14:textId="77777777" w:rsidR="00C64EA1" w:rsidRDefault="00C64EA1" w:rsidP="00C64EA1">
      <w:pPr>
        <w:ind w:firstLine="567"/>
        <w:jc w:val="both"/>
      </w:pPr>
      <w:r w:rsidRPr="00EE1924">
        <w:t>Най-голяма част от наличността в местните дейности (730,1 млн. лв.) е формирана от неизразходвани от общините средства, получени от тях през тази година под формата на приходи и дарения. Друга голяма наличност, в размер на 673,2 млн. лв., е от средства, получени от общините през предходни години (преходен остатък) най-вече от субсидии</w:t>
      </w:r>
      <w:r>
        <w:t>.</w:t>
      </w:r>
    </w:p>
    <w:p w14:paraId="2436CFC5" w14:textId="77777777" w:rsidR="002C4D33" w:rsidRPr="00793C4E" w:rsidRDefault="002C4D33" w:rsidP="00FD362E">
      <w:pPr>
        <w:pStyle w:val="BodyText"/>
        <w:spacing w:after="120"/>
        <w:ind w:firstLine="567"/>
        <w:rPr>
          <w:color w:val="0070C0"/>
          <w:sz w:val="18"/>
          <w:szCs w:val="12"/>
        </w:rPr>
      </w:pPr>
    </w:p>
    <w:p w14:paraId="65CD7DE0" w14:textId="7E5583FC" w:rsidR="00913197" w:rsidRDefault="00913197" w:rsidP="00ED2B9A">
      <w:pPr>
        <w:pStyle w:val="Heading1"/>
        <w:numPr>
          <w:ilvl w:val="1"/>
          <w:numId w:val="9"/>
        </w:numPr>
        <w:spacing w:before="120"/>
        <w:ind w:left="788" w:right="-108" w:hanging="431"/>
        <w:jc w:val="both"/>
        <w:rPr>
          <w:sz w:val="24"/>
        </w:rPr>
      </w:pPr>
      <w:bookmarkStart w:id="37" w:name="_Toc109906108"/>
      <w:r w:rsidRPr="006D4AA4">
        <w:rPr>
          <w:sz w:val="24"/>
        </w:rPr>
        <w:t>Бюджети на Българската национална телевизия, Българското национално радио и Българската телеграфна агенция</w:t>
      </w:r>
      <w:bookmarkEnd w:id="37"/>
      <w:r w:rsidRPr="006D4AA4">
        <w:rPr>
          <w:sz w:val="24"/>
        </w:rPr>
        <w:t xml:space="preserve"> </w:t>
      </w:r>
    </w:p>
    <w:p w14:paraId="42A90F13" w14:textId="056BE125" w:rsidR="00595104" w:rsidRPr="00595104" w:rsidRDefault="00595104" w:rsidP="00595104">
      <w:pPr>
        <w:numPr>
          <w:ilvl w:val="1"/>
          <w:numId w:val="6"/>
        </w:numPr>
        <w:spacing w:before="120" w:line="276" w:lineRule="auto"/>
        <w:ind w:left="992" w:hanging="357"/>
        <w:jc w:val="both"/>
        <w:rPr>
          <w:b/>
        </w:rPr>
      </w:pPr>
      <w:r w:rsidRPr="00595104">
        <w:rPr>
          <w:b/>
        </w:rPr>
        <w:t>Българска национална телевизия</w:t>
      </w:r>
    </w:p>
    <w:p w14:paraId="1762D4E4" w14:textId="77777777" w:rsidR="006D4AA4" w:rsidRPr="00793C4E" w:rsidRDefault="006D4AA4" w:rsidP="00914496">
      <w:pPr>
        <w:ind w:firstLine="567"/>
        <w:jc w:val="both"/>
        <w:rPr>
          <w:color w:val="0070C0"/>
        </w:rPr>
      </w:pPr>
      <w:r w:rsidRPr="00A84C41">
        <w:rPr>
          <w:b/>
        </w:rPr>
        <w:t xml:space="preserve">Приходите на Българската национална телевизия (БНТ) </w:t>
      </w:r>
      <w:r w:rsidRPr="00A84C41">
        <w:t xml:space="preserve">към 30.06.2024 г. са в размер на </w:t>
      </w:r>
      <w:r w:rsidRPr="00A84C41">
        <w:rPr>
          <w:lang w:val="ru-RU"/>
        </w:rPr>
        <w:t>4</w:t>
      </w:r>
      <w:r w:rsidRPr="00A84C41">
        <w:t xml:space="preserve">,3 млн. лв., което </w:t>
      </w:r>
      <w:r w:rsidRPr="008820CC">
        <w:t>представлява което представлява 43,4% изпълнение на заложените приходи в разчетите към ЗДБРБ за 2024 г. (10,0 млн. лв.).  В сравнение с първото шестмесечие на 2023 г. приходите са с 2,8 млн. лв. по-малко. Отчетените приходи са постъпления от продажба на услуги, стоки и продукция (реклама, технически услуги, продажба на програми, приходи от почивно дело, приходи от участия в предизборни форми), наеми на имущество и други неданъчни приходи.</w:t>
      </w:r>
    </w:p>
    <w:p w14:paraId="458DF27D" w14:textId="77777777" w:rsidR="006D4AA4" w:rsidRPr="009E6752" w:rsidRDefault="006D4AA4" w:rsidP="005D17D2">
      <w:pPr>
        <w:ind w:firstLine="567"/>
        <w:jc w:val="both"/>
        <w:rPr>
          <w:szCs w:val="20"/>
        </w:rPr>
      </w:pPr>
      <w:r w:rsidRPr="00FD2865">
        <w:rPr>
          <w:b/>
          <w:szCs w:val="20"/>
        </w:rPr>
        <w:t>Отчетените разходи по бюджета на БНТ</w:t>
      </w:r>
      <w:r w:rsidRPr="009E6752">
        <w:rPr>
          <w:szCs w:val="20"/>
        </w:rPr>
        <w:t xml:space="preserve"> са в размер на 45,3 млн. лв., което представлява 46,0</w:t>
      </w:r>
      <w:r w:rsidR="00FF6118">
        <w:rPr>
          <w:szCs w:val="20"/>
        </w:rPr>
        <w:t xml:space="preserve"> </w:t>
      </w:r>
      <w:r w:rsidRPr="009E6752">
        <w:rPr>
          <w:szCs w:val="20"/>
        </w:rPr>
        <w:t>% от предвидените разходи в разчетите към ЗДБРБ за 2024 г. – 98,5 млн. лв.</w:t>
      </w:r>
    </w:p>
    <w:p w14:paraId="719C8012" w14:textId="77777777" w:rsidR="006D4AA4" w:rsidRPr="009E6752" w:rsidRDefault="006D4AA4" w:rsidP="005D17D2">
      <w:pPr>
        <w:ind w:firstLine="567"/>
        <w:jc w:val="both"/>
        <w:rPr>
          <w:szCs w:val="20"/>
        </w:rPr>
      </w:pPr>
      <w:r w:rsidRPr="009E6752">
        <w:rPr>
          <w:szCs w:val="20"/>
        </w:rPr>
        <w:t>Българската национална телевизия съставя, изпълнява, приключва и отчита бюджет, съгласно чл. 70, ал. 1 от Закона за радиото и телевизията (ЗРТ). За периода са отчетени 39,7 млн. лв. текущи разходи и 5,6 млн. лв. капиталови разходи. Общият размер на отчетените текущи разходи включва: 22,9 млн. лв. разходи за персонал и 16,8 млн. лв. разходи за издръжка (вкл. разходи за членски внос, платени данъци, такси и административни санкции). Отчетените разходи за персонал представляват 50,5% от отчетените за периода разходи.</w:t>
      </w:r>
    </w:p>
    <w:p w14:paraId="1BEA2A80" w14:textId="6D201F7F" w:rsidR="006D4AA4" w:rsidRPr="009E6752" w:rsidRDefault="006D4AA4" w:rsidP="005D17D2">
      <w:pPr>
        <w:ind w:firstLine="567"/>
        <w:jc w:val="both"/>
        <w:rPr>
          <w:szCs w:val="20"/>
        </w:rPr>
      </w:pPr>
      <w:r w:rsidRPr="009E6752">
        <w:rPr>
          <w:szCs w:val="20"/>
        </w:rPr>
        <w:t>В разпределението  на разходите по бюджета на обществената медия е в</w:t>
      </w:r>
      <w:r w:rsidR="00AA6B21">
        <w:rPr>
          <w:szCs w:val="20"/>
        </w:rPr>
        <w:t>ключен преходния остатък за 2023</w:t>
      </w:r>
      <w:r w:rsidRPr="009E6752">
        <w:rPr>
          <w:szCs w:val="20"/>
        </w:rPr>
        <w:t xml:space="preserve"> г. (съгл. чл. 70, ал. 6 от ЗРТ) в размер на 1,0 млн. лв. </w:t>
      </w:r>
    </w:p>
    <w:p w14:paraId="016D4300" w14:textId="77777777" w:rsidR="006D4AA4" w:rsidRPr="00793C4E" w:rsidRDefault="006D4AA4" w:rsidP="005D17D2">
      <w:pPr>
        <w:ind w:firstLine="567"/>
        <w:jc w:val="both"/>
        <w:rPr>
          <w:color w:val="0070C0"/>
        </w:rPr>
      </w:pPr>
      <w:r w:rsidRPr="009E6752">
        <w:rPr>
          <w:szCs w:val="20"/>
        </w:rPr>
        <w:t>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w:t>
      </w:r>
      <w:r w:rsidRPr="00793C4E">
        <w:rPr>
          <w:color w:val="0070C0"/>
        </w:rPr>
        <w:t xml:space="preserve"> </w:t>
      </w:r>
    </w:p>
    <w:p w14:paraId="57B009F3" w14:textId="35A3F9B8" w:rsidR="006D4AA4" w:rsidRDefault="006D4AA4" w:rsidP="005D17D2">
      <w:pPr>
        <w:ind w:firstLine="567"/>
        <w:jc w:val="both"/>
        <w:rPr>
          <w:szCs w:val="20"/>
        </w:rPr>
      </w:pPr>
      <w:r w:rsidRPr="00BF414A">
        <w:rPr>
          <w:b/>
        </w:rPr>
        <w:t xml:space="preserve">Бюджетни </w:t>
      </w:r>
      <w:r w:rsidRPr="00FB215F">
        <w:rPr>
          <w:b/>
        </w:rPr>
        <w:t>взаимоотношения на БНТ</w:t>
      </w:r>
      <w:r w:rsidRPr="00BF414A">
        <w:t xml:space="preserve"> с централния бюджет</w:t>
      </w:r>
      <w:r w:rsidRPr="00153C68">
        <w:rPr>
          <w:lang w:val="ru-RU"/>
        </w:rPr>
        <w:t xml:space="preserve"> </w:t>
      </w:r>
      <w:r w:rsidRPr="00BF414A">
        <w:t>по уточнен план възлизат на 89,0 млн. лв</w:t>
      </w:r>
      <w:r w:rsidRPr="00BF414A">
        <w:rPr>
          <w:szCs w:val="20"/>
        </w:rPr>
        <w:t xml:space="preserve">., в т.ч.: 87,0 млн. лв. съгласно чл. 50, т. 2 от ЗДБРБ за 2024 г. и 2,0 млн. лв. одобрен допълнителен трансфер съгласно ПМС № 100 от 2024 г. за </w:t>
      </w:r>
      <w:r w:rsidRPr="009E6752">
        <w:rPr>
          <w:szCs w:val="20"/>
        </w:rPr>
        <w:t>разходи по подготовката и произвеждането на изборите за народни представители и за членове на Европейския парламент от Република България на 9 юни 2024 г. За отчетния период е усвоена сума в размер на 45,4 млн. лв. или 51,1</w:t>
      </w:r>
      <w:r>
        <w:rPr>
          <w:szCs w:val="20"/>
        </w:rPr>
        <w:t xml:space="preserve"> </w:t>
      </w:r>
      <w:r w:rsidRPr="009E6752">
        <w:rPr>
          <w:szCs w:val="20"/>
        </w:rPr>
        <w:t>% от размера на бюджетните взаимоотношения на БНТ с централния бюджет по уточнен план.</w:t>
      </w:r>
    </w:p>
    <w:p w14:paraId="6EAFDE29" w14:textId="6F85FE86" w:rsidR="00595104" w:rsidRPr="00595104" w:rsidRDefault="00595104" w:rsidP="00BD2BCE">
      <w:pPr>
        <w:numPr>
          <w:ilvl w:val="1"/>
          <w:numId w:val="6"/>
        </w:numPr>
        <w:spacing w:before="240" w:line="276" w:lineRule="auto"/>
        <w:ind w:left="992" w:hanging="357"/>
        <w:jc w:val="both"/>
        <w:rPr>
          <w:b/>
          <w:szCs w:val="20"/>
        </w:rPr>
      </w:pPr>
      <w:r>
        <w:rPr>
          <w:b/>
        </w:rPr>
        <w:t>Българско</w:t>
      </w:r>
      <w:r w:rsidRPr="00595104">
        <w:rPr>
          <w:b/>
        </w:rPr>
        <w:t xml:space="preserve"> национално радио</w:t>
      </w:r>
    </w:p>
    <w:p w14:paraId="177A9CE7" w14:textId="77777777" w:rsidR="006D4AA4" w:rsidRPr="009E6752" w:rsidRDefault="006D4AA4" w:rsidP="00914496">
      <w:pPr>
        <w:ind w:firstLine="567"/>
        <w:jc w:val="both"/>
        <w:rPr>
          <w:szCs w:val="20"/>
        </w:rPr>
      </w:pPr>
      <w:r w:rsidRPr="00CF75DB">
        <w:rPr>
          <w:b/>
        </w:rPr>
        <w:t>Приходите по бюджета на Българското национално радио (БНР)</w:t>
      </w:r>
      <w:r w:rsidRPr="00BF414A">
        <w:t xml:space="preserve"> към 30.06.2024 г. са в размер на </w:t>
      </w:r>
      <w:r w:rsidRPr="009E6752">
        <w:rPr>
          <w:szCs w:val="20"/>
        </w:rPr>
        <w:t>0,9 млн. лв., което представлява 49,4</w:t>
      </w:r>
      <w:r>
        <w:rPr>
          <w:szCs w:val="20"/>
        </w:rPr>
        <w:t xml:space="preserve"> </w:t>
      </w:r>
      <w:r w:rsidRPr="009E6752">
        <w:rPr>
          <w:szCs w:val="20"/>
        </w:rPr>
        <w:t>% изпълнение на заложените приходи в разчетите към ЗДБРБ за 2024 г. (</w:t>
      </w:r>
      <w:r w:rsidRPr="009E6752">
        <w:t>1,8 млн. лв.).</w:t>
      </w:r>
    </w:p>
    <w:p w14:paraId="55E1FEE4" w14:textId="77777777" w:rsidR="006D4AA4" w:rsidRPr="009E6752" w:rsidRDefault="006D4AA4" w:rsidP="005D17D2">
      <w:pPr>
        <w:ind w:firstLine="567"/>
        <w:jc w:val="both"/>
        <w:rPr>
          <w:szCs w:val="20"/>
        </w:rPr>
      </w:pPr>
      <w:r w:rsidRPr="009E6752">
        <w:rPr>
          <w:szCs w:val="20"/>
        </w:rPr>
        <w:t>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наеми на имущество и други неданъчни приходи.</w:t>
      </w:r>
    </w:p>
    <w:p w14:paraId="59FC5AC7" w14:textId="77777777" w:rsidR="006D4AA4" w:rsidRPr="00BF414A" w:rsidRDefault="006D4AA4" w:rsidP="005D17D2">
      <w:pPr>
        <w:ind w:firstLine="567"/>
        <w:jc w:val="both"/>
        <w:rPr>
          <w:szCs w:val="20"/>
        </w:rPr>
      </w:pPr>
      <w:r w:rsidRPr="00BF414A">
        <w:rPr>
          <w:szCs w:val="20"/>
        </w:rPr>
        <w:t xml:space="preserve">Изпълнението на </w:t>
      </w:r>
      <w:r w:rsidRPr="00BF414A">
        <w:rPr>
          <w:b/>
          <w:szCs w:val="20"/>
        </w:rPr>
        <w:t>разходите</w:t>
      </w:r>
      <w:r w:rsidRPr="00BF414A">
        <w:rPr>
          <w:szCs w:val="20"/>
        </w:rPr>
        <w:t xml:space="preserve"> </w:t>
      </w:r>
      <w:r w:rsidRPr="00BF414A">
        <w:rPr>
          <w:b/>
          <w:szCs w:val="20"/>
        </w:rPr>
        <w:t>по бюджета на</w:t>
      </w:r>
      <w:r w:rsidRPr="00BF414A">
        <w:rPr>
          <w:szCs w:val="20"/>
        </w:rPr>
        <w:t xml:space="preserve"> </w:t>
      </w:r>
      <w:r w:rsidRPr="00BF414A">
        <w:rPr>
          <w:b/>
          <w:szCs w:val="20"/>
        </w:rPr>
        <w:t xml:space="preserve">БНР </w:t>
      </w:r>
      <w:r w:rsidRPr="00BF414A">
        <w:rPr>
          <w:szCs w:val="20"/>
        </w:rPr>
        <w:t xml:space="preserve">възлиза на 33,9 млн. лв., което представлява 51,2% от предвидените разходи в разчетите към ЗДБРБ за 2024 г. – 66,3 млн. лв. </w:t>
      </w:r>
    </w:p>
    <w:p w14:paraId="413357FD" w14:textId="77777777" w:rsidR="006D4AA4" w:rsidRPr="009E6752" w:rsidRDefault="006D4AA4" w:rsidP="005D17D2">
      <w:pPr>
        <w:ind w:firstLine="567"/>
        <w:jc w:val="both"/>
        <w:rPr>
          <w:szCs w:val="20"/>
        </w:rPr>
      </w:pPr>
      <w:r w:rsidRPr="009E6752">
        <w:rPr>
          <w:szCs w:val="20"/>
        </w:rPr>
        <w:t>Българското национално радио съставя, изпълнява, приключва и отчита бюджет, съгласно чл. 70, ал. 1 от Закона за радиото и телевизията (ЗРТ). За периода са отчетени 31,9 млн. лв. текущи разходи и 2,0 млн. лв. капиталови разходи. Общият размер на отчетените текущи разходи включва: 21,1 млн. лв. разходи за персонал и 10,8 млн. лв. разходи за издръжка (вкл. разходи за членски внос, платени данъци, такси и административни санкции). Отчетените разходи за персонал представляват 62,2% от отчетените за периода разходи.</w:t>
      </w:r>
    </w:p>
    <w:p w14:paraId="69C35AA0" w14:textId="77777777" w:rsidR="006D4AA4" w:rsidRPr="009E6752" w:rsidRDefault="006D4AA4" w:rsidP="005D17D2">
      <w:pPr>
        <w:ind w:firstLine="567"/>
        <w:jc w:val="both"/>
        <w:rPr>
          <w:szCs w:val="20"/>
        </w:rPr>
      </w:pPr>
      <w:r w:rsidRPr="009E6752">
        <w:rPr>
          <w:szCs w:val="20"/>
        </w:rPr>
        <w:t>В разпределението  на разходите по бюджета на БНР е включен преходния остатък за 2023</w:t>
      </w:r>
      <w:r w:rsidR="00476901">
        <w:rPr>
          <w:szCs w:val="20"/>
        </w:rPr>
        <w:t> </w:t>
      </w:r>
      <w:r w:rsidRPr="009E6752">
        <w:rPr>
          <w:szCs w:val="20"/>
        </w:rPr>
        <w:t xml:space="preserve"> г. (съгл. чл. 70, ал. 6 от ЗРТ) в размер на 3,9 млн. лв.</w:t>
      </w:r>
    </w:p>
    <w:p w14:paraId="0678A48A" w14:textId="77777777" w:rsidR="006D4AA4" w:rsidRPr="009E6752" w:rsidRDefault="006D4AA4" w:rsidP="005D17D2">
      <w:pPr>
        <w:ind w:firstLine="567"/>
        <w:jc w:val="both"/>
        <w:rPr>
          <w:szCs w:val="20"/>
        </w:rPr>
      </w:pPr>
      <w:r w:rsidRPr="009E6752">
        <w:rPr>
          <w:szCs w:val="20"/>
        </w:rPr>
        <w:t xml:space="preserve">За отчетния период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w:t>
      </w:r>
    </w:p>
    <w:p w14:paraId="5D4CF1A3" w14:textId="0AE827BC" w:rsidR="006D4AA4" w:rsidRDefault="006D4AA4" w:rsidP="005D17D2">
      <w:pPr>
        <w:ind w:firstLine="567"/>
        <w:jc w:val="both"/>
        <w:rPr>
          <w:szCs w:val="20"/>
        </w:rPr>
      </w:pPr>
      <w:r w:rsidRPr="009E6752">
        <w:rPr>
          <w:b/>
          <w:szCs w:val="20"/>
        </w:rPr>
        <w:t xml:space="preserve">Бюджетни взаимоотношения </w:t>
      </w:r>
      <w:r w:rsidRPr="00A930DF">
        <w:rPr>
          <w:b/>
          <w:szCs w:val="20"/>
        </w:rPr>
        <w:t>на БНР</w:t>
      </w:r>
      <w:r w:rsidRPr="00BF414A">
        <w:rPr>
          <w:szCs w:val="20"/>
        </w:rPr>
        <w:t xml:space="preserve"> с централния бюджет</w:t>
      </w:r>
      <w:r>
        <w:rPr>
          <w:szCs w:val="20"/>
        </w:rPr>
        <w:t xml:space="preserve"> по уточнен план възлизат на</w:t>
      </w:r>
      <w:r w:rsidRPr="009E6752">
        <w:rPr>
          <w:szCs w:val="20"/>
        </w:rPr>
        <w:t xml:space="preserve"> 63,8 млн. лв., в т.ч.: 63,0 млн. лв. съгласно чл. 50, т. 1 от ЗДБРБ за 2024 г. и 0,8 млн. лв. одобрен допълнителен трансфер съгласно ПМС № 100 от 2024 г. за разходи по подготовката и произвеждането на изборите за народни представители и за членове на Европейския парламент от Република България на 9 юни 2024 г. За отчетния период е усвоена сума в размер на 32,9 млн. лв. или 51,5</w:t>
      </w:r>
      <w:r>
        <w:rPr>
          <w:szCs w:val="20"/>
        </w:rPr>
        <w:t xml:space="preserve"> </w:t>
      </w:r>
      <w:r w:rsidRPr="009E6752">
        <w:rPr>
          <w:szCs w:val="20"/>
        </w:rPr>
        <w:t>% от размера на бюджетните взаимоотношения на БНР с централния бюджет по уточнен план.</w:t>
      </w:r>
    </w:p>
    <w:p w14:paraId="074914D1" w14:textId="77777777" w:rsidR="00595104" w:rsidRDefault="00595104" w:rsidP="005D17D2">
      <w:pPr>
        <w:ind w:firstLine="567"/>
        <w:jc w:val="both"/>
        <w:rPr>
          <w:szCs w:val="20"/>
        </w:rPr>
      </w:pPr>
    </w:p>
    <w:p w14:paraId="0E993E62" w14:textId="76D7B401" w:rsidR="00595104" w:rsidRPr="00595104" w:rsidRDefault="00595104" w:rsidP="0090161D">
      <w:pPr>
        <w:numPr>
          <w:ilvl w:val="1"/>
          <w:numId w:val="6"/>
        </w:numPr>
        <w:ind w:left="992" w:hanging="357"/>
        <w:jc w:val="both"/>
        <w:rPr>
          <w:b/>
          <w:szCs w:val="20"/>
        </w:rPr>
      </w:pPr>
      <w:r>
        <w:rPr>
          <w:b/>
        </w:rPr>
        <w:t>Българска</w:t>
      </w:r>
      <w:r w:rsidRPr="00595104">
        <w:rPr>
          <w:b/>
        </w:rPr>
        <w:t xml:space="preserve"> телеграфна агенция</w:t>
      </w:r>
    </w:p>
    <w:p w14:paraId="6BDEDA32" w14:textId="77777777" w:rsidR="006D4AA4" w:rsidRPr="00793C4E" w:rsidRDefault="006D4AA4" w:rsidP="00595104">
      <w:pPr>
        <w:ind w:firstLine="567"/>
        <w:jc w:val="both"/>
        <w:rPr>
          <w:b/>
          <w:color w:val="0070C0"/>
          <w:szCs w:val="20"/>
        </w:rPr>
      </w:pPr>
      <w:r w:rsidRPr="00BF414A">
        <w:rPr>
          <w:b/>
          <w:szCs w:val="20"/>
        </w:rPr>
        <w:t xml:space="preserve">Приходите на </w:t>
      </w:r>
      <w:r w:rsidRPr="00BF414A">
        <w:rPr>
          <w:b/>
        </w:rPr>
        <w:t>Българската телеграфна агенция (БТА)</w:t>
      </w:r>
      <w:r w:rsidRPr="00BF414A">
        <w:t xml:space="preserve"> </w:t>
      </w:r>
      <w:r w:rsidRPr="00BF414A">
        <w:rPr>
          <w:szCs w:val="20"/>
        </w:rPr>
        <w:t>към 30.06.2024 г. са в размер на 0,4 млн. лв</w:t>
      </w:r>
      <w:r w:rsidRPr="00BF414A">
        <w:t xml:space="preserve">., което представлява 66,0 % от заложените приходи в разчетите към ЗДБРБ за 2024 г. (0,6 млн. лв.). Средствата са основно от продажба на услуги, стоки и продукция (реклама, технически услуги, продажба на продукция), наеми на имущество и др. </w:t>
      </w:r>
    </w:p>
    <w:p w14:paraId="5F65A427" w14:textId="77777777" w:rsidR="006D4AA4" w:rsidRPr="00BF414A" w:rsidRDefault="006D4AA4" w:rsidP="005D17D2">
      <w:pPr>
        <w:pStyle w:val="Title"/>
        <w:ind w:firstLine="567"/>
        <w:jc w:val="both"/>
        <w:rPr>
          <w:b w:val="0"/>
        </w:rPr>
      </w:pPr>
      <w:r w:rsidRPr="00BF414A">
        <w:rPr>
          <w:b w:val="0"/>
        </w:rPr>
        <w:t xml:space="preserve">Отчетените </w:t>
      </w:r>
      <w:r w:rsidRPr="00BF414A">
        <w:t>разходи</w:t>
      </w:r>
      <w:r w:rsidRPr="00BF414A">
        <w:rPr>
          <w:b w:val="0"/>
        </w:rPr>
        <w:t xml:space="preserve"> </w:t>
      </w:r>
      <w:r w:rsidRPr="00A930DF">
        <w:t>по бюджета на БТА</w:t>
      </w:r>
      <w:r w:rsidRPr="00BF414A">
        <w:rPr>
          <w:b w:val="0"/>
        </w:rPr>
        <w:t xml:space="preserve"> са в размер на 7,7 млн. лв., което представлява 61,9</w:t>
      </w:r>
      <w:r w:rsidR="005D17D2">
        <w:rPr>
          <w:b w:val="0"/>
        </w:rPr>
        <w:t> </w:t>
      </w:r>
      <w:r w:rsidRPr="00BF414A">
        <w:rPr>
          <w:b w:val="0"/>
        </w:rPr>
        <w:t xml:space="preserve">% от предвидените разходи в разчетите към ЗДБРБ за 2024 г. </w:t>
      </w:r>
    </w:p>
    <w:p w14:paraId="59574CE6" w14:textId="77777777" w:rsidR="006D4AA4" w:rsidRPr="009E6752" w:rsidRDefault="006D4AA4" w:rsidP="00693F3C">
      <w:pPr>
        <w:pStyle w:val="Title"/>
        <w:ind w:firstLine="567"/>
        <w:jc w:val="both"/>
        <w:rPr>
          <w:b w:val="0"/>
        </w:rPr>
      </w:pPr>
      <w:r w:rsidRPr="00A43070">
        <w:rPr>
          <w:b w:val="0"/>
        </w:rPr>
        <w:t>Българската телеграфна агенция съставя, изпълнява, приключва и отчита бюджет, съгласно чл. 19, ал. 1 от Закона за Българска телеграфна агенция (ЗБТА).</w:t>
      </w:r>
      <w:r w:rsidRPr="00BF414A">
        <w:t xml:space="preserve"> </w:t>
      </w:r>
      <w:r>
        <w:rPr>
          <w:b w:val="0"/>
        </w:rPr>
        <w:t>За периода са отчетени 6,8</w:t>
      </w:r>
      <w:r w:rsidRPr="009E6752">
        <w:rPr>
          <w:b w:val="0"/>
        </w:rPr>
        <w:t xml:space="preserve"> млн. лв. текущи разходи и 0,9 млн. лв. капиталови разходи. Общият размер на отчетените текущи разходи включва: 5</w:t>
      </w:r>
      <w:r w:rsidRPr="00153C68">
        <w:rPr>
          <w:b w:val="0"/>
          <w:lang w:val="ru-RU"/>
        </w:rPr>
        <w:t>,0</w:t>
      </w:r>
      <w:r w:rsidRPr="009E6752">
        <w:rPr>
          <w:b w:val="0"/>
        </w:rPr>
        <w:t xml:space="preserve"> млн.</w:t>
      </w:r>
      <w:r>
        <w:rPr>
          <w:b w:val="0"/>
        </w:rPr>
        <w:t xml:space="preserve"> лв. разходи за персонал и </w:t>
      </w:r>
      <w:r w:rsidRPr="009E6752">
        <w:rPr>
          <w:b w:val="0"/>
        </w:rPr>
        <w:t xml:space="preserve"> </w:t>
      </w:r>
      <w:r w:rsidR="00921320">
        <w:rPr>
          <w:b w:val="0"/>
        </w:rPr>
        <w:t>1</w:t>
      </w:r>
      <w:r w:rsidRPr="00153C68">
        <w:rPr>
          <w:b w:val="0"/>
          <w:lang w:val="ru-RU"/>
        </w:rPr>
        <w:t>,</w:t>
      </w:r>
      <w:r w:rsidR="00921320">
        <w:rPr>
          <w:b w:val="0"/>
          <w:lang w:val="ru-RU"/>
        </w:rPr>
        <w:t>8</w:t>
      </w:r>
      <w:r w:rsidRPr="009E6752">
        <w:rPr>
          <w:b w:val="0"/>
        </w:rPr>
        <w:t xml:space="preserve"> млн. лв. разходи за издръжка (вкл. разходи за членски внос, платени данъци, такси и административни санкции). Отчетените разх</w:t>
      </w:r>
      <w:r>
        <w:rPr>
          <w:b w:val="0"/>
        </w:rPr>
        <w:t>оди за персонал представляват 74,0</w:t>
      </w:r>
      <w:r w:rsidRPr="00153C68">
        <w:rPr>
          <w:b w:val="0"/>
          <w:lang w:val="ru-RU"/>
        </w:rPr>
        <w:t xml:space="preserve"> </w:t>
      </w:r>
      <w:r w:rsidRPr="009E6752">
        <w:rPr>
          <w:b w:val="0"/>
        </w:rPr>
        <w:t>% от отчетените текущи разходи.</w:t>
      </w:r>
    </w:p>
    <w:p w14:paraId="052E0081" w14:textId="77777777" w:rsidR="006D4AA4" w:rsidRDefault="006D4AA4" w:rsidP="00693F3C">
      <w:pPr>
        <w:pStyle w:val="Title"/>
        <w:ind w:firstLine="567"/>
        <w:jc w:val="both"/>
        <w:rPr>
          <w:b w:val="0"/>
        </w:rPr>
      </w:pPr>
      <w:r w:rsidRPr="009E6752">
        <w:rPr>
          <w:b w:val="0"/>
        </w:rPr>
        <w:t>В разпределението на разходите по бюджета на агенцията е включен преходния остатък за 2023 г. (съгл. чл. 20, ал. 3 от ЗБТА) в размер на 1,7 млн. л</w:t>
      </w:r>
      <w:r>
        <w:rPr>
          <w:b w:val="0"/>
        </w:rPr>
        <w:t>е</w:t>
      </w:r>
      <w:r w:rsidRPr="009E6752">
        <w:rPr>
          <w:b w:val="0"/>
        </w:rPr>
        <w:t>в</w:t>
      </w:r>
      <w:r>
        <w:rPr>
          <w:b w:val="0"/>
        </w:rPr>
        <w:t>а.</w:t>
      </w:r>
    </w:p>
    <w:p w14:paraId="50D60C62" w14:textId="77777777" w:rsidR="006D4AA4" w:rsidRPr="009E6752" w:rsidRDefault="006D4AA4" w:rsidP="00693F3C">
      <w:pPr>
        <w:pStyle w:val="Title"/>
        <w:ind w:firstLine="567"/>
        <w:jc w:val="both"/>
        <w:rPr>
          <w:b w:val="0"/>
        </w:rPr>
      </w:pPr>
      <w:r w:rsidRPr="009E6752">
        <w:rPr>
          <w:b w:val="0"/>
        </w:rPr>
        <w:t>За отчетния период средствата са усвоени за реализирането на основните цели и дейности на БТА като национален независим информационен институт на Република България, съгласно разпоредбите на Закона за Българска телеграфна агенция.</w:t>
      </w:r>
    </w:p>
    <w:p w14:paraId="3EA5FC4B" w14:textId="77777777" w:rsidR="006D4AA4" w:rsidRPr="009E6752" w:rsidRDefault="006D4AA4" w:rsidP="00693F3C">
      <w:pPr>
        <w:pStyle w:val="Title"/>
        <w:ind w:firstLine="567"/>
        <w:jc w:val="both"/>
        <w:rPr>
          <w:b w:val="0"/>
        </w:rPr>
      </w:pPr>
      <w:r w:rsidRPr="009E6752">
        <w:t xml:space="preserve">Бюджетни взаимоотношения </w:t>
      </w:r>
      <w:r w:rsidRPr="009B4608">
        <w:t>на БТА</w:t>
      </w:r>
      <w:r w:rsidRPr="00A43070">
        <w:rPr>
          <w:b w:val="0"/>
        </w:rPr>
        <w:t xml:space="preserve"> с централния бюджет</w:t>
      </w:r>
      <w:r>
        <w:rPr>
          <w:b w:val="0"/>
        </w:rPr>
        <w:t xml:space="preserve"> възлизат на </w:t>
      </w:r>
      <w:r w:rsidRPr="009E6752">
        <w:rPr>
          <w:b w:val="0"/>
        </w:rPr>
        <w:t>11,9 млн. лв. съгласно чл. 50, т. 3 от ЗДБРБ за 2024 г., а след извършени промени по бюджета в изпълнение на ПМС № 204 от 2024 г., сумата е увеличена с 2</w:t>
      </w:r>
      <w:r>
        <w:rPr>
          <w:b w:val="0"/>
        </w:rPr>
        <w:t>,0</w:t>
      </w:r>
      <w:r w:rsidRPr="009E6752">
        <w:rPr>
          <w:b w:val="0"/>
        </w:rPr>
        <w:t xml:space="preserve"> млн. лв. и в изпълнение на ПМС № 100 от 2024</w:t>
      </w:r>
      <w:r>
        <w:rPr>
          <w:b w:val="0"/>
        </w:rPr>
        <w:t> </w:t>
      </w:r>
      <w:r w:rsidRPr="009E6752">
        <w:rPr>
          <w:b w:val="0"/>
        </w:rPr>
        <w:t>г. са добавени още 0,25 млн. лв.</w:t>
      </w:r>
      <w:r>
        <w:rPr>
          <w:b w:val="0"/>
        </w:rPr>
        <w:t xml:space="preserve"> </w:t>
      </w:r>
      <w:r w:rsidRPr="009E6752">
        <w:rPr>
          <w:b w:val="0"/>
        </w:rPr>
        <w:t>За отчетния период е усво</w:t>
      </w:r>
      <w:r>
        <w:rPr>
          <w:b w:val="0"/>
        </w:rPr>
        <w:t xml:space="preserve">ена сума в размер на </w:t>
      </w:r>
      <w:r w:rsidR="00921320">
        <w:rPr>
          <w:b w:val="0"/>
        </w:rPr>
        <w:t>5</w:t>
      </w:r>
      <w:r>
        <w:rPr>
          <w:b w:val="0"/>
        </w:rPr>
        <w:t>,</w:t>
      </w:r>
      <w:r w:rsidR="00921320">
        <w:rPr>
          <w:b w:val="0"/>
        </w:rPr>
        <w:t>9</w:t>
      </w:r>
      <w:r>
        <w:rPr>
          <w:b w:val="0"/>
        </w:rPr>
        <w:t xml:space="preserve"> млн. лева.</w:t>
      </w:r>
    </w:p>
    <w:p w14:paraId="46AD4840" w14:textId="77777777" w:rsidR="00446778" w:rsidRPr="00793C4E" w:rsidRDefault="00446778" w:rsidP="007C1025">
      <w:pPr>
        <w:pStyle w:val="Title"/>
        <w:jc w:val="both"/>
        <w:rPr>
          <w:color w:val="0070C0"/>
        </w:rPr>
      </w:pPr>
    </w:p>
    <w:p w14:paraId="00B98CA8" w14:textId="77777777" w:rsidR="00001ABF" w:rsidRPr="00793C4E" w:rsidRDefault="00001ABF" w:rsidP="007C1025">
      <w:pPr>
        <w:pStyle w:val="Title"/>
        <w:jc w:val="both"/>
        <w:rPr>
          <w:color w:val="0070C0"/>
        </w:rPr>
      </w:pPr>
    </w:p>
    <w:p w14:paraId="6955B9F5" w14:textId="77777777" w:rsidR="007C1025" w:rsidRPr="002A0FFC" w:rsidRDefault="007C1025" w:rsidP="007C1025">
      <w:pPr>
        <w:pStyle w:val="Title"/>
        <w:jc w:val="both"/>
        <w:rPr>
          <w:lang w:val="en-US"/>
        </w:rPr>
      </w:pPr>
      <w:r w:rsidRPr="009E4D02">
        <w:t xml:space="preserve">Министерство на финансите, </w:t>
      </w:r>
      <w:r w:rsidR="009E4D02" w:rsidRPr="009E4D02">
        <w:t xml:space="preserve">август </w:t>
      </w:r>
      <w:r w:rsidRPr="009E4D02">
        <w:t>202</w:t>
      </w:r>
      <w:r w:rsidR="00E4591D" w:rsidRPr="009E4D02">
        <w:t>4</w:t>
      </w:r>
      <w:r w:rsidRPr="009E4D02">
        <w:t xml:space="preserve"> г.</w:t>
      </w:r>
    </w:p>
    <w:sectPr w:rsidR="007C1025" w:rsidRPr="002A0FFC" w:rsidSect="00033525">
      <w:footerReference w:type="even" r:id="rId11"/>
      <w:footerReference w:type="default" r:id="rId12"/>
      <w:endnotePr>
        <w:numFmt w:val="decimal"/>
      </w:endnotePr>
      <w:type w:val="continuous"/>
      <w:pgSz w:w="11906" w:h="16838"/>
      <w:pgMar w:top="709" w:right="849"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E7AB" w14:textId="77777777" w:rsidR="00073B7F" w:rsidRDefault="00073B7F">
      <w:r>
        <w:separator/>
      </w:r>
    </w:p>
  </w:endnote>
  <w:endnote w:type="continuationSeparator" w:id="0">
    <w:p w14:paraId="57A6B860" w14:textId="77777777" w:rsidR="00073B7F" w:rsidRDefault="00073B7F">
      <w:r>
        <w:continuationSeparator/>
      </w:r>
    </w:p>
  </w:endnote>
  <w:endnote w:type="continuationNotice" w:id="1">
    <w:p w14:paraId="32CF92D2" w14:textId="77777777" w:rsidR="00073B7F" w:rsidRDefault="0007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utura Bk">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4564" w14:textId="77777777" w:rsidR="0090161D" w:rsidRDefault="0090161D"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AC226" w14:textId="77777777" w:rsidR="0090161D" w:rsidRDefault="0090161D"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76A5" w14:textId="6DF0397A" w:rsidR="0090161D" w:rsidRDefault="0090161D"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093B">
      <w:rPr>
        <w:rStyle w:val="PageNumber"/>
        <w:noProof/>
      </w:rPr>
      <w:t>21</w:t>
    </w:r>
    <w:r>
      <w:rPr>
        <w:rStyle w:val="PageNumber"/>
      </w:rPr>
      <w:fldChar w:fldCharType="end"/>
    </w:r>
  </w:p>
  <w:p w14:paraId="38EB9346" w14:textId="77777777" w:rsidR="0090161D" w:rsidRDefault="0090161D"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3628F" w14:textId="77777777" w:rsidR="00073B7F" w:rsidRDefault="00073B7F">
      <w:r>
        <w:separator/>
      </w:r>
    </w:p>
  </w:footnote>
  <w:footnote w:type="continuationSeparator" w:id="0">
    <w:p w14:paraId="6158E0A3" w14:textId="77777777" w:rsidR="00073B7F" w:rsidRDefault="00073B7F">
      <w:r>
        <w:continuationSeparator/>
      </w:r>
    </w:p>
  </w:footnote>
  <w:footnote w:type="continuationNotice" w:id="1">
    <w:p w14:paraId="30538755" w14:textId="77777777" w:rsidR="00073B7F" w:rsidRDefault="00073B7F"/>
  </w:footnote>
  <w:footnote w:id="2">
    <w:p w14:paraId="2A4F92ED" w14:textId="77777777" w:rsidR="00073B7F" w:rsidRPr="001172B3" w:rsidRDefault="00073B7F" w:rsidP="006D47F0">
      <w:pPr>
        <w:pStyle w:val="FootnoteText"/>
        <w:jc w:val="both"/>
        <w:rPr>
          <w:sz w:val="18"/>
          <w:szCs w:val="18"/>
          <w:lang w:val="bg-BG"/>
        </w:rPr>
      </w:pPr>
      <w:r>
        <w:rPr>
          <w:rStyle w:val="FootnoteReference"/>
        </w:rPr>
        <w:footnoteRef/>
      </w:r>
      <w:r>
        <w:t xml:space="preserve"> </w:t>
      </w:r>
      <w:r w:rsidRPr="001172B3">
        <w:rPr>
          <w:rFonts w:eastAsia="Calibri"/>
          <w:sz w:val="18"/>
          <w:szCs w:val="18"/>
          <w:lang w:val="ru-RU"/>
        </w:rPr>
        <w:t xml:space="preserve">През месец февруари 2024 г. в изпълнение на чл. 71, ал.1 от Постановление № 13 на Министерския съвет от 2024 г. от сметката за чужди средства по бюджета на Министерството на регионалното развитие и благоустройството </w:t>
      </w:r>
      <w:r w:rsidRPr="001172B3">
        <w:rPr>
          <w:rFonts w:eastAsia="Calibri"/>
          <w:sz w:val="18"/>
          <w:szCs w:val="18"/>
        </w:rPr>
        <w:t xml:space="preserve">(МРРБ) </w:t>
      </w:r>
      <w:r w:rsidRPr="001172B3">
        <w:rPr>
          <w:rFonts w:eastAsia="Calibri"/>
          <w:sz w:val="18"/>
          <w:szCs w:val="18"/>
          <w:lang w:val="ru-RU"/>
        </w:rPr>
        <w:t>бяха възстановени средства в общ размер на 1 200,0 млн. лв. В хода на изпълнението на бюджета за 2024 г. тези средства ще бъдат предоставяни с акт на Министерския съвет на базата на подписани споразумения с МРРБ като трансфери за общините за финансиране на Инвестиционната програма за общински проекти по реда на чл. 107 от Закона за държавния бюджет на Република България за 2024 г. и други. При елиминирането на тази трансакция, с оглед съпоставимост с предходната година, разходите към края на юни 2024 г. са 36 329,6 млн. лв. при 31 230,</w:t>
      </w:r>
      <w:r w:rsidRPr="001172B3">
        <w:rPr>
          <w:rFonts w:eastAsia="Calibri"/>
          <w:sz w:val="18"/>
          <w:szCs w:val="18"/>
        </w:rPr>
        <w:t>6</w:t>
      </w:r>
      <w:r w:rsidRPr="001172B3">
        <w:rPr>
          <w:rFonts w:eastAsia="Calibri"/>
          <w:sz w:val="18"/>
          <w:szCs w:val="18"/>
          <w:lang w:val="ru-RU"/>
        </w:rPr>
        <w:t xml:space="preserve"> млн. лв. за първите шест месеца на 2023 г.</w:t>
      </w:r>
    </w:p>
  </w:footnote>
  <w:footnote w:id="3">
    <w:p w14:paraId="49C45953" w14:textId="77777777" w:rsidR="00073B7F" w:rsidRPr="007D18FE" w:rsidRDefault="00073B7F" w:rsidP="00E74802">
      <w:pPr>
        <w:pStyle w:val="FootnoteText"/>
        <w:jc w:val="both"/>
        <w:rPr>
          <w:sz w:val="18"/>
          <w:szCs w:val="18"/>
          <w:lang w:val="bg-BG"/>
        </w:rPr>
      </w:pPr>
      <w:r w:rsidRPr="007D18FE">
        <w:rPr>
          <w:rStyle w:val="FootnoteReference"/>
          <w:sz w:val="18"/>
          <w:szCs w:val="18"/>
        </w:rPr>
        <w:footnoteRef/>
      </w:r>
      <w:r w:rsidRPr="001953AC">
        <w:rPr>
          <w:sz w:val="18"/>
          <w:szCs w:val="18"/>
          <w:lang w:val="ru-RU"/>
        </w:rPr>
        <w:t xml:space="preserve"> </w:t>
      </w:r>
      <w:r w:rsidRPr="007D18FE">
        <w:rPr>
          <w:sz w:val="18"/>
          <w:szCs w:val="18"/>
          <w:lang w:val="bg-BG"/>
        </w:rPr>
        <w:t>Обхваща държавния бюджет и бюджетите на общините, социалноосигурителните фондове, ДВУ, БАН, БНР, БНТ, БТА, бюджетите по чл.1</w:t>
      </w:r>
      <w:r>
        <w:rPr>
          <w:sz w:val="18"/>
          <w:szCs w:val="18"/>
          <w:lang w:val="bg-BG"/>
        </w:rPr>
        <w:t>3</w:t>
      </w:r>
      <w:r w:rsidRPr="007D18FE">
        <w:rPr>
          <w:sz w:val="18"/>
          <w:szCs w:val="18"/>
          <w:lang w:val="bg-BG"/>
        </w:rPr>
        <w:t>,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4">
    <w:p w14:paraId="0CA3AD15" w14:textId="77777777" w:rsidR="00073B7F" w:rsidRPr="007D18FE" w:rsidRDefault="00073B7F" w:rsidP="001F66D5">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Поради извършено закръгление в млн. лв., някои сумарни позиции в Таблица №1, Таблица  №2 и в текста не се изчерпват от съставните им числа.</w:t>
      </w:r>
    </w:p>
  </w:footnote>
  <w:footnote w:id="5">
    <w:p w14:paraId="7E33AFA1" w14:textId="77777777" w:rsidR="00073B7F" w:rsidRPr="00D13ABE" w:rsidRDefault="00073B7F" w:rsidP="001F66D5">
      <w:pPr>
        <w:pStyle w:val="FootnoteText"/>
        <w:rPr>
          <w:lang w:val="bg-BG"/>
        </w:rPr>
      </w:pPr>
      <w:r w:rsidRPr="004304BD">
        <w:rPr>
          <w:rStyle w:val="FootnoteReference"/>
        </w:rPr>
        <w:footnoteRef/>
      </w:r>
      <w:r w:rsidRPr="004304BD">
        <w:rPr>
          <w:lang w:val="bg-BG"/>
        </w:rPr>
        <w:t xml:space="preserve"> </w:t>
      </w:r>
      <w:r w:rsidRPr="00AF223B">
        <w:rPr>
          <w:sz w:val="18"/>
          <w:szCs w:val="18"/>
          <w:lang w:val="bg-BG"/>
        </w:rPr>
        <w:t>Разчети към ЗДБРБ за 2024 г. (oбн., ДВ., бр. 108 от 30.12.2023 г.)</w:t>
      </w:r>
    </w:p>
  </w:footnote>
  <w:footnote w:id="6">
    <w:p w14:paraId="53C2574E" w14:textId="77777777" w:rsidR="00073B7F" w:rsidRPr="00E74802" w:rsidRDefault="00073B7F" w:rsidP="001F66D5">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7">
    <w:p w14:paraId="619C3A74" w14:textId="77777777" w:rsidR="00073B7F" w:rsidRPr="006440AB" w:rsidRDefault="00073B7F" w:rsidP="001F66D5">
      <w:pPr>
        <w:pStyle w:val="FootnoteText"/>
        <w:rPr>
          <w:lang w:val="bg-BG"/>
        </w:rPr>
      </w:pPr>
      <w:r w:rsidRPr="006440AB">
        <w:rPr>
          <w:rStyle w:val="FootnoteReference"/>
          <w:lang w:val="bg-BG"/>
        </w:rPr>
        <w:footnoteRef/>
      </w:r>
      <w:r w:rsidRPr="006440AB">
        <w:rPr>
          <w:lang w:val="bg-BG"/>
        </w:rPr>
        <w:t xml:space="preserve"> </w:t>
      </w:r>
      <w:r w:rsidRPr="006440AB">
        <w:rPr>
          <w:sz w:val="18"/>
          <w:szCs w:val="16"/>
          <w:lang w:val="bg-BG"/>
        </w:rPr>
        <w:t>Държавният бюджет включва централен бюджет, бюджетите на НС, съдебната власт, министерствата и ведомствата.</w:t>
      </w:r>
    </w:p>
  </w:footnote>
  <w:footnote w:id="8">
    <w:p w14:paraId="417B5C4B" w14:textId="77777777" w:rsidR="00073B7F" w:rsidRPr="002F37AF" w:rsidRDefault="00073B7F" w:rsidP="001F66D5">
      <w:pPr>
        <w:pStyle w:val="FootnoteText"/>
        <w:jc w:val="both"/>
        <w:rPr>
          <w:sz w:val="18"/>
          <w:szCs w:val="18"/>
          <w:lang w:val="bg-BG"/>
        </w:rPr>
      </w:pPr>
      <w:r w:rsidRPr="002F37AF">
        <w:rPr>
          <w:rStyle w:val="FootnoteReference"/>
          <w:lang w:val="bg-BG"/>
        </w:rPr>
        <w:footnoteRef/>
      </w:r>
      <w:r w:rsidRPr="002F37AF">
        <w:rPr>
          <w:sz w:val="18"/>
          <w:szCs w:val="18"/>
          <w:lang w:val="bg-BG"/>
        </w:rPr>
        <w:t xml:space="preserve"> Поради извършено закръгление в млн. лв., някои сумарни позиции в Таблица № 1 и в текста не се изчерпват от съставните им числа.</w:t>
      </w:r>
    </w:p>
  </w:footnote>
  <w:footnote w:id="9">
    <w:p w14:paraId="24051711" w14:textId="77777777" w:rsidR="00073B7F" w:rsidRPr="00587800" w:rsidRDefault="00073B7F" w:rsidP="001F66D5">
      <w:pPr>
        <w:pStyle w:val="FootnoteText"/>
        <w:jc w:val="both"/>
        <w:rPr>
          <w:sz w:val="18"/>
          <w:szCs w:val="18"/>
          <w:lang w:val="ru-RU"/>
        </w:rPr>
      </w:pPr>
      <w:r w:rsidRPr="002F37AF">
        <w:rPr>
          <w:rStyle w:val="FootnoteReference"/>
          <w:sz w:val="18"/>
          <w:szCs w:val="18"/>
          <w:lang w:val="bg-BG"/>
        </w:rPr>
        <w:footnoteRef/>
      </w:r>
      <w:r w:rsidRPr="002F37AF">
        <w:rPr>
          <w:sz w:val="18"/>
          <w:szCs w:val="18"/>
          <w:lang w:val="bg-BG"/>
        </w:rPr>
        <w:t xml:space="preserve"> 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6C8"/>
    <w:multiLevelType w:val="hybridMultilevel"/>
    <w:tmpl w:val="C7C4237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C640E0"/>
    <w:multiLevelType w:val="hybridMultilevel"/>
    <w:tmpl w:val="94142DF6"/>
    <w:lvl w:ilvl="0" w:tplc="CA968970">
      <w:start w:val="4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 w15:restartNumberingAfterBreak="0">
    <w:nsid w:val="02A64D70"/>
    <w:multiLevelType w:val="hybridMultilevel"/>
    <w:tmpl w:val="F85C9BE4"/>
    <w:lvl w:ilvl="0" w:tplc="982A2DA2">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3" w15:restartNumberingAfterBreak="0">
    <w:nsid w:val="03127CD0"/>
    <w:multiLevelType w:val="hybridMultilevel"/>
    <w:tmpl w:val="1338A1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6429A2"/>
    <w:multiLevelType w:val="hybridMultilevel"/>
    <w:tmpl w:val="E4D08A9A"/>
    <w:lvl w:ilvl="0" w:tplc="0402000D">
      <w:start w:val="1"/>
      <w:numFmt w:val="bullet"/>
      <w:lvlText w:val=""/>
      <w:lvlJc w:val="left"/>
      <w:pPr>
        <w:ind w:left="5676" w:hanging="360"/>
      </w:pPr>
      <w:rPr>
        <w:rFonts w:ascii="Wingdings" w:hAnsi="Wingdings" w:hint="default"/>
      </w:rPr>
    </w:lvl>
    <w:lvl w:ilvl="1" w:tplc="04020003" w:tentative="1">
      <w:start w:val="1"/>
      <w:numFmt w:val="bullet"/>
      <w:lvlText w:val="o"/>
      <w:lvlJc w:val="left"/>
      <w:pPr>
        <w:ind w:left="6396" w:hanging="360"/>
      </w:pPr>
      <w:rPr>
        <w:rFonts w:ascii="Courier New" w:hAnsi="Courier New" w:cs="Courier New" w:hint="default"/>
      </w:rPr>
    </w:lvl>
    <w:lvl w:ilvl="2" w:tplc="04020005" w:tentative="1">
      <w:start w:val="1"/>
      <w:numFmt w:val="bullet"/>
      <w:lvlText w:val=""/>
      <w:lvlJc w:val="left"/>
      <w:pPr>
        <w:ind w:left="7116" w:hanging="360"/>
      </w:pPr>
      <w:rPr>
        <w:rFonts w:ascii="Wingdings" w:hAnsi="Wingdings" w:hint="default"/>
      </w:rPr>
    </w:lvl>
    <w:lvl w:ilvl="3" w:tplc="04020001" w:tentative="1">
      <w:start w:val="1"/>
      <w:numFmt w:val="bullet"/>
      <w:lvlText w:val=""/>
      <w:lvlJc w:val="left"/>
      <w:pPr>
        <w:ind w:left="7836" w:hanging="360"/>
      </w:pPr>
      <w:rPr>
        <w:rFonts w:ascii="Symbol" w:hAnsi="Symbol" w:hint="default"/>
      </w:rPr>
    </w:lvl>
    <w:lvl w:ilvl="4" w:tplc="04020003" w:tentative="1">
      <w:start w:val="1"/>
      <w:numFmt w:val="bullet"/>
      <w:lvlText w:val="o"/>
      <w:lvlJc w:val="left"/>
      <w:pPr>
        <w:ind w:left="8556" w:hanging="360"/>
      </w:pPr>
      <w:rPr>
        <w:rFonts w:ascii="Courier New" w:hAnsi="Courier New" w:cs="Courier New" w:hint="default"/>
      </w:rPr>
    </w:lvl>
    <w:lvl w:ilvl="5" w:tplc="04020005" w:tentative="1">
      <w:start w:val="1"/>
      <w:numFmt w:val="bullet"/>
      <w:lvlText w:val=""/>
      <w:lvlJc w:val="left"/>
      <w:pPr>
        <w:ind w:left="9276" w:hanging="360"/>
      </w:pPr>
      <w:rPr>
        <w:rFonts w:ascii="Wingdings" w:hAnsi="Wingdings" w:hint="default"/>
      </w:rPr>
    </w:lvl>
    <w:lvl w:ilvl="6" w:tplc="04020001" w:tentative="1">
      <w:start w:val="1"/>
      <w:numFmt w:val="bullet"/>
      <w:lvlText w:val=""/>
      <w:lvlJc w:val="left"/>
      <w:pPr>
        <w:ind w:left="9996" w:hanging="360"/>
      </w:pPr>
      <w:rPr>
        <w:rFonts w:ascii="Symbol" w:hAnsi="Symbol" w:hint="default"/>
      </w:rPr>
    </w:lvl>
    <w:lvl w:ilvl="7" w:tplc="04020003" w:tentative="1">
      <w:start w:val="1"/>
      <w:numFmt w:val="bullet"/>
      <w:lvlText w:val="o"/>
      <w:lvlJc w:val="left"/>
      <w:pPr>
        <w:ind w:left="10716" w:hanging="360"/>
      </w:pPr>
      <w:rPr>
        <w:rFonts w:ascii="Courier New" w:hAnsi="Courier New" w:cs="Courier New" w:hint="default"/>
      </w:rPr>
    </w:lvl>
    <w:lvl w:ilvl="8" w:tplc="04020005" w:tentative="1">
      <w:start w:val="1"/>
      <w:numFmt w:val="bullet"/>
      <w:lvlText w:val=""/>
      <w:lvlJc w:val="left"/>
      <w:pPr>
        <w:ind w:left="11436" w:hanging="360"/>
      </w:pPr>
      <w:rPr>
        <w:rFonts w:ascii="Wingdings" w:hAnsi="Wingdings" w:hint="default"/>
      </w:rPr>
    </w:lvl>
  </w:abstractNum>
  <w:abstractNum w:abstractNumId="5" w15:restartNumberingAfterBreak="0">
    <w:nsid w:val="0B2125B4"/>
    <w:multiLevelType w:val="multilevel"/>
    <w:tmpl w:val="7D5224AA"/>
    <w:lvl w:ilvl="0">
      <w:numFmt w:val="bullet"/>
      <w:lvlText w:val="-"/>
      <w:lvlJc w:val="left"/>
      <w:pPr>
        <w:ind w:left="-32767" w:hanging="32486"/>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 w15:restartNumberingAfterBreak="0">
    <w:nsid w:val="125740BA"/>
    <w:multiLevelType w:val="hybridMultilevel"/>
    <w:tmpl w:val="B9160DF6"/>
    <w:lvl w:ilvl="0" w:tplc="0402000B">
      <w:start w:val="1"/>
      <w:numFmt w:val="bullet"/>
      <w:lvlText w:val=""/>
      <w:lvlJc w:val="left"/>
      <w:pPr>
        <w:tabs>
          <w:tab w:val="num" w:pos="700"/>
        </w:tabs>
        <w:ind w:left="700" w:hanging="360"/>
      </w:pPr>
      <w:rPr>
        <w:rFonts w:ascii="Wingdings" w:hAnsi="Wingdings"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A04348B"/>
    <w:multiLevelType w:val="multilevel"/>
    <w:tmpl w:val="ABFA1C20"/>
    <w:lvl w:ilvl="0">
      <w:start w:val="1"/>
      <w:numFmt w:val="bullet"/>
      <w:lvlText w:val=""/>
      <w:lvlJc w:val="left"/>
      <w:pPr>
        <w:ind w:left="0" w:firstLine="42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372835"/>
    <w:multiLevelType w:val="multilevel"/>
    <w:tmpl w:val="7B586E5A"/>
    <w:lvl w:ilvl="0">
      <w:start w:val="1"/>
      <w:numFmt w:val="bullet"/>
      <w:lvlText w:val=""/>
      <w:lvlJc w:val="left"/>
      <w:pPr>
        <w:tabs>
          <w:tab w:val="num" w:pos="532"/>
        </w:tabs>
        <w:ind w:left="532" w:hanging="390"/>
      </w:pPr>
      <w:rPr>
        <w:rFonts w:ascii="Wingdings" w:hAnsi="Wingding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0"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DF1269"/>
    <w:multiLevelType w:val="hybridMultilevel"/>
    <w:tmpl w:val="969A02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236CB"/>
    <w:multiLevelType w:val="hybridMultilevel"/>
    <w:tmpl w:val="9C5CF38C"/>
    <w:lvl w:ilvl="0" w:tplc="EF3EE3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434A9D"/>
    <w:multiLevelType w:val="hybridMultilevel"/>
    <w:tmpl w:val="63A045B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DCB4556"/>
    <w:multiLevelType w:val="hybridMultilevel"/>
    <w:tmpl w:val="4CFCC9E0"/>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7"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E3B07"/>
    <w:multiLevelType w:val="hybridMultilevel"/>
    <w:tmpl w:val="842E5EAE"/>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9" w15:restartNumberingAfterBreak="0">
    <w:nsid w:val="48843DC3"/>
    <w:multiLevelType w:val="hybridMultilevel"/>
    <w:tmpl w:val="59487C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491C773E"/>
    <w:multiLevelType w:val="hybridMultilevel"/>
    <w:tmpl w:val="95184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527E6B8E"/>
    <w:multiLevelType w:val="hybridMultilevel"/>
    <w:tmpl w:val="C72A303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3A41434"/>
    <w:multiLevelType w:val="hybridMultilevel"/>
    <w:tmpl w:val="D4069CA2"/>
    <w:lvl w:ilvl="0" w:tplc="AB6E2D68">
      <w:start w:val="1"/>
      <w:numFmt w:val="bullet"/>
      <w:lvlText w:val=""/>
      <w:lvlJc w:val="left"/>
      <w:pPr>
        <w:tabs>
          <w:tab w:val="num" w:pos="7650"/>
        </w:tabs>
        <w:ind w:left="765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14DC7"/>
    <w:multiLevelType w:val="hybridMultilevel"/>
    <w:tmpl w:val="0612223A"/>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55D92F24"/>
    <w:multiLevelType w:val="hybridMultilevel"/>
    <w:tmpl w:val="C3E23384"/>
    <w:lvl w:ilvl="0" w:tplc="0402000D">
      <w:start w:val="1"/>
      <w:numFmt w:val="bullet"/>
      <w:lvlText w:val=""/>
      <w:lvlJc w:val="left"/>
      <w:pPr>
        <w:ind w:left="225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30" w15:restartNumberingAfterBreak="0">
    <w:nsid w:val="568744DC"/>
    <w:multiLevelType w:val="hybridMultilevel"/>
    <w:tmpl w:val="DB1EB1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15:restartNumberingAfterBreak="0">
    <w:nsid w:val="637F5E06"/>
    <w:multiLevelType w:val="hybridMultilevel"/>
    <w:tmpl w:val="18803A0C"/>
    <w:lvl w:ilvl="0" w:tplc="F934C166">
      <w:numFmt w:val="bullet"/>
      <w:lvlText w:val="-"/>
      <w:lvlJc w:val="left"/>
      <w:pPr>
        <w:ind w:left="898" w:hanging="360"/>
      </w:pPr>
      <w:rPr>
        <w:rFonts w:ascii="Times New Roman" w:eastAsia="Times New Roman" w:hAnsi="Times New Roman" w:cs="Times New Roman" w:hint="default"/>
      </w:rPr>
    </w:lvl>
    <w:lvl w:ilvl="1" w:tplc="04020003" w:tentative="1">
      <w:start w:val="1"/>
      <w:numFmt w:val="bullet"/>
      <w:lvlText w:val="o"/>
      <w:lvlJc w:val="left"/>
      <w:pPr>
        <w:ind w:left="1618" w:hanging="360"/>
      </w:pPr>
      <w:rPr>
        <w:rFonts w:ascii="Courier New" w:hAnsi="Courier New" w:cs="Courier New" w:hint="default"/>
      </w:rPr>
    </w:lvl>
    <w:lvl w:ilvl="2" w:tplc="04020005" w:tentative="1">
      <w:start w:val="1"/>
      <w:numFmt w:val="bullet"/>
      <w:lvlText w:val=""/>
      <w:lvlJc w:val="left"/>
      <w:pPr>
        <w:ind w:left="2338" w:hanging="360"/>
      </w:pPr>
      <w:rPr>
        <w:rFonts w:ascii="Wingdings" w:hAnsi="Wingdings" w:hint="default"/>
      </w:rPr>
    </w:lvl>
    <w:lvl w:ilvl="3" w:tplc="04020001" w:tentative="1">
      <w:start w:val="1"/>
      <w:numFmt w:val="bullet"/>
      <w:lvlText w:val=""/>
      <w:lvlJc w:val="left"/>
      <w:pPr>
        <w:ind w:left="3058" w:hanging="360"/>
      </w:pPr>
      <w:rPr>
        <w:rFonts w:ascii="Symbol" w:hAnsi="Symbol" w:hint="default"/>
      </w:rPr>
    </w:lvl>
    <w:lvl w:ilvl="4" w:tplc="04020003" w:tentative="1">
      <w:start w:val="1"/>
      <w:numFmt w:val="bullet"/>
      <w:lvlText w:val="o"/>
      <w:lvlJc w:val="left"/>
      <w:pPr>
        <w:ind w:left="3778" w:hanging="360"/>
      </w:pPr>
      <w:rPr>
        <w:rFonts w:ascii="Courier New" w:hAnsi="Courier New" w:cs="Courier New" w:hint="default"/>
      </w:rPr>
    </w:lvl>
    <w:lvl w:ilvl="5" w:tplc="04020005" w:tentative="1">
      <w:start w:val="1"/>
      <w:numFmt w:val="bullet"/>
      <w:lvlText w:val=""/>
      <w:lvlJc w:val="left"/>
      <w:pPr>
        <w:ind w:left="4498" w:hanging="360"/>
      </w:pPr>
      <w:rPr>
        <w:rFonts w:ascii="Wingdings" w:hAnsi="Wingdings" w:hint="default"/>
      </w:rPr>
    </w:lvl>
    <w:lvl w:ilvl="6" w:tplc="04020001" w:tentative="1">
      <w:start w:val="1"/>
      <w:numFmt w:val="bullet"/>
      <w:lvlText w:val=""/>
      <w:lvlJc w:val="left"/>
      <w:pPr>
        <w:ind w:left="5218" w:hanging="360"/>
      </w:pPr>
      <w:rPr>
        <w:rFonts w:ascii="Symbol" w:hAnsi="Symbol" w:hint="default"/>
      </w:rPr>
    </w:lvl>
    <w:lvl w:ilvl="7" w:tplc="04020003" w:tentative="1">
      <w:start w:val="1"/>
      <w:numFmt w:val="bullet"/>
      <w:lvlText w:val="o"/>
      <w:lvlJc w:val="left"/>
      <w:pPr>
        <w:ind w:left="5938" w:hanging="360"/>
      </w:pPr>
      <w:rPr>
        <w:rFonts w:ascii="Courier New" w:hAnsi="Courier New" w:cs="Courier New" w:hint="default"/>
      </w:rPr>
    </w:lvl>
    <w:lvl w:ilvl="8" w:tplc="04020005" w:tentative="1">
      <w:start w:val="1"/>
      <w:numFmt w:val="bullet"/>
      <w:lvlText w:val=""/>
      <w:lvlJc w:val="left"/>
      <w:pPr>
        <w:ind w:left="6658" w:hanging="360"/>
      </w:pPr>
      <w:rPr>
        <w:rFonts w:ascii="Wingdings" w:hAnsi="Wingdings" w:hint="default"/>
      </w:rPr>
    </w:lvl>
  </w:abstractNum>
  <w:abstractNum w:abstractNumId="33"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34"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A500E"/>
    <w:multiLevelType w:val="hybridMultilevel"/>
    <w:tmpl w:val="C470860A"/>
    <w:lvl w:ilvl="0" w:tplc="0402000B">
      <w:start w:val="1"/>
      <w:numFmt w:val="bullet"/>
      <w:lvlText w:val=""/>
      <w:lvlJc w:val="left"/>
      <w:pPr>
        <w:tabs>
          <w:tab w:val="num" w:pos="700"/>
        </w:tabs>
        <w:ind w:left="700" w:hanging="360"/>
      </w:pPr>
      <w:rPr>
        <w:rFonts w:ascii="Wingdings" w:hAnsi="Wingdings"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0" w15:restartNumberingAfterBreak="0">
    <w:nsid w:val="6EBF7192"/>
    <w:multiLevelType w:val="hybridMultilevel"/>
    <w:tmpl w:val="7B3C431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78209C"/>
    <w:multiLevelType w:val="hybridMultilevel"/>
    <w:tmpl w:val="5624217C"/>
    <w:lvl w:ilvl="0" w:tplc="CA968970">
      <w:start w:val="43"/>
      <w:numFmt w:val="bullet"/>
      <w:lvlText w:val="-"/>
      <w:lvlJc w:val="left"/>
      <w:pPr>
        <w:ind w:left="1429" w:hanging="360"/>
      </w:pPr>
      <w:rPr>
        <w:rFonts w:ascii="Times New Roman" w:eastAsia="Times New Roman" w:hAnsi="Times New Roman"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43"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4"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9F336A1"/>
    <w:multiLevelType w:val="hybridMultilevel"/>
    <w:tmpl w:val="AF282760"/>
    <w:lvl w:ilvl="0" w:tplc="17CA124E">
      <w:start w:val="1"/>
      <w:numFmt w:val="bullet"/>
      <w:lvlText w:val=""/>
      <w:lvlJc w:val="left"/>
      <w:pPr>
        <w:ind w:left="786"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7"/>
  </w:num>
  <w:num w:numId="4">
    <w:abstractNumId w:val="13"/>
  </w:num>
  <w:num w:numId="5">
    <w:abstractNumId w:val="41"/>
  </w:num>
  <w:num w:numId="6">
    <w:abstractNumId w:val="27"/>
  </w:num>
  <w:num w:numId="7">
    <w:abstractNumId w:val="34"/>
  </w:num>
  <w:num w:numId="8">
    <w:abstractNumId w:val="24"/>
  </w:num>
  <w:num w:numId="9">
    <w:abstractNumId w:val="43"/>
  </w:num>
  <w:num w:numId="10">
    <w:abstractNumId w:val="36"/>
  </w:num>
  <w:num w:numId="11">
    <w:abstractNumId w:val="33"/>
  </w:num>
  <w:num w:numId="12">
    <w:abstractNumId w:val="45"/>
  </w:num>
  <w:num w:numId="13">
    <w:abstractNumId w:val="44"/>
  </w:num>
  <w:num w:numId="14">
    <w:abstractNumId w:val="38"/>
  </w:num>
  <w:num w:numId="15">
    <w:abstractNumId w:val="22"/>
  </w:num>
  <w:num w:numId="16">
    <w:abstractNumId w:val="10"/>
  </w:num>
  <w:num w:numId="17">
    <w:abstractNumId w:val="11"/>
  </w:num>
  <w:num w:numId="18">
    <w:abstractNumId w:val="23"/>
  </w:num>
  <w:num w:numId="19">
    <w:abstractNumId w:val="29"/>
  </w:num>
  <w:num w:numId="20">
    <w:abstractNumId w:val="39"/>
  </w:num>
  <w:num w:numId="21">
    <w:abstractNumId w:val="31"/>
  </w:num>
  <w:num w:numId="22">
    <w:abstractNumId w:val="19"/>
  </w:num>
  <w:num w:numId="23">
    <w:abstractNumId w:val="1"/>
  </w:num>
  <w:num w:numId="24">
    <w:abstractNumId w:val="3"/>
  </w:num>
  <w:num w:numId="25">
    <w:abstractNumId w:val="42"/>
  </w:num>
  <w:num w:numId="26">
    <w:abstractNumId w:val="28"/>
  </w:num>
  <w:num w:numId="27">
    <w:abstractNumId w:val="9"/>
  </w:num>
  <w:num w:numId="28">
    <w:abstractNumId w:val="17"/>
  </w:num>
  <w:num w:numId="29">
    <w:abstractNumId w:val="25"/>
  </w:num>
  <w:num w:numId="30">
    <w:abstractNumId w:val="16"/>
  </w:num>
  <w:num w:numId="31">
    <w:abstractNumId w:val="2"/>
  </w:num>
  <w:num w:numId="32">
    <w:abstractNumId w:val="21"/>
  </w:num>
  <w:num w:numId="33">
    <w:abstractNumId w:val="5"/>
  </w:num>
  <w:num w:numId="34">
    <w:abstractNumId w:val="32"/>
  </w:num>
  <w:num w:numId="35">
    <w:abstractNumId w:val="14"/>
  </w:num>
  <w:num w:numId="36">
    <w:abstractNumId w:val="4"/>
  </w:num>
  <w:num w:numId="37">
    <w:abstractNumId w:val="46"/>
  </w:num>
  <w:num w:numId="38">
    <w:abstractNumId w:val="40"/>
  </w:num>
  <w:num w:numId="39">
    <w:abstractNumId w:val="8"/>
  </w:num>
  <w:num w:numId="40">
    <w:abstractNumId w:val="15"/>
  </w:num>
  <w:num w:numId="41">
    <w:abstractNumId w:val="26"/>
  </w:num>
  <w:num w:numId="42">
    <w:abstractNumId w:val="0"/>
  </w:num>
  <w:num w:numId="43">
    <w:abstractNumId w:val="12"/>
  </w:num>
  <w:num w:numId="44">
    <w:abstractNumId w:val="35"/>
  </w:num>
  <w:num w:numId="45">
    <w:abstractNumId w:val="6"/>
  </w:num>
  <w:num w:numId="46">
    <w:abstractNumId w:val="30"/>
  </w:num>
  <w:num w:numId="4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15"/>
    <w:rsid w:val="0000083C"/>
    <w:rsid w:val="00000EF0"/>
    <w:rsid w:val="00000FE1"/>
    <w:rsid w:val="000010D2"/>
    <w:rsid w:val="00001580"/>
    <w:rsid w:val="000016BE"/>
    <w:rsid w:val="00001ABF"/>
    <w:rsid w:val="00001CF0"/>
    <w:rsid w:val="00002BD7"/>
    <w:rsid w:val="00002D9C"/>
    <w:rsid w:val="00003489"/>
    <w:rsid w:val="00003B52"/>
    <w:rsid w:val="00004264"/>
    <w:rsid w:val="00005544"/>
    <w:rsid w:val="00005A85"/>
    <w:rsid w:val="0000626B"/>
    <w:rsid w:val="000063FC"/>
    <w:rsid w:val="000065C6"/>
    <w:rsid w:val="0000691E"/>
    <w:rsid w:val="00006956"/>
    <w:rsid w:val="00006A56"/>
    <w:rsid w:val="00006EBC"/>
    <w:rsid w:val="00007F94"/>
    <w:rsid w:val="000111D3"/>
    <w:rsid w:val="00011383"/>
    <w:rsid w:val="000119C6"/>
    <w:rsid w:val="000122E0"/>
    <w:rsid w:val="00012431"/>
    <w:rsid w:val="00012533"/>
    <w:rsid w:val="000126AC"/>
    <w:rsid w:val="0001276F"/>
    <w:rsid w:val="00012AE6"/>
    <w:rsid w:val="00012C07"/>
    <w:rsid w:val="0001332F"/>
    <w:rsid w:val="00013357"/>
    <w:rsid w:val="0001356B"/>
    <w:rsid w:val="00013677"/>
    <w:rsid w:val="00013B93"/>
    <w:rsid w:val="00013C59"/>
    <w:rsid w:val="000146EA"/>
    <w:rsid w:val="000148E4"/>
    <w:rsid w:val="000158A2"/>
    <w:rsid w:val="00015C0F"/>
    <w:rsid w:val="00015D5B"/>
    <w:rsid w:val="0001664B"/>
    <w:rsid w:val="00017412"/>
    <w:rsid w:val="000175C7"/>
    <w:rsid w:val="000178CA"/>
    <w:rsid w:val="00017EA1"/>
    <w:rsid w:val="0002050E"/>
    <w:rsid w:val="000215BD"/>
    <w:rsid w:val="00021A5F"/>
    <w:rsid w:val="000221B7"/>
    <w:rsid w:val="00022856"/>
    <w:rsid w:val="000229E1"/>
    <w:rsid w:val="00022CAC"/>
    <w:rsid w:val="00022D9E"/>
    <w:rsid w:val="00023244"/>
    <w:rsid w:val="0002351F"/>
    <w:rsid w:val="00023BF6"/>
    <w:rsid w:val="00023D31"/>
    <w:rsid w:val="00024065"/>
    <w:rsid w:val="0002444B"/>
    <w:rsid w:val="0002477E"/>
    <w:rsid w:val="0002478B"/>
    <w:rsid w:val="000249B9"/>
    <w:rsid w:val="000252F3"/>
    <w:rsid w:val="000256B4"/>
    <w:rsid w:val="00025953"/>
    <w:rsid w:val="000259F6"/>
    <w:rsid w:val="00025F45"/>
    <w:rsid w:val="000262DF"/>
    <w:rsid w:val="00026903"/>
    <w:rsid w:val="0002693A"/>
    <w:rsid w:val="00026AD5"/>
    <w:rsid w:val="00027951"/>
    <w:rsid w:val="00027B74"/>
    <w:rsid w:val="00030353"/>
    <w:rsid w:val="00030658"/>
    <w:rsid w:val="000307D3"/>
    <w:rsid w:val="000311EA"/>
    <w:rsid w:val="00031377"/>
    <w:rsid w:val="00031593"/>
    <w:rsid w:val="00031710"/>
    <w:rsid w:val="000319CB"/>
    <w:rsid w:val="000320C8"/>
    <w:rsid w:val="00032966"/>
    <w:rsid w:val="00032B7F"/>
    <w:rsid w:val="00033525"/>
    <w:rsid w:val="00033590"/>
    <w:rsid w:val="00033ACB"/>
    <w:rsid w:val="000340ED"/>
    <w:rsid w:val="00034135"/>
    <w:rsid w:val="00034396"/>
    <w:rsid w:val="00034FE3"/>
    <w:rsid w:val="0003586B"/>
    <w:rsid w:val="000359FA"/>
    <w:rsid w:val="0003621F"/>
    <w:rsid w:val="000363A8"/>
    <w:rsid w:val="0003685F"/>
    <w:rsid w:val="000369D6"/>
    <w:rsid w:val="00036A1B"/>
    <w:rsid w:val="00037141"/>
    <w:rsid w:val="000377BC"/>
    <w:rsid w:val="000378DC"/>
    <w:rsid w:val="0003798B"/>
    <w:rsid w:val="00040164"/>
    <w:rsid w:val="0004068C"/>
    <w:rsid w:val="000406B2"/>
    <w:rsid w:val="0004080C"/>
    <w:rsid w:val="0004098D"/>
    <w:rsid w:val="00040C20"/>
    <w:rsid w:val="000411D9"/>
    <w:rsid w:val="00041338"/>
    <w:rsid w:val="00042634"/>
    <w:rsid w:val="00042853"/>
    <w:rsid w:val="00042C9E"/>
    <w:rsid w:val="00042E57"/>
    <w:rsid w:val="0004338F"/>
    <w:rsid w:val="000436DD"/>
    <w:rsid w:val="000439F5"/>
    <w:rsid w:val="00043AA0"/>
    <w:rsid w:val="00043AB2"/>
    <w:rsid w:val="00043E35"/>
    <w:rsid w:val="00043E3A"/>
    <w:rsid w:val="00044147"/>
    <w:rsid w:val="00044187"/>
    <w:rsid w:val="0004426E"/>
    <w:rsid w:val="00044273"/>
    <w:rsid w:val="0004481C"/>
    <w:rsid w:val="00045116"/>
    <w:rsid w:val="0004559E"/>
    <w:rsid w:val="00045688"/>
    <w:rsid w:val="000458F0"/>
    <w:rsid w:val="00045B4C"/>
    <w:rsid w:val="000465FC"/>
    <w:rsid w:val="0004753C"/>
    <w:rsid w:val="000500CE"/>
    <w:rsid w:val="000504F4"/>
    <w:rsid w:val="00050557"/>
    <w:rsid w:val="0005066A"/>
    <w:rsid w:val="00050A1B"/>
    <w:rsid w:val="00051E5E"/>
    <w:rsid w:val="00052449"/>
    <w:rsid w:val="00052485"/>
    <w:rsid w:val="0005284D"/>
    <w:rsid w:val="00052B23"/>
    <w:rsid w:val="00052C5C"/>
    <w:rsid w:val="00053B0F"/>
    <w:rsid w:val="00053C71"/>
    <w:rsid w:val="00053D51"/>
    <w:rsid w:val="00054555"/>
    <w:rsid w:val="000546BF"/>
    <w:rsid w:val="000548B8"/>
    <w:rsid w:val="00054CE2"/>
    <w:rsid w:val="00054E02"/>
    <w:rsid w:val="00055007"/>
    <w:rsid w:val="000551E4"/>
    <w:rsid w:val="00055A61"/>
    <w:rsid w:val="00055DD1"/>
    <w:rsid w:val="000561EA"/>
    <w:rsid w:val="00056221"/>
    <w:rsid w:val="00056B58"/>
    <w:rsid w:val="00056D9D"/>
    <w:rsid w:val="0005737D"/>
    <w:rsid w:val="0005756A"/>
    <w:rsid w:val="00057886"/>
    <w:rsid w:val="00060A02"/>
    <w:rsid w:val="00060B42"/>
    <w:rsid w:val="000613BA"/>
    <w:rsid w:val="0006166E"/>
    <w:rsid w:val="00061758"/>
    <w:rsid w:val="000621DE"/>
    <w:rsid w:val="00062315"/>
    <w:rsid w:val="00062A61"/>
    <w:rsid w:val="00062A78"/>
    <w:rsid w:val="00063093"/>
    <w:rsid w:val="00063235"/>
    <w:rsid w:val="00063248"/>
    <w:rsid w:val="00063C56"/>
    <w:rsid w:val="00063CF1"/>
    <w:rsid w:val="00063E15"/>
    <w:rsid w:val="000642B9"/>
    <w:rsid w:val="0006432D"/>
    <w:rsid w:val="00064472"/>
    <w:rsid w:val="0006477A"/>
    <w:rsid w:val="00064AF3"/>
    <w:rsid w:val="00064C44"/>
    <w:rsid w:val="00064E39"/>
    <w:rsid w:val="00064F71"/>
    <w:rsid w:val="00065154"/>
    <w:rsid w:val="0006584F"/>
    <w:rsid w:val="00065A46"/>
    <w:rsid w:val="00065DF8"/>
    <w:rsid w:val="000663D1"/>
    <w:rsid w:val="000666C0"/>
    <w:rsid w:val="000669D8"/>
    <w:rsid w:val="00066EED"/>
    <w:rsid w:val="00067283"/>
    <w:rsid w:val="00067469"/>
    <w:rsid w:val="0006785C"/>
    <w:rsid w:val="0007007C"/>
    <w:rsid w:val="0007047E"/>
    <w:rsid w:val="000709C1"/>
    <w:rsid w:val="00070A97"/>
    <w:rsid w:val="00071C3B"/>
    <w:rsid w:val="00071F12"/>
    <w:rsid w:val="0007251B"/>
    <w:rsid w:val="00072C4F"/>
    <w:rsid w:val="00072D22"/>
    <w:rsid w:val="00073108"/>
    <w:rsid w:val="00073B7F"/>
    <w:rsid w:val="00073DF5"/>
    <w:rsid w:val="00074744"/>
    <w:rsid w:val="00074B7D"/>
    <w:rsid w:val="000751C1"/>
    <w:rsid w:val="00075256"/>
    <w:rsid w:val="0007526B"/>
    <w:rsid w:val="000756FB"/>
    <w:rsid w:val="000768B3"/>
    <w:rsid w:val="00076B59"/>
    <w:rsid w:val="000801C8"/>
    <w:rsid w:val="00080AB2"/>
    <w:rsid w:val="00080EF5"/>
    <w:rsid w:val="0008155D"/>
    <w:rsid w:val="0008165A"/>
    <w:rsid w:val="000819F9"/>
    <w:rsid w:val="00081AFD"/>
    <w:rsid w:val="00082392"/>
    <w:rsid w:val="00082679"/>
    <w:rsid w:val="000827A4"/>
    <w:rsid w:val="000829EB"/>
    <w:rsid w:val="00082A1E"/>
    <w:rsid w:val="00082BD9"/>
    <w:rsid w:val="00082F40"/>
    <w:rsid w:val="0008327E"/>
    <w:rsid w:val="000832E5"/>
    <w:rsid w:val="000833A2"/>
    <w:rsid w:val="0008357F"/>
    <w:rsid w:val="00083E2F"/>
    <w:rsid w:val="000853B1"/>
    <w:rsid w:val="00085704"/>
    <w:rsid w:val="00085734"/>
    <w:rsid w:val="00085B96"/>
    <w:rsid w:val="00085E01"/>
    <w:rsid w:val="00085E1A"/>
    <w:rsid w:val="00086A8E"/>
    <w:rsid w:val="00086FA7"/>
    <w:rsid w:val="00087295"/>
    <w:rsid w:val="0008745A"/>
    <w:rsid w:val="000878C4"/>
    <w:rsid w:val="00087924"/>
    <w:rsid w:val="00087ED6"/>
    <w:rsid w:val="0009002F"/>
    <w:rsid w:val="000900E3"/>
    <w:rsid w:val="000901EA"/>
    <w:rsid w:val="000902B5"/>
    <w:rsid w:val="00090D1D"/>
    <w:rsid w:val="00091196"/>
    <w:rsid w:val="00091BCE"/>
    <w:rsid w:val="000931C8"/>
    <w:rsid w:val="000937AB"/>
    <w:rsid w:val="000937E0"/>
    <w:rsid w:val="00093C24"/>
    <w:rsid w:val="00093CFC"/>
    <w:rsid w:val="00093F6F"/>
    <w:rsid w:val="000943E4"/>
    <w:rsid w:val="000949D3"/>
    <w:rsid w:val="00094A6C"/>
    <w:rsid w:val="00094A78"/>
    <w:rsid w:val="00095164"/>
    <w:rsid w:val="0009519B"/>
    <w:rsid w:val="0009594D"/>
    <w:rsid w:val="000959DC"/>
    <w:rsid w:val="00095CA2"/>
    <w:rsid w:val="00095EF0"/>
    <w:rsid w:val="0009649D"/>
    <w:rsid w:val="0009743A"/>
    <w:rsid w:val="00097C52"/>
    <w:rsid w:val="000A052A"/>
    <w:rsid w:val="000A09BA"/>
    <w:rsid w:val="000A10E1"/>
    <w:rsid w:val="000A301B"/>
    <w:rsid w:val="000A3426"/>
    <w:rsid w:val="000A3F57"/>
    <w:rsid w:val="000A4432"/>
    <w:rsid w:val="000A5397"/>
    <w:rsid w:val="000A5B32"/>
    <w:rsid w:val="000A6E4D"/>
    <w:rsid w:val="000A7446"/>
    <w:rsid w:val="000A7841"/>
    <w:rsid w:val="000B0616"/>
    <w:rsid w:val="000B0815"/>
    <w:rsid w:val="000B09E5"/>
    <w:rsid w:val="000B0BED"/>
    <w:rsid w:val="000B0CE6"/>
    <w:rsid w:val="000B11FB"/>
    <w:rsid w:val="000B175F"/>
    <w:rsid w:val="000B1A24"/>
    <w:rsid w:val="000B1E59"/>
    <w:rsid w:val="000B25CC"/>
    <w:rsid w:val="000B2CBE"/>
    <w:rsid w:val="000B330C"/>
    <w:rsid w:val="000B460F"/>
    <w:rsid w:val="000B474D"/>
    <w:rsid w:val="000B49EE"/>
    <w:rsid w:val="000B511E"/>
    <w:rsid w:val="000B5123"/>
    <w:rsid w:val="000B52FA"/>
    <w:rsid w:val="000B5F1E"/>
    <w:rsid w:val="000B62C7"/>
    <w:rsid w:val="000B64BA"/>
    <w:rsid w:val="000B67EA"/>
    <w:rsid w:val="000B6D3A"/>
    <w:rsid w:val="000B7234"/>
    <w:rsid w:val="000B7447"/>
    <w:rsid w:val="000B75C1"/>
    <w:rsid w:val="000B7C4F"/>
    <w:rsid w:val="000B7E66"/>
    <w:rsid w:val="000C019B"/>
    <w:rsid w:val="000C06FE"/>
    <w:rsid w:val="000C0A44"/>
    <w:rsid w:val="000C0FA1"/>
    <w:rsid w:val="000C13A5"/>
    <w:rsid w:val="000C244E"/>
    <w:rsid w:val="000C2FAC"/>
    <w:rsid w:val="000C3451"/>
    <w:rsid w:val="000C3D73"/>
    <w:rsid w:val="000C4760"/>
    <w:rsid w:val="000C4CBB"/>
    <w:rsid w:val="000C56B9"/>
    <w:rsid w:val="000C5ACF"/>
    <w:rsid w:val="000C5C6D"/>
    <w:rsid w:val="000C6079"/>
    <w:rsid w:val="000C6742"/>
    <w:rsid w:val="000C69AE"/>
    <w:rsid w:val="000C6CB5"/>
    <w:rsid w:val="000C6CF3"/>
    <w:rsid w:val="000C6EFE"/>
    <w:rsid w:val="000C72DC"/>
    <w:rsid w:val="000C7303"/>
    <w:rsid w:val="000C736E"/>
    <w:rsid w:val="000C75A5"/>
    <w:rsid w:val="000C75DD"/>
    <w:rsid w:val="000C773E"/>
    <w:rsid w:val="000C7BB6"/>
    <w:rsid w:val="000D01A6"/>
    <w:rsid w:val="000D0538"/>
    <w:rsid w:val="000D06A6"/>
    <w:rsid w:val="000D0AB1"/>
    <w:rsid w:val="000D0EA5"/>
    <w:rsid w:val="000D13E1"/>
    <w:rsid w:val="000D23F8"/>
    <w:rsid w:val="000D2516"/>
    <w:rsid w:val="000D26D5"/>
    <w:rsid w:val="000D2B33"/>
    <w:rsid w:val="000D2BE7"/>
    <w:rsid w:val="000D3407"/>
    <w:rsid w:val="000D3942"/>
    <w:rsid w:val="000D3FA7"/>
    <w:rsid w:val="000D4203"/>
    <w:rsid w:val="000D46FD"/>
    <w:rsid w:val="000D46FF"/>
    <w:rsid w:val="000D49F5"/>
    <w:rsid w:val="000D4BEB"/>
    <w:rsid w:val="000D4CF8"/>
    <w:rsid w:val="000D5449"/>
    <w:rsid w:val="000D5722"/>
    <w:rsid w:val="000D5EE2"/>
    <w:rsid w:val="000D6D92"/>
    <w:rsid w:val="000D6FB5"/>
    <w:rsid w:val="000D725A"/>
    <w:rsid w:val="000D740D"/>
    <w:rsid w:val="000D78E4"/>
    <w:rsid w:val="000D7B46"/>
    <w:rsid w:val="000E0B42"/>
    <w:rsid w:val="000E0EBA"/>
    <w:rsid w:val="000E0EE9"/>
    <w:rsid w:val="000E1529"/>
    <w:rsid w:val="000E1EAF"/>
    <w:rsid w:val="000E1FB5"/>
    <w:rsid w:val="000E2207"/>
    <w:rsid w:val="000E234B"/>
    <w:rsid w:val="000E2869"/>
    <w:rsid w:val="000E2894"/>
    <w:rsid w:val="000E2B21"/>
    <w:rsid w:val="000E2BF2"/>
    <w:rsid w:val="000E32DC"/>
    <w:rsid w:val="000E39DF"/>
    <w:rsid w:val="000E3BA7"/>
    <w:rsid w:val="000E3CDC"/>
    <w:rsid w:val="000E3DA0"/>
    <w:rsid w:val="000E4599"/>
    <w:rsid w:val="000E4CFE"/>
    <w:rsid w:val="000E4EB4"/>
    <w:rsid w:val="000E5205"/>
    <w:rsid w:val="000E5295"/>
    <w:rsid w:val="000E5483"/>
    <w:rsid w:val="000E5EE9"/>
    <w:rsid w:val="000E632B"/>
    <w:rsid w:val="000E6968"/>
    <w:rsid w:val="000E69D1"/>
    <w:rsid w:val="000E76B3"/>
    <w:rsid w:val="000E773D"/>
    <w:rsid w:val="000F04F4"/>
    <w:rsid w:val="000F0BD7"/>
    <w:rsid w:val="000F1488"/>
    <w:rsid w:val="000F1EB1"/>
    <w:rsid w:val="000F21FC"/>
    <w:rsid w:val="000F26DE"/>
    <w:rsid w:val="000F32E9"/>
    <w:rsid w:val="000F3534"/>
    <w:rsid w:val="000F3A6E"/>
    <w:rsid w:val="000F3EA1"/>
    <w:rsid w:val="000F4571"/>
    <w:rsid w:val="000F47A8"/>
    <w:rsid w:val="000F4AE4"/>
    <w:rsid w:val="000F4DCA"/>
    <w:rsid w:val="000F5080"/>
    <w:rsid w:val="000F57CC"/>
    <w:rsid w:val="000F5EC6"/>
    <w:rsid w:val="000F5EF4"/>
    <w:rsid w:val="000F5F76"/>
    <w:rsid w:val="000F68AF"/>
    <w:rsid w:val="000F6975"/>
    <w:rsid w:val="000F6B35"/>
    <w:rsid w:val="0010026D"/>
    <w:rsid w:val="0010055E"/>
    <w:rsid w:val="001006E1"/>
    <w:rsid w:val="00100931"/>
    <w:rsid w:val="00100CE5"/>
    <w:rsid w:val="00100D97"/>
    <w:rsid w:val="001011A4"/>
    <w:rsid w:val="00101301"/>
    <w:rsid w:val="001017B7"/>
    <w:rsid w:val="00101B1C"/>
    <w:rsid w:val="00101D61"/>
    <w:rsid w:val="0010212B"/>
    <w:rsid w:val="00102523"/>
    <w:rsid w:val="0010261A"/>
    <w:rsid w:val="00102869"/>
    <w:rsid w:val="001028F7"/>
    <w:rsid w:val="00102BA6"/>
    <w:rsid w:val="001030F0"/>
    <w:rsid w:val="0010358B"/>
    <w:rsid w:val="00103BC3"/>
    <w:rsid w:val="0010424C"/>
    <w:rsid w:val="00104331"/>
    <w:rsid w:val="001046B0"/>
    <w:rsid w:val="00104BB5"/>
    <w:rsid w:val="00104ED0"/>
    <w:rsid w:val="0010539A"/>
    <w:rsid w:val="001053A6"/>
    <w:rsid w:val="00105B38"/>
    <w:rsid w:val="00106009"/>
    <w:rsid w:val="00106081"/>
    <w:rsid w:val="001060C0"/>
    <w:rsid w:val="0010649F"/>
    <w:rsid w:val="0010683E"/>
    <w:rsid w:val="00106E64"/>
    <w:rsid w:val="00107065"/>
    <w:rsid w:val="00107258"/>
    <w:rsid w:val="0010743D"/>
    <w:rsid w:val="00107498"/>
    <w:rsid w:val="001077FA"/>
    <w:rsid w:val="00107C9F"/>
    <w:rsid w:val="00107F93"/>
    <w:rsid w:val="00110E74"/>
    <w:rsid w:val="0011137B"/>
    <w:rsid w:val="0011244D"/>
    <w:rsid w:val="00112882"/>
    <w:rsid w:val="00112CAC"/>
    <w:rsid w:val="00112E96"/>
    <w:rsid w:val="00113FD8"/>
    <w:rsid w:val="00114D25"/>
    <w:rsid w:val="00114D27"/>
    <w:rsid w:val="00114DE5"/>
    <w:rsid w:val="00116AF1"/>
    <w:rsid w:val="00116D77"/>
    <w:rsid w:val="00117280"/>
    <w:rsid w:val="001173BA"/>
    <w:rsid w:val="001179C1"/>
    <w:rsid w:val="00117A49"/>
    <w:rsid w:val="00117C68"/>
    <w:rsid w:val="00117CA6"/>
    <w:rsid w:val="001202E6"/>
    <w:rsid w:val="00120BC1"/>
    <w:rsid w:val="00120CC7"/>
    <w:rsid w:val="00120DB2"/>
    <w:rsid w:val="00121946"/>
    <w:rsid w:val="00122BBB"/>
    <w:rsid w:val="00122F3A"/>
    <w:rsid w:val="00122FCA"/>
    <w:rsid w:val="00123862"/>
    <w:rsid w:val="00123B59"/>
    <w:rsid w:val="00123CED"/>
    <w:rsid w:val="00123E2A"/>
    <w:rsid w:val="00124548"/>
    <w:rsid w:val="00124777"/>
    <w:rsid w:val="00124FAC"/>
    <w:rsid w:val="00124FB9"/>
    <w:rsid w:val="00125B7A"/>
    <w:rsid w:val="001260AA"/>
    <w:rsid w:val="001264C3"/>
    <w:rsid w:val="00126707"/>
    <w:rsid w:val="00126805"/>
    <w:rsid w:val="001269AE"/>
    <w:rsid w:val="00127D25"/>
    <w:rsid w:val="001301B6"/>
    <w:rsid w:val="001305A6"/>
    <w:rsid w:val="00131B05"/>
    <w:rsid w:val="00132423"/>
    <w:rsid w:val="00132AD1"/>
    <w:rsid w:val="00132CE0"/>
    <w:rsid w:val="00133013"/>
    <w:rsid w:val="00133033"/>
    <w:rsid w:val="0013308F"/>
    <w:rsid w:val="00133183"/>
    <w:rsid w:val="00133478"/>
    <w:rsid w:val="00133644"/>
    <w:rsid w:val="001342F2"/>
    <w:rsid w:val="0013522E"/>
    <w:rsid w:val="0013588C"/>
    <w:rsid w:val="00135A23"/>
    <w:rsid w:val="00135E92"/>
    <w:rsid w:val="001366E5"/>
    <w:rsid w:val="00136893"/>
    <w:rsid w:val="00136C08"/>
    <w:rsid w:val="00136DA4"/>
    <w:rsid w:val="001371FA"/>
    <w:rsid w:val="0013776C"/>
    <w:rsid w:val="001400F3"/>
    <w:rsid w:val="00140533"/>
    <w:rsid w:val="00140F18"/>
    <w:rsid w:val="00140F61"/>
    <w:rsid w:val="0014108F"/>
    <w:rsid w:val="00141B03"/>
    <w:rsid w:val="001423F5"/>
    <w:rsid w:val="00142979"/>
    <w:rsid w:val="00142ABD"/>
    <w:rsid w:val="00142EDB"/>
    <w:rsid w:val="00142FD3"/>
    <w:rsid w:val="00143002"/>
    <w:rsid w:val="001434EA"/>
    <w:rsid w:val="00143814"/>
    <w:rsid w:val="001445AC"/>
    <w:rsid w:val="00144B67"/>
    <w:rsid w:val="00144BF2"/>
    <w:rsid w:val="0014585D"/>
    <w:rsid w:val="00145944"/>
    <w:rsid w:val="00145AD1"/>
    <w:rsid w:val="001462A0"/>
    <w:rsid w:val="00146314"/>
    <w:rsid w:val="001466F3"/>
    <w:rsid w:val="00146C11"/>
    <w:rsid w:val="00147195"/>
    <w:rsid w:val="00150706"/>
    <w:rsid w:val="00150793"/>
    <w:rsid w:val="00150D38"/>
    <w:rsid w:val="00151260"/>
    <w:rsid w:val="001514CB"/>
    <w:rsid w:val="00151757"/>
    <w:rsid w:val="00152672"/>
    <w:rsid w:val="001528EE"/>
    <w:rsid w:val="00152B9C"/>
    <w:rsid w:val="00153077"/>
    <w:rsid w:val="001535F3"/>
    <w:rsid w:val="00153C68"/>
    <w:rsid w:val="00153CA6"/>
    <w:rsid w:val="00153DF3"/>
    <w:rsid w:val="00154247"/>
    <w:rsid w:val="001543D7"/>
    <w:rsid w:val="00154B29"/>
    <w:rsid w:val="00154C95"/>
    <w:rsid w:val="00154DE5"/>
    <w:rsid w:val="00154FA1"/>
    <w:rsid w:val="00155948"/>
    <w:rsid w:val="00155B06"/>
    <w:rsid w:val="00156356"/>
    <w:rsid w:val="00156A3B"/>
    <w:rsid w:val="00156B18"/>
    <w:rsid w:val="00156F40"/>
    <w:rsid w:val="00157673"/>
    <w:rsid w:val="00157743"/>
    <w:rsid w:val="00157B70"/>
    <w:rsid w:val="00157EC4"/>
    <w:rsid w:val="00157EF5"/>
    <w:rsid w:val="0016023C"/>
    <w:rsid w:val="001606A4"/>
    <w:rsid w:val="00160A10"/>
    <w:rsid w:val="00160C5B"/>
    <w:rsid w:val="00160EC6"/>
    <w:rsid w:val="0016116C"/>
    <w:rsid w:val="0016122A"/>
    <w:rsid w:val="0016140B"/>
    <w:rsid w:val="00161F90"/>
    <w:rsid w:val="001623A2"/>
    <w:rsid w:val="00162F31"/>
    <w:rsid w:val="00162F68"/>
    <w:rsid w:val="00163645"/>
    <w:rsid w:val="00164220"/>
    <w:rsid w:val="001643F8"/>
    <w:rsid w:val="0016452C"/>
    <w:rsid w:val="001647E9"/>
    <w:rsid w:val="00164961"/>
    <w:rsid w:val="00164FAD"/>
    <w:rsid w:val="0016560A"/>
    <w:rsid w:val="00165DB5"/>
    <w:rsid w:val="00165FF0"/>
    <w:rsid w:val="00166023"/>
    <w:rsid w:val="001663F9"/>
    <w:rsid w:val="001668BD"/>
    <w:rsid w:val="001671E2"/>
    <w:rsid w:val="0017086C"/>
    <w:rsid w:val="00170EFE"/>
    <w:rsid w:val="00171333"/>
    <w:rsid w:val="00171F8E"/>
    <w:rsid w:val="0017216E"/>
    <w:rsid w:val="001721EA"/>
    <w:rsid w:val="0017261A"/>
    <w:rsid w:val="0017293F"/>
    <w:rsid w:val="00172AEE"/>
    <w:rsid w:val="00173987"/>
    <w:rsid w:val="00173C2D"/>
    <w:rsid w:val="00174441"/>
    <w:rsid w:val="0017483F"/>
    <w:rsid w:val="00174C24"/>
    <w:rsid w:val="0017545F"/>
    <w:rsid w:val="00175494"/>
    <w:rsid w:val="00175539"/>
    <w:rsid w:val="00175890"/>
    <w:rsid w:val="00175A73"/>
    <w:rsid w:val="00175E50"/>
    <w:rsid w:val="00176340"/>
    <w:rsid w:val="00176403"/>
    <w:rsid w:val="00176AE7"/>
    <w:rsid w:val="00176CB6"/>
    <w:rsid w:val="00176E98"/>
    <w:rsid w:val="00177307"/>
    <w:rsid w:val="0018058D"/>
    <w:rsid w:val="00180811"/>
    <w:rsid w:val="001808E6"/>
    <w:rsid w:val="00180AEF"/>
    <w:rsid w:val="0018154E"/>
    <w:rsid w:val="00181857"/>
    <w:rsid w:val="00181E4B"/>
    <w:rsid w:val="00181FCA"/>
    <w:rsid w:val="001820C4"/>
    <w:rsid w:val="001824F0"/>
    <w:rsid w:val="001827BB"/>
    <w:rsid w:val="00182A2B"/>
    <w:rsid w:val="00182A94"/>
    <w:rsid w:val="00182C1A"/>
    <w:rsid w:val="00182D63"/>
    <w:rsid w:val="00182F27"/>
    <w:rsid w:val="00183392"/>
    <w:rsid w:val="0018398A"/>
    <w:rsid w:val="00183D5F"/>
    <w:rsid w:val="00183EA5"/>
    <w:rsid w:val="00183FAF"/>
    <w:rsid w:val="00184091"/>
    <w:rsid w:val="00184502"/>
    <w:rsid w:val="0018452B"/>
    <w:rsid w:val="001845D5"/>
    <w:rsid w:val="001846D1"/>
    <w:rsid w:val="00184DF2"/>
    <w:rsid w:val="001850C5"/>
    <w:rsid w:val="0018526D"/>
    <w:rsid w:val="001858CD"/>
    <w:rsid w:val="00185A12"/>
    <w:rsid w:val="00185BF6"/>
    <w:rsid w:val="00185D08"/>
    <w:rsid w:val="00186536"/>
    <w:rsid w:val="001869BB"/>
    <w:rsid w:val="00186C81"/>
    <w:rsid w:val="00186DF9"/>
    <w:rsid w:val="00187AC9"/>
    <w:rsid w:val="00187C31"/>
    <w:rsid w:val="00190983"/>
    <w:rsid w:val="0019151C"/>
    <w:rsid w:val="00191AA6"/>
    <w:rsid w:val="00191AB6"/>
    <w:rsid w:val="00191B55"/>
    <w:rsid w:val="00191EC8"/>
    <w:rsid w:val="00191F79"/>
    <w:rsid w:val="0019213B"/>
    <w:rsid w:val="0019232E"/>
    <w:rsid w:val="0019239F"/>
    <w:rsid w:val="001924F6"/>
    <w:rsid w:val="00192CDB"/>
    <w:rsid w:val="00192F6E"/>
    <w:rsid w:val="00193D9B"/>
    <w:rsid w:val="00193F20"/>
    <w:rsid w:val="0019413C"/>
    <w:rsid w:val="001941E4"/>
    <w:rsid w:val="001948CF"/>
    <w:rsid w:val="00194AF7"/>
    <w:rsid w:val="00194C1F"/>
    <w:rsid w:val="001953AC"/>
    <w:rsid w:val="00195517"/>
    <w:rsid w:val="00195B15"/>
    <w:rsid w:val="00195BE8"/>
    <w:rsid w:val="00195CF2"/>
    <w:rsid w:val="00195E11"/>
    <w:rsid w:val="00195F99"/>
    <w:rsid w:val="00195FB3"/>
    <w:rsid w:val="001965AA"/>
    <w:rsid w:val="0019667B"/>
    <w:rsid w:val="001968E4"/>
    <w:rsid w:val="001971AE"/>
    <w:rsid w:val="00197278"/>
    <w:rsid w:val="00197392"/>
    <w:rsid w:val="00197764"/>
    <w:rsid w:val="00197EC3"/>
    <w:rsid w:val="00197FB1"/>
    <w:rsid w:val="001A0601"/>
    <w:rsid w:val="001A0BB0"/>
    <w:rsid w:val="001A1837"/>
    <w:rsid w:val="001A1C51"/>
    <w:rsid w:val="001A236F"/>
    <w:rsid w:val="001A28BA"/>
    <w:rsid w:val="001A3051"/>
    <w:rsid w:val="001A314B"/>
    <w:rsid w:val="001A3387"/>
    <w:rsid w:val="001A4493"/>
    <w:rsid w:val="001A4589"/>
    <w:rsid w:val="001A5350"/>
    <w:rsid w:val="001A5398"/>
    <w:rsid w:val="001A5553"/>
    <w:rsid w:val="001A59AF"/>
    <w:rsid w:val="001A6777"/>
    <w:rsid w:val="001A6D21"/>
    <w:rsid w:val="001A718A"/>
    <w:rsid w:val="001A718F"/>
    <w:rsid w:val="001A75B9"/>
    <w:rsid w:val="001A7DC2"/>
    <w:rsid w:val="001B09A8"/>
    <w:rsid w:val="001B0A90"/>
    <w:rsid w:val="001B18C3"/>
    <w:rsid w:val="001B1C70"/>
    <w:rsid w:val="001B20E4"/>
    <w:rsid w:val="001B2D1F"/>
    <w:rsid w:val="001B2FCD"/>
    <w:rsid w:val="001B3285"/>
    <w:rsid w:val="001B370A"/>
    <w:rsid w:val="001B39DD"/>
    <w:rsid w:val="001B3BA9"/>
    <w:rsid w:val="001B3E1C"/>
    <w:rsid w:val="001B4165"/>
    <w:rsid w:val="001B427B"/>
    <w:rsid w:val="001B44DB"/>
    <w:rsid w:val="001B4640"/>
    <w:rsid w:val="001B5EA6"/>
    <w:rsid w:val="001B6203"/>
    <w:rsid w:val="001B6785"/>
    <w:rsid w:val="001B7112"/>
    <w:rsid w:val="001B72FB"/>
    <w:rsid w:val="001C0277"/>
    <w:rsid w:val="001C0F05"/>
    <w:rsid w:val="001C110F"/>
    <w:rsid w:val="001C129D"/>
    <w:rsid w:val="001C15B0"/>
    <w:rsid w:val="001C1A52"/>
    <w:rsid w:val="001C239A"/>
    <w:rsid w:val="001C2EE5"/>
    <w:rsid w:val="001C395A"/>
    <w:rsid w:val="001C3A25"/>
    <w:rsid w:val="001C486C"/>
    <w:rsid w:val="001C4B35"/>
    <w:rsid w:val="001C4CCF"/>
    <w:rsid w:val="001C501A"/>
    <w:rsid w:val="001C54B8"/>
    <w:rsid w:val="001C5CC2"/>
    <w:rsid w:val="001C61DB"/>
    <w:rsid w:val="001C6573"/>
    <w:rsid w:val="001C6BA6"/>
    <w:rsid w:val="001C726D"/>
    <w:rsid w:val="001C78CA"/>
    <w:rsid w:val="001D01FB"/>
    <w:rsid w:val="001D0221"/>
    <w:rsid w:val="001D03BA"/>
    <w:rsid w:val="001D13AD"/>
    <w:rsid w:val="001D15E5"/>
    <w:rsid w:val="001D2381"/>
    <w:rsid w:val="001D29EA"/>
    <w:rsid w:val="001D2AFB"/>
    <w:rsid w:val="001D2CE9"/>
    <w:rsid w:val="001D34AF"/>
    <w:rsid w:val="001D3E63"/>
    <w:rsid w:val="001D40DA"/>
    <w:rsid w:val="001D419F"/>
    <w:rsid w:val="001D43D0"/>
    <w:rsid w:val="001D516B"/>
    <w:rsid w:val="001D5A4E"/>
    <w:rsid w:val="001D5C57"/>
    <w:rsid w:val="001D5D9A"/>
    <w:rsid w:val="001D6081"/>
    <w:rsid w:val="001D6B29"/>
    <w:rsid w:val="001D6F2E"/>
    <w:rsid w:val="001D71BC"/>
    <w:rsid w:val="001D7346"/>
    <w:rsid w:val="001D755A"/>
    <w:rsid w:val="001E0367"/>
    <w:rsid w:val="001E094C"/>
    <w:rsid w:val="001E0FF6"/>
    <w:rsid w:val="001E11E2"/>
    <w:rsid w:val="001E11F6"/>
    <w:rsid w:val="001E1857"/>
    <w:rsid w:val="001E2231"/>
    <w:rsid w:val="001E27FB"/>
    <w:rsid w:val="001E2B1A"/>
    <w:rsid w:val="001E2FB8"/>
    <w:rsid w:val="001E3485"/>
    <w:rsid w:val="001E373E"/>
    <w:rsid w:val="001E3753"/>
    <w:rsid w:val="001E383E"/>
    <w:rsid w:val="001E4011"/>
    <w:rsid w:val="001E4060"/>
    <w:rsid w:val="001E4456"/>
    <w:rsid w:val="001E44C8"/>
    <w:rsid w:val="001E4518"/>
    <w:rsid w:val="001E467A"/>
    <w:rsid w:val="001E4E88"/>
    <w:rsid w:val="001E4FFF"/>
    <w:rsid w:val="001E5281"/>
    <w:rsid w:val="001E5747"/>
    <w:rsid w:val="001E5BEE"/>
    <w:rsid w:val="001E619D"/>
    <w:rsid w:val="001E6889"/>
    <w:rsid w:val="001E68EE"/>
    <w:rsid w:val="001E751C"/>
    <w:rsid w:val="001E77C4"/>
    <w:rsid w:val="001E7EA4"/>
    <w:rsid w:val="001F00B7"/>
    <w:rsid w:val="001F0187"/>
    <w:rsid w:val="001F1092"/>
    <w:rsid w:val="001F18AA"/>
    <w:rsid w:val="001F1E88"/>
    <w:rsid w:val="001F200A"/>
    <w:rsid w:val="001F2337"/>
    <w:rsid w:val="001F2FB5"/>
    <w:rsid w:val="001F367C"/>
    <w:rsid w:val="001F4EB9"/>
    <w:rsid w:val="001F4FD4"/>
    <w:rsid w:val="001F4FDB"/>
    <w:rsid w:val="001F540A"/>
    <w:rsid w:val="001F58AB"/>
    <w:rsid w:val="001F5D2F"/>
    <w:rsid w:val="001F5E20"/>
    <w:rsid w:val="001F5FA3"/>
    <w:rsid w:val="001F60AC"/>
    <w:rsid w:val="001F66D5"/>
    <w:rsid w:val="001F6E1E"/>
    <w:rsid w:val="001F6F0C"/>
    <w:rsid w:val="001F73E9"/>
    <w:rsid w:val="001F74B9"/>
    <w:rsid w:val="001F7F82"/>
    <w:rsid w:val="002002AA"/>
    <w:rsid w:val="002003C3"/>
    <w:rsid w:val="00200D50"/>
    <w:rsid w:val="002019D1"/>
    <w:rsid w:val="00201E8F"/>
    <w:rsid w:val="00201ED1"/>
    <w:rsid w:val="00201FFF"/>
    <w:rsid w:val="002023B3"/>
    <w:rsid w:val="00202A8B"/>
    <w:rsid w:val="00202CDB"/>
    <w:rsid w:val="00203052"/>
    <w:rsid w:val="0020342F"/>
    <w:rsid w:val="002034CC"/>
    <w:rsid w:val="00203D9B"/>
    <w:rsid w:val="00204381"/>
    <w:rsid w:val="002045FE"/>
    <w:rsid w:val="0020469B"/>
    <w:rsid w:val="00204779"/>
    <w:rsid w:val="00204799"/>
    <w:rsid w:val="00204B8D"/>
    <w:rsid w:val="00204EBE"/>
    <w:rsid w:val="00205131"/>
    <w:rsid w:val="002051EA"/>
    <w:rsid w:val="00205B05"/>
    <w:rsid w:val="002060C2"/>
    <w:rsid w:val="00206D91"/>
    <w:rsid w:val="0020765F"/>
    <w:rsid w:val="00207674"/>
    <w:rsid w:val="002076D5"/>
    <w:rsid w:val="00207C9E"/>
    <w:rsid w:val="00210B8A"/>
    <w:rsid w:val="002111F3"/>
    <w:rsid w:val="002117F4"/>
    <w:rsid w:val="002118E8"/>
    <w:rsid w:val="00212024"/>
    <w:rsid w:val="00212116"/>
    <w:rsid w:val="00212798"/>
    <w:rsid w:val="00213180"/>
    <w:rsid w:val="002136EF"/>
    <w:rsid w:val="00213A5A"/>
    <w:rsid w:val="00213D58"/>
    <w:rsid w:val="00213EB4"/>
    <w:rsid w:val="002142CA"/>
    <w:rsid w:val="0021481A"/>
    <w:rsid w:val="00214D1A"/>
    <w:rsid w:val="00214EEA"/>
    <w:rsid w:val="00214FBE"/>
    <w:rsid w:val="00215254"/>
    <w:rsid w:val="00215ADA"/>
    <w:rsid w:val="00216326"/>
    <w:rsid w:val="00216648"/>
    <w:rsid w:val="00216651"/>
    <w:rsid w:val="0021671E"/>
    <w:rsid w:val="00216AAD"/>
    <w:rsid w:val="00216C9A"/>
    <w:rsid w:val="00216D51"/>
    <w:rsid w:val="00217096"/>
    <w:rsid w:val="00217C7A"/>
    <w:rsid w:val="00217E93"/>
    <w:rsid w:val="00217FC2"/>
    <w:rsid w:val="00220265"/>
    <w:rsid w:val="0022027B"/>
    <w:rsid w:val="00220699"/>
    <w:rsid w:val="00220CF8"/>
    <w:rsid w:val="00220D8D"/>
    <w:rsid w:val="0022151A"/>
    <w:rsid w:val="002215FD"/>
    <w:rsid w:val="002216C7"/>
    <w:rsid w:val="00221E48"/>
    <w:rsid w:val="00222173"/>
    <w:rsid w:val="00222228"/>
    <w:rsid w:val="00222370"/>
    <w:rsid w:val="00222CBD"/>
    <w:rsid w:val="00223892"/>
    <w:rsid w:val="00223940"/>
    <w:rsid w:val="00223C1B"/>
    <w:rsid w:val="00223F09"/>
    <w:rsid w:val="002245C8"/>
    <w:rsid w:val="0022465E"/>
    <w:rsid w:val="00224A58"/>
    <w:rsid w:val="00225164"/>
    <w:rsid w:val="00225168"/>
    <w:rsid w:val="0023041D"/>
    <w:rsid w:val="00231057"/>
    <w:rsid w:val="00231363"/>
    <w:rsid w:val="00231385"/>
    <w:rsid w:val="002316E9"/>
    <w:rsid w:val="0023269D"/>
    <w:rsid w:val="002326C1"/>
    <w:rsid w:val="00232A8A"/>
    <w:rsid w:val="00233032"/>
    <w:rsid w:val="002332F7"/>
    <w:rsid w:val="00233986"/>
    <w:rsid w:val="00233D50"/>
    <w:rsid w:val="00234372"/>
    <w:rsid w:val="002346A5"/>
    <w:rsid w:val="002346FD"/>
    <w:rsid w:val="00234798"/>
    <w:rsid w:val="00236146"/>
    <w:rsid w:val="00240C3D"/>
    <w:rsid w:val="00240D9B"/>
    <w:rsid w:val="002413A5"/>
    <w:rsid w:val="00241466"/>
    <w:rsid w:val="00241F56"/>
    <w:rsid w:val="002421FC"/>
    <w:rsid w:val="00242676"/>
    <w:rsid w:val="002433B0"/>
    <w:rsid w:val="00243641"/>
    <w:rsid w:val="002438DE"/>
    <w:rsid w:val="00243BE3"/>
    <w:rsid w:val="0024415B"/>
    <w:rsid w:val="00244642"/>
    <w:rsid w:val="00244D15"/>
    <w:rsid w:val="00244E1B"/>
    <w:rsid w:val="00245445"/>
    <w:rsid w:val="00245474"/>
    <w:rsid w:val="002462FC"/>
    <w:rsid w:val="00246417"/>
    <w:rsid w:val="00246916"/>
    <w:rsid w:val="00247270"/>
    <w:rsid w:val="0024752F"/>
    <w:rsid w:val="00247C3E"/>
    <w:rsid w:val="002500E6"/>
    <w:rsid w:val="00250178"/>
    <w:rsid w:val="00250302"/>
    <w:rsid w:val="002503BA"/>
    <w:rsid w:val="002509DA"/>
    <w:rsid w:val="00251005"/>
    <w:rsid w:val="0025173F"/>
    <w:rsid w:val="00251963"/>
    <w:rsid w:val="00251F57"/>
    <w:rsid w:val="0025220D"/>
    <w:rsid w:val="002529E3"/>
    <w:rsid w:val="00252E78"/>
    <w:rsid w:val="00252F17"/>
    <w:rsid w:val="00253194"/>
    <w:rsid w:val="0025359A"/>
    <w:rsid w:val="002539F9"/>
    <w:rsid w:val="00253D47"/>
    <w:rsid w:val="002545AB"/>
    <w:rsid w:val="00254667"/>
    <w:rsid w:val="0025469B"/>
    <w:rsid w:val="00254BBE"/>
    <w:rsid w:val="00254DAC"/>
    <w:rsid w:val="00254F00"/>
    <w:rsid w:val="00255101"/>
    <w:rsid w:val="002553EF"/>
    <w:rsid w:val="0025556C"/>
    <w:rsid w:val="002555A1"/>
    <w:rsid w:val="002557F9"/>
    <w:rsid w:val="002559EF"/>
    <w:rsid w:val="0025637F"/>
    <w:rsid w:val="002567D3"/>
    <w:rsid w:val="00256C8E"/>
    <w:rsid w:val="00256E58"/>
    <w:rsid w:val="002572C6"/>
    <w:rsid w:val="00257669"/>
    <w:rsid w:val="00257837"/>
    <w:rsid w:val="00257A26"/>
    <w:rsid w:val="00257C58"/>
    <w:rsid w:val="002605A7"/>
    <w:rsid w:val="00260847"/>
    <w:rsid w:val="00261653"/>
    <w:rsid w:val="0026189C"/>
    <w:rsid w:val="002622CC"/>
    <w:rsid w:val="00262391"/>
    <w:rsid w:val="0026368D"/>
    <w:rsid w:val="00263A27"/>
    <w:rsid w:val="0026424C"/>
    <w:rsid w:val="002642FC"/>
    <w:rsid w:val="0026495C"/>
    <w:rsid w:val="0026544D"/>
    <w:rsid w:val="00265FB5"/>
    <w:rsid w:val="00266AF5"/>
    <w:rsid w:val="00266D04"/>
    <w:rsid w:val="002672C4"/>
    <w:rsid w:val="002674FC"/>
    <w:rsid w:val="00267867"/>
    <w:rsid w:val="002701ED"/>
    <w:rsid w:val="0027076E"/>
    <w:rsid w:val="0027080C"/>
    <w:rsid w:val="00270FD8"/>
    <w:rsid w:val="002715E5"/>
    <w:rsid w:val="00271642"/>
    <w:rsid w:val="00271A30"/>
    <w:rsid w:val="00271AF4"/>
    <w:rsid w:val="00272747"/>
    <w:rsid w:val="00272812"/>
    <w:rsid w:val="00273557"/>
    <w:rsid w:val="00273AF1"/>
    <w:rsid w:val="00273EB1"/>
    <w:rsid w:val="002742C4"/>
    <w:rsid w:val="002744A6"/>
    <w:rsid w:val="002745D1"/>
    <w:rsid w:val="0027478C"/>
    <w:rsid w:val="002747FE"/>
    <w:rsid w:val="002749F4"/>
    <w:rsid w:val="00274CEA"/>
    <w:rsid w:val="00275441"/>
    <w:rsid w:val="00275BE1"/>
    <w:rsid w:val="002763DB"/>
    <w:rsid w:val="00276E87"/>
    <w:rsid w:val="00277842"/>
    <w:rsid w:val="00277E99"/>
    <w:rsid w:val="00280101"/>
    <w:rsid w:val="00280569"/>
    <w:rsid w:val="0028159B"/>
    <w:rsid w:val="002822BC"/>
    <w:rsid w:val="00282934"/>
    <w:rsid w:val="00283343"/>
    <w:rsid w:val="00283475"/>
    <w:rsid w:val="00283765"/>
    <w:rsid w:val="002841B8"/>
    <w:rsid w:val="002843A3"/>
    <w:rsid w:val="00284488"/>
    <w:rsid w:val="0028457F"/>
    <w:rsid w:val="00284996"/>
    <w:rsid w:val="00284D15"/>
    <w:rsid w:val="00285044"/>
    <w:rsid w:val="002852B7"/>
    <w:rsid w:val="0028534D"/>
    <w:rsid w:val="00285594"/>
    <w:rsid w:val="00285654"/>
    <w:rsid w:val="00285B0D"/>
    <w:rsid w:val="00285BC7"/>
    <w:rsid w:val="0028636E"/>
    <w:rsid w:val="00286740"/>
    <w:rsid w:val="00286AC4"/>
    <w:rsid w:val="00286C29"/>
    <w:rsid w:val="00287643"/>
    <w:rsid w:val="00287F6C"/>
    <w:rsid w:val="002900F3"/>
    <w:rsid w:val="00290163"/>
    <w:rsid w:val="002907AE"/>
    <w:rsid w:val="002907DC"/>
    <w:rsid w:val="00290876"/>
    <w:rsid w:val="00290A68"/>
    <w:rsid w:val="00290C55"/>
    <w:rsid w:val="00290EE6"/>
    <w:rsid w:val="00291A08"/>
    <w:rsid w:val="00291FA2"/>
    <w:rsid w:val="0029281E"/>
    <w:rsid w:val="00292884"/>
    <w:rsid w:val="00292971"/>
    <w:rsid w:val="00292EC1"/>
    <w:rsid w:val="00293051"/>
    <w:rsid w:val="00293385"/>
    <w:rsid w:val="0029338A"/>
    <w:rsid w:val="002939EB"/>
    <w:rsid w:val="00293D1E"/>
    <w:rsid w:val="00294726"/>
    <w:rsid w:val="0029481A"/>
    <w:rsid w:val="00294B02"/>
    <w:rsid w:val="00294C99"/>
    <w:rsid w:val="00294D83"/>
    <w:rsid w:val="00295917"/>
    <w:rsid w:val="0029593D"/>
    <w:rsid w:val="00295C97"/>
    <w:rsid w:val="002961BB"/>
    <w:rsid w:val="002968B1"/>
    <w:rsid w:val="002968FE"/>
    <w:rsid w:val="00296AE1"/>
    <w:rsid w:val="00296F46"/>
    <w:rsid w:val="0029717D"/>
    <w:rsid w:val="00297C07"/>
    <w:rsid w:val="002A0FFC"/>
    <w:rsid w:val="002A1277"/>
    <w:rsid w:val="002A1772"/>
    <w:rsid w:val="002A204B"/>
    <w:rsid w:val="002A2161"/>
    <w:rsid w:val="002A29F2"/>
    <w:rsid w:val="002A3BD8"/>
    <w:rsid w:val="002A3C2E"/>
    <w:rsid w:val="002A4706"/>
    <w:rsid w:val="002A4845"/>
    <w:rsid w:val="002A4F45"/>
    <w:rsid w:val="002A50A9"/>
    <w:rsid w:val="002A561C"/>
    <w:rsid w:val="002A5F57"/>
    <w:rsid w:val="002A6CBF"/>
    <w:rsid w:val="002A6D63"/>
    <w:rsid w:val="002A6F90"/>
    <w:rsid w:val="002A7048"/>
    <w:rsid w:val="002A70B7"/>
    <w:rsid w:val="002A748F"/>
    <w:rsid w:val="002B0238"/>
    <w:rsid w:val="002B02E8"/>
    <w:rsid w:val="002B0384"/>
    <w:rsid w:val="002B03AB"/>
    <w:rsid w:val="002B05FE"/>
    <w:rsid w:val="002B1377"/>
    <w:rsid w:val="002B14CD"/>
    <w:rsid w:val="002B2304"/>
    <w:rsid w:val="002B25B2"/>
    <w:rsid w:val="002B25DE"/>
    <w:rsid w:val="002B2668"/>
    <w:rsid w:val="002B2B8E"/>
    <w:rsid w:val="002B2EF8"/>
    <w:rsid w:val="002B323C"/>
    <w:rsid w:val="002B3244"/>
    <w:rsid w:val="002B3E0D"/>
    <w:rsid w:val="002B3E89"/>
    <w:rsid w:val="002B3F4C"/>
    <w:rsid w:val="002B484C"/>
    <w:rsid w:val="002B4D3E"/>
    <w:rsid w:val="002B5227"/>
    <w:rsid w:val="002B5B7A"/>
    <w:rsid w:val="002B5C17"/>
    <w:rsid w:val="002B5D34"/>
    <w:rsid w:val="002B6133"/>
    <w:rsid w:val="002B695A"/>
    <w:rsid w:val="002B6BB4"/>
    <w:rsid w:val="002B73E2"/>
    <w:rsid w:val="002B7904"/>
    <w:rsid w:val="002B79DA"/>
    <w:rsid w:val="002B7F97"/>
    <w:rsid w:val="002C0110"/>
    <w:rsid w:val="002C0304"/>
    <w:rsid w:val="002C079D"/>
    <w:rsid w:val="002C096A"/>
    <w:rsid w:val="002C12D6"/>
    <w:rsid w:val="002C12D9"/>
    <w:rsid w:val="002C18B7"/>
    <w:rsid w:val="002C1B26"/>
    <w:rsid w:val="002C1F28"/>
    <w:rsid w:val="002C23BF"/>
    <w:rsid w:val="002C24D7"/>
    <w:rsid w:val="002C286D"/>
    <w:rsid w:val="002C2CAC"/>
    <w:rsid w:val="002C2F4E"/>
    <w:rsid w:val="002C30BA"/>
    <w:rsid w:val="002C33B7"/>
    <w:rsid w:val="002C3578"/>
    <w:rsid w:val="002C3AD2"/>
    <w:rsid w:val="002C3ED6"/>
    <w:rsid w:val="002C418B"/>
    <w:rsid w:val="002C4201"/>
    <w:rsid w:val="002C468E"/>
    <w:rsid w:val="002C4D33"/>
    <w:rsid w:val="002C522A"/>
    <w:rsid w:val="002C52BD"/>
    <w:rsid w:val="002C6075"/>
    <w:rsid w:val="002C64F3"/>
    <w:rsid w:val="002C6996"/>
    <w:rsid w:val="002C69F6"/>
    <w:rsid w:val="002C6C5B"/>
    <w:rsid w:val="002C7537"/>
    <w:rsid w:val="002C7F07"/>
    <w:rsid w:val="002D00C7"/>
    <w:rsid w:val="002D030C"/>
    <w:rsid w:val="002D0399"/>
    <w:rsid w:val="002D0882"/>
    <w:rsid w:val="002D0CBD"/>
    <w:rsid w:val="002D1067"/>
    <w:rsid w:val="002D11C6"/>
    <w:rsid w:val="002D1252"/>
    <w:rsid w:val="002D17E3"/>
    <w:rsid w:val="002D2739"/>
    <w:rsid w:val="002D2B07"/>
    <w:rsid w:val="002D2CAE"/>
    <w:rsid w:val="002D2DC4"/>
    <w:rsid w:val="002D2FA5"/>
    <w:rsid w:val="002D31D9"/>
    <w:rsid w:val="002D33BD"/>
    <w:rsid w:val="002D3AE3"/>
    <w:rsid w:val="002D3F6E"/>
    <w:rsid w:val="002D3FB5"/>
    <w:rsid w:val="002D4760"/>
    <w:rsid w:val="002D516B"/>
    <w:rsid w:val="002D51C1"/>
    <w:rsid w:val="002D527A"/>
    <w:rsid w:val="002D5811"/>
    <w:rsid w:val="002D5FBC"/>
    <w:rsid w:val="002D6978"/>
    <w:rsid w:val="002D6A0C"/>
    <w:rsid w:val="002D6A9D"/>
    <w:rsid w:val="002D72DE"/>
    <w:rsid w:val="002D7651"/>
    <w:rsid w:val="002D7656"/>
    <w:rsid w:val="002D7BAD"/>
    <w:rsid w:val="002D7BFC"/>
    <w:rsid w:val="002E029F"/>
    <w:rsid w:val="002E090F"/>
    <w:rsid w:val="002E0E3A"/>
    <w:rsid w:val="002E11C3"/>
    <w:rsid w:val="002E130D"/>
    <w:rsid w:val="002E1ADD"/>
    <w:rsid w:val="002E1AFB"/>
    <w:rsid w:val="002E1EDB"/>
    <w:rsid w:val="002E20E4"/>
    <w:rsid w:val="002E2255"/>
    <w:rsid w:val="002E2470"/>
    <w:rsid w:val="002E2C27"/>
    <w:rsid w:val="002E2D64"/>
    <w:rsid w:val="002E2F63"/>
    <w:rsid w:val="002E339C"/>
    <w:rsid w:val="002E4150"/>
    <w:rsid w:val="002E43D0"/>
    <w:rsid w:val="002E49A6"/>
    <w:rsid w:val="002E5EF1"/>
    <w:rsid w:val="002E6CCE"/>
    <w:rsid w:val="002E6EAB"/>
    <w:rsid w:val="002E7799"/>
    <w:rsid w:val="002E7F57"/>
    <w:rsid w:val="002F013B"/>
    <w:rsid w:val="002F03EF"/>
    <w:rsid w:val="002F0511"/>
    <w:rsid w:val="002F0637"/>
    <w:rsid w:val="002F094A"/>
    <w:rsid w:val="002F0E98"/>
    <w:rsid w:val="002F152A"/>
    <w:rsid w:val="002F1617"/>
    <w:rsid w:val="002F209C"/>
    <w:rsid w:val="002F2AA4"/>
    <w:rsid w:val="002F37A8"/>
    <w:rsid w:val="002F37D0"/>
    <w:rsid w:val="002F3E25"/>
    <w:rsid w:val="002F4243"/>
    <w:rsid w:val="002F49EC"/>
    <w:rsid w:val="002F4AD4"/>
    <w:rsid w:val="002F4E32"/>
    <w:rsid w:val="002F5021"/>
    <w:rsid w:val="002F50A5"/>
    <w:rsid w:val="002F50FC"/>
    <w:rsid w:val="002F5497"/>
    <w:rsid w:val="002F56B6"/>
    <w:rsid w:val="002F6391"/>
    <w:rsid w:val="002F68BA"/>
    <w:rsid w:val="002F6AC3"/>
    <w:rsid w:val="002F6D4A"/>
    <w:rsid w:val="002F6DCF"/>
    <w:rsid w:val="002F748D"/>
    <w:rsid w:val="002F781A"/>
    <w:rsid w:val="002F7EAC"/>
    <w:rsid w:val="00300566"/>
    <w:rsid w:val="003006DA"/>
    <w:rsid w:val="0030071E"/>
    <w:rsid w:val="00300C77"/>
    <w:rsid w:val="00300DE1"/>
    <w:rsid w:val="00300E8B"/>
    <w:rsid w:val="0030108C"/>
    <w:rsid w:val="003015BA"/>
    <w:rsid w:val="003016E2"/>
    <w:rsid w:val="00301C17"/>
    <w:rsid w:val="00301E6A"/>
    <w:rsid w:val="00301FBA"/>
    <w:rsid w:val="00302206"/>
    <w:rsid w:val="00302CD2"/>
    <w:rsid w:val="00302D9D"/>
    <w:rsid w:val="0030300D"/>
    <w:rsid w:val="00303208"/>
    <w:rsid w:val="00303427"/>
    <w:rsid w:val="0030350B"/>
    <w:rsid w:val="00303543"/>
    <w:rsid w:val="00303716"/>
    <w:rsid w:val="00303B0B"/>
    <w:rsid w:val="00303BB4"/>
    <w:rsid w:val="00304129"/>
    <w:rsid w:val="00304177"/>
    <w:rsid w:val="0030428F"/>
    <w:rsid w:val="00304DDA"/>
    <w:rsid w:val="00304E0B"/>
    <w:rsid w:val="00304EE1"/>
    <w:rsid w:val="00305CF4"/>
    <w:rsid w:val="00305F56"/>
    <w:rsid w:val="003064E1"/>
    <w:rsid w:val="00306DB1"/>
    <w:rsid w:val="00307064"/>
    <w:rsid w:val="00307759"/>
    <w:rsid w:val="00307BFD"/>
    <w:rsid w:val="00307CF9"/>
    <w:rsid w:val="00307E09"/>
    <w:rsid w:val="00307E39"/>
    <w:rsid w:val="00307E4B"/>
    <w:rsid w:val="00307F21"/>
    <w:rsid w:val="00310430"/>
    <w:rsid w:val="003114FA"/>
    <w:rsid w:val="00311BEA"/>
    <w:rsid w:val="00311D79"/>
    <w:rsid w:val="00312B38"/>
    <w:rsid w:val="00312DF7"/>
    <w:rsid w:val="003130D1"/>
    <w:rsid w:val="00313799"/>
    <w:rsid w:val="003138A8"/>
    <w:rsid w:val="00313907"/>
    <w:rsid w:val="00313A44"/>
    <w:rsid w:val="00313E37"/>
    <w:rsid w:val="00314D1E"/>
    <w:rsid w:val="00315073"/>
    <w:rsid w:val="00315206"/>
    <w:rsid w:val="00315241"/>
    <w:rsid w:val="003153BB"/>
    <w:rsid w:val="003159D9"/>
    <w:rsid w:val="00315F01"/>
    <w:rsid w:val="0031729F"/>
    <w:rsid w:val="003174F8"/>
    <w:rsid w:val="003175E9"/>
    <w:rsid w:val="00317FD8"/>
    <w:rsid w:val="00320487"/>
    <w:rsid w:val="003204FD"/>
    <w:rsid w:val="00320B2A"/>
    <w:rsid w:val="00320F20"/>
    <w:rsid w:val="00320F88"/>
    <w:rsid w:val="00321558"/>
    <w:rsid w:val="00321743"/>
    <w:rsid w:val="00322176"/>
    <w:rsid w:val="00322BE4"/>
    <w:rsid w:val="00322F9A"/>
    <w:rsid w:val="00322FA8"/>
    <w:rsid w:val="0032450A"/>
    <w:rsid w:val="00324C8C"/>
    <w:rsid w:val="00324DD1"/>
    <w:rsid w:val="00325472"/>
    <w:rsid w:val="003256BE"/>
    <w:rsid w:val="00325769"/>
    <w:rsid w:val="00325AC3"/>
    <w:rsid w:val="00326155"/>
    <w:rsid w:val="0032616B"/>
    <w:rsid w:val="00326593"/>
    <w:rsid w:val="00326B55"/>
    <w:rsid w:val="003271C5"/>
    <w:rsid w:val="00327425"/>
    <w:rsid w:val="00330509"/>
    <w:rsid w:val="003308A9"/>
    <w:rsid w:val="00330C3B"/>
    <w:rsid w:val="0033105F"/>
    <w:rsid w:val="003310A7"/>
    <w:rsid w:val="003311C5"/>
    <w:rsid w:val="00331432"/>
    <w:rsid w:val="00331492"/>
    <w:rsid w:val="00331D03"/>
    <w:rsid w:val="00332972"/>
    <w:rsid w:val="00332FF3"/>
    <w:rsid w:val="0033309B"/>
    <w:rsid w:val="00333789"/>
    <w:rsid w:val="00333B5E"/>
    <w:rsid w:val="00334087"/>
    <w:rsid w:val="0033470F"/>
    <w:rsid w:val="00334766"/>
    <w:rsid w:val="00334776"/>
    <w:rsid w:val="00334B36"/>
    <w:rsid w:val="00334E1E"/>
    <w:rsid w:val="00335066"/>
    <w:rsid w:val="003352CE"/>
    <w:rsid w:val="00335348"/>
    <w:rsid w:val="00335F25"/>
    <w:rsid w:val="00336631"/>
    <w:rsid w:val="003368A9"/>
    <w:rsid w:val="00337244"/>
    <w:rsid w:val="0033756B"/>
    <w:rsid w:val="00337793"/>
    <w:rsid w:val="00337851"/>
    <w:rsid w:val="00337863"/>
    <w:rsid w:val="00337CA7"/>
    <w:rsid w:val="00340786"/>
    <w:rsid w:val="00340CE0"/>
    <w:rsid w:val="003410AA"/>
    <w:rsid w:val="00341500"/>
    <w:rsid w:val="003418A7"/>
    <w:rsid w:val="00341B05"/>
    <w:rsid w:val="00342205"/>
    <w:rsid w:val="003423EB"/>
    <w:rsid w:val="003429F1"/>
    <w:rsid w:val="00342B71"/>
    <w:rsid w:val="00342EDD"/>
    <w:rsid w:val="0034309B"/>
    <w:rsid w:val="00343737"/>
    <w:rsid w:val="00344117"/>
    <w:rsid w:val="00344353"/>
    <w:rsid w:val="0034493D"/>
    <w:rsid w:val="00344A52"/>
    <w:rsid w:val="00344B38"/>
    <w:rsid w:val="00344F04"/>
    <w:rsid w:val="0034521D"/>
    <w:rsid w:val="003459AC"/>
    <w:rsid w:val="00345FA1"/>
    <w:rsid w:val="003464BD"/>
    <w:rsid w:val="00346D46"/>
    <w:rsid w:val="00346E32"/>
    <w:rsid w:val="0034755B"/>
    <w:rsid w:val="00347A59"/>
    <w:rsid w:val="00347CDF"/>
    <w:rsid w:val="00347EC1"/>
    <w:rsid w:val="0035004A"/>
    <w:rsid w:val="00350062"/>
    <w:rsid w:val="00350336"/>
    <w:rsid w:val="00350EF3"/>
    <w:rsid w:val="00351513"/>
    <w:rsid w:val="00351BD9"/>
    <w:rsid w:val="00351D96"/>
    <w:rsid w:val="0035293A"/>
    <w:rsid w:val="00352C2B"/>
    <w:rsid w:val="00352F76"/>
    <w:rsid w:val="0035338B"/>
    <w:rsid w:val="003533A4"/>
    <w:rsid w:val="0035368F"/>
    <w:rsid w:val="00354E8D"/>
    <w:rsid w:val="0035525B"/>
    <w:rsid w:val="003554A7"/>
    <w:rsid w:val="0035551E"/>
    <w:rsid w:val="00355C2D"/>
    <w:rsid w:val="00355C89"/>
    <w:rsid w:val="00356698"/>
    <w:rsid w:val="003566BC"/>
    <w:rsid w:val="00356CE8"/>
    <w:rsid w:val="00356E6D"/>
    <w:rsid w:val="00357974"/>
    <w:rsid w:val="003579F2"/>
    <w:rsid w:val="003579F9"/>
    <w:rsid w:val="00360058"/>
    <w:rsid w:val="00360470"/>
    <w:rsid w:val="00360BE6"/>
    <w:rsid w:val="00360D78"/>
    <w:rsid w:val="00361524"/>
    <w:rsid w:val="003615A7"/>
    <w:rsid w:val="00361EAF"/>
    <w:rsid w:val="00361FC7"/>
    <w:rsid w:val="00362463"/>
    <w:rsid w:val="0036257D"/>
    <w:rsid w:val="003628B0"/>
    <w:rsid w:val="00363014"/>
    <w:rsid w:val="0036316C"/>
    <w:rsid w:val="00363306"/>
    <w:rsid w:val="00363315"/>
    <w:rsid w:val="0036333F"/>
    <w:rsid w:val="003636BA"/>
    <w:rsid w:val="003637A5"/>
    <w:rsid w:val="00363C1A"/>
    <w:rsid w:val="00363E99"/>
    <w:rsid w:val="00364563"/>
    <w:rsid w:val="00364580"/>
    <w:rsid w:val="00364D6E"/>
    <w:rsid w:val="00365690"/>
    <w:rsid w:val="0036577B"/>
    <w:rsid w:val="00365959"/>
    <w:rsid w:val="00366ACD"/>
    <w:rsid w:val="00367033"/>
    <w:rsid w:val="003674D9"/>
    <w:rsid w:val="00367850"/>
    <w:rsid w:val="0037017F"/>
    <w:rsid w:val="00370192"/>
    <w:rsid w:val="00370377"/>
    <w:rsid w:val="00370CE8"/>
    <w:rsid w:val="00371321"/>
    <w:rsid w:val="00371384"/>
    <w:rsid w:val="00371EEF"/>
    <w:rsid w:val="00372965"/>
    <w:rsid w:val="00372C6F"/>
    <w:rsid w:val="00373A0B"/>
    <w:rsid w:val="00373E32"/>
    <w:rsid w:val="0037459F"/>
    <w:rsid w:val="003748CB"/>
    <w:rsid w:val="00374CB3"/>
    <w:rsid w:val="003750F8"/>
    <w:rsid w:val="00375136"/>
    <w:rsid w:val="00375A02"/>
    <w:rsid w:val="00375C31"/>
    <w:rsid w:val="00376467"/>
    <w:rsid w:val="0037671F"/>
    <w:rsid w:val="003768F5"/>
    <w:rsid w:val="00376A38"/>
    <w:rsid w:val="0037735E"/>
    <w:rsid w:val="00377580"/>
    <w:rsid w:val="00377E04"/>
    <w:rsid w:val="00377FA0"/>
    <w:rsid w:val="00380210"/>
    <w:rsid w:val="00380F3E"/>
    <w:rsid w:val="00380F49"/>
    <w:rsid w:val="003810AB"/>
    <w:rsid w:val="00381745"/>
    <w:rsid w:val="00381764"/>
    <w:rsid w:val="00382167"/>
    <w:rsid w:val="003823D5"/>
    <w:rsid w:val="00382926"/>
    <w:rsid w:val="0038300C"/>
    <w:rsid w:val="0038363F"/>
    <w:rsid w:val="003836A5"/>
    <w:rsid w:val="00383E33"/>
    <w:rsid w:val="003849E0"/>
    <w:rsid w:val="00384DDA"/>
    <w:rsid w:val="00385316"/>
    <w:rsid w:val="00385328"/>
    <w:rsid w:val="003854E9"/>
    <w:rsid w:val="0038577D"/>
    <w:rsid w:val="00385BBA"/>
    <w:rsid w:val="00385C8A"/>
    <w:rsid w:val="003862A1"/>
    <w:rsid w:val="00386827"/>
    <w:rsid w:val="00386BAA"/>
    <w:rsid w:val="0038746F"/>
    <w:rsid w:val="003878ED"/>
    <w:rsid w:val="00387FF5"/>
    <w:rsid w:val="00390575"/>
    <w:rsid w:val="003906CD"/>
    <w:rsid w:val="00391125"/>
    <w:rsid w:val="0039136E"/>
    <w:rsid w:val="003913BD"/>
    <w:rsid w:val="00391F0E"/>
    <w:rsid w:val="003922B1"/>
    <w:rsid w:val="0039296F"/>
    <w:rsid w:val="00392AFB"/>
    <w:rsid w:val="003930B5"/>
    <w:rsid w:val="0039334A"/>
    <w:rsid w:val="00393394"/>
    <w:rsid w:val="00393468"/>
    <w:rsid w:val="00393585"/>
    <w:rsid w:val="003935B9"/>
    <w:rsid w:val="003935CB"/>
    <w:rsid w:val="00395CCF"/>
    <w:rsid w:val="00396338"/>
    <w:rsid w:val="00396749"/>
    <w:rsid w:val="003967B0"/>
    <w:rsid w:val="00396958"/>
    <w:rsid w:val="00396B1E"/>
    <w:rsid w:val="00396BCA"/>
    <w:rsid w:val="00396E17"/>
    <w:rsid w:val="0039723A"/>
    <w:rsid w:val="00397280"/>
    <w:rsid w:val="003973DD"/>
    <w:rsid w:val="003A06C5"/>
    <w:rsid w:val="003A0890"/>
    <w:rsid w:val="003A0A29"/>
    <w:rsid w:val="003A0C97"/>
    <w:rsid w:val="003A15CC"/>
    <w:rsid w:val="003A1AF7"/>
    <w:rsid w:val="003A221F"/>
    <w:rsid w:val="003A257E"/>
    <w:rsid w:val="003A25F4"/>
    <w:rsid w:val="003A295A"/>
    <w:rsid w:val="003A3159"/>
    <w:rsid w:val="003A39C7"/>
    <w:rsid w:val="003A3A4D"/>
    <w:rsid w:val="003A3AC4"/>
    <w:rsid w:val="003A3D0E"/>
    <w:rsid w:val="003A3D9A"/>
    <w:rsid w:val="003A409D"/>
    <w:rsid w:val="003A4129"/>
    <w:rsid w:val="003A420E"/>
    <w:rsid w:val="003A4801"/>
    <w:rsid w:val="003A48A3"/>
    <w:rsid w:val="003A4AAF"/>
    <w:rsid w:val="003A4B2E"/>
    <w:rsid w:val="003A54BC"/>
    <w:rsid w:val="003A5737"/>
    <w:rsid w:val="003A589B"/>
    <w:rsid w:val="003A58AF"/>
    <w:rsid w:val="003A60BE"/>
    <w:rsid w:val="003A7236"/>
    <w:rsid w:val="003A7911"/>
    <w:rsid w:val="003B019B"/>
    <w:rsid w:val="003B01E4"/>
    <w:rsid w:val="003B088E"/>
    <w:rsid w:val="003B1014"/>
    <w:rsid w:val="003B106B"/>
    <w:rsid w:val="003B1EA1"/>
    <w:rsid w:val="003B1F25"/>
    <w:rsid w:val="003B27DF"/>
    <w:rsid w:val="003B2E07"/>
    <w:rsid w:val="003B3656"/>
    <w:rsid w:val="003B3951"/>
    <w:rsid w:val="003B3BDF"/>
    <w:rsid w:val="003B44AF"/>
    <w:rsid w:val="003B46C7"/>
    <w:rsid w:val="003B4719"/>
    <w:rsid w:val="003B4787"/>
    <w:rsid w:val="003B4F0C"/>
    <w:rsid w:val="003B50BA"/>
    <w:rsid w:val="003B5452"/>
    <w:rsid w:val="003B5717"/>
    <w:rsid w:val="003B5B2E"/>
    <w:rsid w:val="003B5CAF"/>
    <w:rsid w:val="003B5EA5"/>
    <w:rsid w:val="003B6166"/>
    <w:rsid w:val="003B64E5"/>
    <w:rsid w:val="003B6534"/>
    <w:rsid w:val="003B6927"/>
    <w:rsid w:val="003B696F"/>
    <w:rsid w:val="003B6D41"/>
    <w:rsid w:val="003B76CE"/>
    <w:rsid w:val="003B7749"/>
    <w:rsid w:val="003B7C7B"/>
    <w:rsid w:val="003B7CA4"/>
    <w:rsid w:val="003C0E58"/>
    <w:rsid w:val="003C14B1"/>
    <w:rsid w:val="003C1591"/>
    <w:rsid w:val="003C199E"/>
    <w:rsid w:val="003C2280"/>
    <w:rsid w:val="003C2AA7"/>
    <w:rsid w:val="003C2F47"/>
    <w:rsid w:val="003C3846"/>
    <w:rsid w:val="003C38C8"/>
    <w:rsid w:val="003C44D1"/>
    <w:rsid w:val="003C4733"/>
    <w:rsid w:val="003C4F06"/>
    <w:rsid w:val="003C5A14"/>
    <w:rsid w:val="003C5D9C"/>
    <w:rsid w:val="003C5DE7"/>
    <w:rsid w:val="003C6080"/>
    <w:rsid w:val="003C634A"/>
    <w:rsid w:val="003C6592"/>
    <w:rsid w:val="003C667C"/>
    <w:rsid w:val="003C717C"/>
    <w:rsid w:val="003C7335"/>
    <w:rsid w:val="003C7651"/>
    <w:rsid w:val="003C7879"/>
    <w:rsid w:val="003C79DB"/>
    <w:rsid w:val="003D029E"/>
    <w:rsid w:val="003D067C"/>
    <w:rsid w:val="003D0906"/>
    <w:rsid w:val="003D13D8"/>
    <w:rsid w:val="003D140A"/>
    <w:rsid w:val="003D15B7"/>
    <w:rsid w:val="003D15ED"/>
    <w:rsid w:val="003D1608"/>
    <w:rsid w:val="003D20E1"/>
    <w:rsid w:val="003D2486"/>
    <w:rsid w:val="003D295A"/>
    <w:rsid w:val="003D2A35"/>
    <w:rsid w:val="003D2AD3"/>
    <w:rsid w:val="003D321B"/>
    <w:rsid w:val="003D35FA"/>
    <w:rsid w:val="003D39EF"/>
    <w:rsid w:val="003D41BA"/>
    <w:rsid w:val="003D41C7"/>
    <w:rsid w:val="003D420B"/>
    <w:rsid w:val="003D45E1"/>
    <w:rsid w:val="003D491B"/>
    <w:rsid w:val="003D4CC1"/>
    <w:rsid w:val="003D529E"/>
    <w:rsid w:val="003D5427"/>
    <w:rsid w:val="003D6474"/>
    <w:rsid w:val="003D664F"/>
    <w:rsid w:val="003D6670"/>
    <w:rsid w:val="003D6A09"/>
    <w:rsid w:val="003D6F67"/>
    <w:rsid w:val="003D707F"/>
    <w:rsid w:val="003D71D5"/>
    <w:rsid w:val="003D74EF"/>
    <w:rsid w:val="003D7671"/>
    <w:rsid w:val="003D7C9F"/>
    <w:rsid w:val="003E00E2"/>
    <w:rsid w:val="003E0CAF"/>
    <w:rsid w:val="003E1122"/>
    <w:rsid w:val="003E1207"/>
    <w:rsid w:val="003E12C9"/>
    <w:rsid w:val="003E1604"/>
    <w:rsid w:val="003E1766"/>
    <w:rsid w:val="003E18F5"/>
    <w:rsid w:val="003E1A61"/>
    <w:rsid w:val="003E21C5"/>
    <w:rsid w:val="003E279B"/>
    <w:rsid w:val="003E2AB7"/>
    <w:rsid w:val="003E2F36"/>
    <w:rsid w:val="003E2FB3"/>
    <w:rsid w:val="003E37A0"/>
    <w:rsid w:val="003E393E"/>
    <w:rsid w:val="003E3CFE"/>
    <w:rsid w:val="003E4066"/>
    <w:rsid w:val="003E46CB"/>
    <w:rsid w:val="003E4AE0"/>
    <w:rsid w:val="003E507E"/>
    <w:rsid w:val="003E5394"/>
    <w:rsid w:val="003E5CF4"/>
    <w:rsid w:val="003E678B"/>
    <w:rsid w:val="003E6CCA"/>
    <w:rsid w:val="003E6D93"/>
    <w:rsid w:val="003E73AA"/>
    <w:rsid w:val="003E76C6"/>
    <w:rsid w:val="003F0186"/>
    <w:rsid w:val="003F038A"/>
    <w:rsid w:val="003F0555"/>
    <w:rsid w:val="003F09E9"/>
    <w:rsid w:val="003F0D0F"/>
    <w:rsid w:val="003F11D8"/>
    <w:rsid w:val="003F1222"/>
    <w:rsid w:val="003F1303"/>
    <w:rsid w:val="003F1AAC"/>
    <w:rsid w:val="003F1C6D"/>
    <w:rsid w:val="003F1D12"/>
    <w:rsid w:val="003F1E3F"/>
    <w:rsid w:val="003F1ECD"/>
    <w:rsid w:val="003F2C12"/>
    <w:rsid w:val="003F3195"/>
    <w:rsid w:val="003F32A8"/>
    <w:rsid w:val="003F34C4"/>
    <w:rsid w:val="003F3673"/>
    <w:rsid w:val="003F3760"/>
    <w:rsid w:val="003F442C"/>
    <w:rsid w:val="003F465F"/>
    <w:rsid w:val="003F47AB"/>
    <w:rsid w:val="003F47D1"/>
    <w:rsid w:val="003F4B6C"/>
    <w:rsid w:val="003F4DAF"/>
    <w:rsid w:val="003F5A39"/>
    <w:rsid w:val="003F5B8E"/>
    <w:rsid w:val="003F5EE6"/>
    <w:rsid w:val="003F6039"/>
    <w:rsid w:val="003F67D7"/>
    <w:rsid w:val="003F7144"/>
    <w:rsid w:val="003F73C6"/>
    <w:rsid w:val="003F74EF"/>
    <w:rsid w:val="00400195"/>
    <w:rsid w:val="00400758"/>
    <w:rsid w:val="00400A77"/>
    <w:rsid w:val="00401262"/>
    <w:rsid w:val="00401B6E"/>
    <w:rsid w:val="0040291B"/>
    <w:rsid w:val="00404123"/>
    <w:rsid w:val="00404550"/>
    <w:rsid w:val="00404B91"/>
    <w:rsid w:val="00404BB2"/>
    <w:rsid w:val="0040541F"/>
    <w:rsid w:val="00405424"/>
    <w:rsid w:val="00405C8A"/>
    <w:rsid w:val="00406889"/>
    <w:rsid w:val="00406DEE"/>
    <w:rsid w:val="00406E48"/>
    <w:rsid w:val="004072DC"/>
    <w:rsid w:val="004075B4"/>
    <w:rsid w:val="00407C6C"/>
    <w:rsid w:val="00410081"/>
    <w:rsid w:val="00410502"/>
    <w:rsid w:val="00410971"/>
    <w:rsid w:val="00410E96"/>
    <w:rsid w:val="00410F5C"/>
    <w:rsid w:val="00411C1D"/>
    <w:rsid w:val="00411FD7"/>
    <w:rsid w:val="0041213F"/>
    <w:rsid w:val="0041242B"/>
    <w:rsid w:val="00412A04"/>
    <w:rsid w:val="00412C22"/>
    <w:rsid w:val="00412C54"/>
    <w:rsid w:val="00412DB7"/>
    <w:rsid w:val="0041307A"/>
    <w:rsid w:val="00413397"/>
    <w:rsid w:val="00413D02"/>
    <w:rsid w:val="00413DF7"/>
    <w:rsid w:val="004141EF"/>
    <w:rsid w:val="00414721"/>
    <w:rsid w:val="00414FC0"/>
    <w:rsid w:val="004150A8"/>
    <w:rsid w:val="0041538F"/>
    <w:rsid w:val="004158E1"/>
    <w:rsid w:val="00415B20"/>
    <w:rsid w:val="00417B00"/>
    <w:rsid w:val="00417D0F"/>
    <w:rsid w:val="00417E9B"/>
    <w:rsid w:val="00417ECD"/>
    <w:rsid w:val="0042007E"/>
    <w:rsid w:val="00420473"/>
    <w:rsid w:val="00420694"/>
    <w:rsid w:val="00420703"/>
    <w:rsid w:val="0042081E"/>
    <w:rsid w:val="00420E0C"/>
    <w:rsid w:val="00421989"/>
    <w:rsid w:val="00421C02"/>
    <w:rsid w:val="00422163"/>
    <w:rsid w:val="00422B00"/>
    <w:rsid w:val="00422F9A"/>
    <w:rsid w:val="0042331A"/>
    <w:rsid w:val="00423479"/>
    <w:rsid w:val="00424B49"/>
    <w:rsid w:val="00424BC0"/>
    <w:rsid w:val="00424CD9"/>
    <w:rsid w:val="00424EE9"/>
    <w:rsid w:val="00425365"/>
    <w:rsid w:val="00425A9F"/>
    <w:rsid w:val="00425C82"/>
    <w:rsid w:val="004261C5"/>
    <w:rsid w:val="004267BD"/>
    <w:rsid w:val="00426D00"/>
    <w:rsid w:val="00427071"/>
    <w:rsid w:val="00427AC9"/>
    <w:rsid w:val="00427DF3"/>
    <w:rsid w:val="0043000A"/>
    <w:rsid w:val="0043033C"/>
    <w:rsid w:val="004304BD"/>
    <w:rsid w:val="00430A35"/>
    <w:rsid w:val="00430E1F"/>
    <w:rsid w:val="00431223"/>
    <w:rsid w:val="004312F7"/>
    <w:rsid w:val="004318F3"/>
    <w:rsid w:val="0043232C"/>
    <w:rsid w:val="00432C14"/>
    <w:rsid w:val="00432D80"/>
    <w:rsid w:val="00432EC8"/>
    <w:rsid w:val="00433ACC"/>
    <w:rsid w:val="004341E9"/>
    <w:rsid w:val="00434323"/>
    <w:rsid w:val="00434720"/>
    <w:rsid w:val="00434C76"/>
    <w:rsid w:val="00434CA4"/>
    <w:rsid w:val="00434F97"/>
    <w:rsid w:val="00436AF2"/>
    <w:rsid w:val="00436D44"/>
    <w:rsid w:val="004379FE"/>
    <w:rsid w:val="00440002"/>
    <w:rsid w:val="00440C07"/>
    <w:rsid w:val="00440C48"/>
    <w:rsid w:val="00440D83"/>
    <w:rsid w:val="00440E3B"/>
    <w:rsid w:val="0044111B"/>
    <w:rsid w:val="00441985"/>
    <w:rsid w:val="00441E7C"/>
    <w:rsid w:val="00441F13"/>
    <w:rsid w:val="00441FF4"/>
    <w:rsid w:val="004437DC"/>
    <w:rsid w:val="00443A4C"/>
    <w:rsid w:val="004443AB"/>
    <w:rsid w:val="00444624"/>
    <w:rsid w:val="0044486A"/>
    <w:rsid w:val="004448DB"/>
    <w:rsid w:val="004450D0"/>
    <w:rsid w:val="0044527B"/>
    <w:rsid w:val="00445D17"/>
    <w:rsid w:val="00445E64"/>
    <w:rsid w:val="00445F93"/>
    <w:rsid w:val="0044645D"/>
    <w:rsid w:val="00446746"/>
    <w:rsid w:val="00446778"/>
    <w:rsid w:val="00446AD1"/>
    <w:rsid w:val="00446FF5"/>
    <w:rsid w:val="004473E1"/>
    <w:rsid w:val="00447435"/>
    <w:rsid w:val="00447467"/>
    <w:rsid w:val="00447BE4"/>
    <w:rsid w:val="00447CC7"/>
    <w:rsid w:val="004501C4"/>
    <w:rsid w:val="00452DA6"/>
    <w:rsid w:val="0045342A"/>
    <w:rsid w:val="00453531"/>
    <w:rsid w:val="004539F3"/>
    <w:rsid w:val="00453E52"/>
    <w:rsid w:val="00453F61"/>
    <w:rsid w:val="00454DCF"/>
    <w:rsid w:val="00454F37"/>
    <w:rsid w:val="00455072"/>
    <w:rsid w:val="004551C5"/>
    <w:rsid w:val="0045536D"/>
    <w:rsid w:val="0045563A"/>
    <w:rsid w:val="00455C0B"/>
    <w:rsid w:val="00455F76"/>
    <w:rsid w:val="0045615C"/>
    <w:rsid w:val="00456918"/>
    <w:rsid w:val="00457452"/>
    <w:rsid w:val="00457539"/>
    <w:rsid w:val="00460676"/>
    <w:rsid w:val="00460959"/>
    <w:rsid w:val="00460A2F"/>
    <w:rsid w:val="00460DFC"/>
    <w:rsid w:val="00461390"/>
    <w:rsid w:val="00462344"/>
    <w:rsid w:val="00462792"/>
    <w:rsid w:val="00462882"/>
    <w:rsid w:val="00462DBD"/>
    <w:rsid w:val="00462DFC"/>
    <w:rsid w:val="00462EC3"/>
    <w:rsid w:val="00463713"/>
    <w:rsid w:val="00464A54"/>
    <w:rsid w:val="00464B57"/>
    <w:rsid w:val="00464F15"/>
    <w:rsid w:val="004655F2"/>
    <w:rsid w:val="00465E1C"/>
    <w:rsid w:val="00466288"/>
    <w:rsid w:val="00466633"/>
    <w:rsid w:val="00466917"/>
    <w:rsid w:val="00466A68"/>
    <w:rsid w:val="00466E1F"/>
    <w:rsid w:val="004672C9"/>
    <w:rsid w:val="00467A07"/>
    <w:rsid w:val="00467DDF"/>
    <w:rsid w:val="00467E6F"/>
    <w:rsid w:val="0047087C"/>
    <w:rsid w:val="004709CF"/>
    <w:rsid w:val="00470D72"/>
    <w:rsid w:val="0047104F"/>
    <w:rsid w:val="004712BA"/>
    <w:rsid w:val="004715DB"/>
    <w:rsid w:val="004717FC"/>
    <w:rsid w:val="00471DBD"/>
    <w:rsid w:val="00472AD8"/>
    <w:rsid w:val="00472C6D"/>
    <w:rsid w:val="00472D57"/>
    <w:rsid w:val="0047319E"/>
    <w:rsid w:val="0047343D"/>
    <w:rsid w:val="004737AB"/>
    <w:rsid w:val="004737D2"/>
    <w:rsid w:val="00474861"/>
    <w:rsid w:val="004749D1"/>
    <w:rsid w:val="004750E2"/>
    <w:rsid w:val="004756A4"/>
    <w:rsid w:val="0047572F"/>
    <w:rsid w:val="004757DD"/>
    <w:rsid w:val="00475A00"/>
    <w:rsid w:val="00475DE8"/>
    <w:rsid w:val="0047620B"/>
    <w:rsid w:val="004765C1"/>
    <w:rsid w:val="00476839"/>
    <w:rsid w:val="00476901"/>
    <w:rsid w:val="00477156"/>
    <w:rsid w:val="00477658"/>
    <w:rsid w:val="00477886"/>
    <w:rsid w:val="00480042"/>
    <w:rsid w:val="00480314"/>
    <w:rsid w:val="00480836"/>
    <w:rsid w:val="0048093C"/>
    <w:rsid w:val="00480C6C"/>
    <w:rsid w:val="004813F4"/>
    <w:rsid w:val="00481755"/>
    <w:rsid w:val="00481909"/>
    <w:rsid w:val="00483CE2"/>
    <w:rsid w:val="00483E6B"/>
    <w:rsid w:val="00483EBC"/>
    <w:rsid w:val="004842F9"/>
    <w:rsid w:val="004847E2"/>
    <w:rsid w:val="00484846"/>
    <w:rsid w:val="004856FD"/>
    <w:rsid w:val="0048633C"/>
    <w:rsid w:val="004865F3"/>
    <w:rsid w:val="00487507"/>
    <w:rsid w:val="00487663"/>
    <w:rsid w:val="004877CE"/>
    <w:rsid w:val="00487AA1"/>
    <w:rsid w:val="00487AA5"/>
    <w:rsid w:val="00487D87"/>
    <w:rsid w:val="0049089F"/>
    <w:rsid w:val="0049099D"/>
    <w:rsid w:val="00490E4A"/>
    <w:rsid w:val="00490E94"/>
    <w:rsid w:val="004913DD"/>
    <w:rsid w:val="004914C9"/>
    <w:rsid w:val="00491AF2"/>
    <w:rsid w:val="00491DE1"/>
    <w:rsid w:val="00491F25"/>
    <w:rsid w:val="00491FB0"/>
    <w:rsid w:val="00492077"/>
    <w:rsid w:val="004920BE"/>
    <w:rsid w:val="004922CB"/>
    <w:rsid w:val="004923E3"/>
    <w:rsid w:val="00492652"/>
    <w:rsid w:val="00492788"/>
    <w:rsid w:val="00492CC9"/>
    <w:rsid w:val="004930C9"/>
    <w:rsid w:val="004937B0"/>
    <w:rsid w:val="00493F13"/>
    <w:rsid w:val="004948F2"/>
    <w:rsid w:val="004954B5"/>
    <w:rsid w:val="00495607"/>
    <w:rsid w:val="00495774"/>
    <w:rsid w:val="00495F75"/>
    <w:rsid w:val="00496151"/>
    <w:rsid w:val="00496379"/>
    <w:rsid w:val="004968A8"/>
    <w:rsid w:val="004969CB"/>
    <w:rsid w:val="00496CB2"/>
    <w:rsid w:val="00496D6D"/>
    <w:rsid w:val="00497689"/>
    <w:rsid w:val="00497B8B"/>
    <w:rsid w:val="00497DD4"/>
    <w:rsid w:val="004A0111"/>
    <w:rsid w:val="004A0A58"/>
    <w:rsid w:val="004A0E9E"/>
    <w:rsid w:val="004A0FBA"/>
    <w:rsid w:val="004A1431"/>
    <w:rsid w:val="004A16AC"/>
    <w:rsid w:val="004A1B28"/>
    <w:rsid w:val="004A1C37"/>
    <w:rsid w:val="004A20D4"/>
    <w:rsid w:val="004A2BF9"/>
    <w:rsid w:val="004A2C3A"/>
    <w:rsid w:val="004A38BC"/>
    <w:rsid w:val="004A39B3"/>
    <w:rsid w:val="004A3A16"/>
    <w:rsid w:val="004A41D8"/>
    <w:rsid w:val="004A443B"/>
    <w:rsid w:val="004A5BC6"/>
    <w:rsid w:val="004A606E"/>
    <w:rsid w:val="004A6087"/>
    <w:rsid w:val="004A67DF"/>
    <w:rsid w:val="004A69F3"/>
    <w:rsid w:val="004A73AA"/>
    <w:rsid w:val="004B014F"/>
    <w:rsid w:val="004B0A99"/>
    <w:rsid w:val="004B0B98"/>
    <w:rsid w:val="004B14D9"/>
    <w:rsid w:val="004B1BF9"/>
    <w:rsid w:val="004B20AC"/>
    <w:rsid w:val="004B2450"/>
    <w:rsid w:val="004B2BD8"/>
    <w:rsid w:val="004B317D"/>
    <w:rsid w:val="004B32FC"/>
    <w:rsid w:val="004B3567"/>
    <w:rsid w:val="004B39AC"/>
    <w:rsid w:val="004B3A7D"/>
    <w:rsid w:val="004B3CEC"/>
    <w:rsid w:val="004B4071"/>
    <w:rsid w:val="004B41CA"/>
    <w:rsid w:val="004B41D3"/>
    <w:rsid w:val="004B4228"/>
    <w:rsid w:val="004B47E6"/>
    <w:rsid w:val="004B4A3D"/>
    <w:rsid w:val="004B5388"/>
    <w:rsid w:val="004B5ADF"/>
    <w:rsid w:val="004B5DC2"/>
    <w:rsid w:val="004B5EF3"/>
    <w:rsid w:val="004B6067"/>
    <w:rsid w:val="004B66C4"/>
    <w:rsid w:val="004B67FA"/>
    <w:rsid w:val="004B702C"/>
    <w:rsid w:val="004B7411"/>
    <w:rsid w:val="004B74DA"/>
    <w:rsid w:val="004B7A23"/>
    <w:rsid w:val="004B7C2B"/>
    <w:rsid w:val="004C009E"/>
    <w:rsid w:val="004C031E"/>
    <w:rsid w:val="004C0413"/>
    <w:rsid w:val="004C1CED"/>
    <w:rsid w:val="004C1F3B"/>
    <w:rsid w:val="004C2707"/>
    <w:rsid w:val="004C2C78"/>
    <w:rsid w:val="004C30CA"/>
    <w:rsid w:val="004C376F"/>
    <w:rsid w:val="004C431E"/>
    <w:rsid w:val="004C43B3"/>
    <w:rsid w:val="004C458A"/>
    <w:rsid w:val="004C4C7A"/>
    <w:rsid w:val="004C4E08"/>
    <w:rsid w:val="004C4F65"/>
    <w:rsid w:val="004C5DDA"/>
    <w:rsid w:val="004C5F4E"/>
    <w:rsid w:val="004C60F8"/>
    <w:rsid w:val="004C65C9"/>
    <w:rsid w:val="004C665A"/>
    <w:rsid w:val="004C6876"/>
    <w:rsid w:val="004C6BE5"/>
    <w:rsid w:val="004C6EDF"/>
    <w:rsid w:val="004C6F08"/>
    <w:rsid w:val="004C75F6"/>
    <w:rsid w:val="004C7DEF"/>
    <w:rsid w:val="004D0198"/>
    <w:rsid w:val="004D0314"/>
    <w:rsid w:val="004D0661"/>
    <w:rsid w:val="004D06AF"/>
    <w:rsid w:val="004D0892"/>
    <w:rsid w:val="004D0E36"/>
    <w:rsid w:val="004D15F0"/>
    <w:rsid w:val="004D1AD3"/>
    <w:rsid w:val="004D311F"/>
    <w:rsid w:val="004D377C"/>
    <w:rsid w:val="004D47C1"/>
    <w:rsid w:val="004D4B5F"/>
    <w:rsid w:val="004D4EF0"/>
    <w:rsid w:val="004D52E2"/>
    <w:rsid w:val="004D54BD"/>
    <w:rsid w:val="004D6524"/>
    <w:rsid w:val="004D68BE"/>
    <w:rsid w:val="004D6BD9"/>
    <w:rsid w:val="004D6CE6"/>
    <w:rsid w:val="004D789A"/>
    <w:rsid w:val="004E0134"/>
    <w:rsid w:val="004E0695"/>
    <w:rsid w:val="004E081A"/>
    <w:rsid w:val="004E09DC"/>
    <w:rsid w:val="004E0F90"/>
    <w:rsid w:val="004E1162"/>
    <w:rsid w:val="004E13CC"/>
    <w:rsid w:val="004E15AE"/>
    <w:rsid w:val="004E1731"/>
    <w:rsid w:val="004E1D47"/>
    <w:rsid w:val="004E20A2"/>
    <w:rsid w:val="004E24CA"/>
    <w:rsid w:val="004E2A05"/>
    <w:rsid w:val="004E31BA"/>
    <w:rsid w:val="004E3436"/>
    <w:rsid w:val="004E3872"/>
    <w:rsid w:val="004E3966"/>
    <w:rsid w:val="004E3AFB"/>
    <w:rsid w:val="004E3D62"/>
    <w:rsid w:val="004E3DBA"/>
    <w:rsid w:val="004E4295"/>
    <w:rsid w:val="004E43D2"/>
    <w:rsid w:val="004E45A3"/>
    <w:rsid w:val="004E4646"/>
    <w:rsid w:val="004E46DA"/>
    <w:rsid w:val="004E4E79"/>
    <w:rsid w:val="004E59B2"/>
    <w:rsid w:val="004E5B4A"/>
    <w:rsid w:val="004E5E56"/>
    <w:rsid w:val="004E604F"/>
    <w:rsid w:val="004E73E8"/>
    <w:rsid w:val="004E74EC"/>
    <w:rsid w:val="004E7BF8"/>
    <w:rsid w:val="004E7DEA"/>
    <w:rsid w:val="004F04CD"/>
    <w:rsid w:val="004F0789"/>
    <w:rsid w:val="004F0914"/>
    <w:rsid w:val="004F141F"/>
    <w:rsid w:val="004F2000"/>
    <w:rsid w:val="004F2318"/>
    <w:rsid w:val="004F24FB"/>
    <w:rsid w:val="004F266A"/>
    <w:rsid w:val="004F26ED"/>
    <w:rsid w:val="004F2F44"/>
    <w:rsid w:val="004F2F68"/>
    <w:rsid w:val="004F3176"/>
    <w:rsid w:val="004F3D32"/>
    <w:rsid w:val="004F4735"/>
    <w:rsid w:val="004F539C"/>
    <w:rsid w:val="004F5B6B"/>
    <w:rsid w:val="004F5B94"/>
    <w:rsid w:val="004F5BC4"/>
    <w:rsid w:val="004F63B9"/>
    <w:rsid w:val="004F709F"/>
    <w:rsid w:val="004F7288"/>
    <w:rsid w:val="004F767C"/>
    <w:rsid w:val="00500010"/>
    <w:rsid w:val="005001BC"/>
    <w:rsid w:val="00500BFA"/>
    <w:rsid w:val="00500DD6"/>
    <w:rsid w:val="005013E6"/>
    <w:rsid w:val="00501648"/>
    <w:rsid w:val="00501C83"/>
    <w:rsid w:val="005024E0"/>
    <w:rsid w:val="0050271A"/>
    <w:rsid w:val="00502E71"/>
    <w:rsid w:val="00502EA5"/>
    <w:rsid w:val="00503A88"/>
    <w:rsid w:val="005042A1"/>
    <w:rsid w:val="005042BC"/>
    <w:rsid w:val="00504C80"/>
    <w:rsid w:val="00505568"/>
    <w:rsid w:val="0050598A"/>
    <w:rsid w:val="005061E5"/>
    <w:rsid w:val="005062B4"/>
    <w:rsid w:val="00506384"/>
    <w:rsid w:val="00506986"/>
    <w:rsid w:val="00506F08"/>
    <w:rsid w:val="005074FD"/>
    <w:rsid w:val="00507B6A"/>
    <w:rsid w:val="005104CF"/>
    <w:rsid w:val="00510E7E"/>
    <w:rsid w:val="00510F27"/>
    <w:rsid w:val="00511504"/>
    <w:rsid w:val="005119C0"/>
    <w:rsid w:val="00511B57"/>
    <w:rsid w:val="00511EE9"/>
    <w:rsid w:val="005133D4"/>
    <w:rsid w:val="00513759"/>
    <w:rsid w:val="00514262"/>
    <w:rsid w:val="00514327"/>
    <w:rsid w:val="00514D54"/>
    <w:rsid w:val="00515531"/>
    <w:rsid w:val="005156C2"/>
    <w:rsid w:val="005159CD"/>
    <w:rsid w:val="00515C6E"/>
    <w:rsid w:val="005160E2"/>
    <w:rsid w:val="005161AD"/>
    <w:rsid w:val="00516BBA"/>
    <w:rsid w:val="00516CBD"/>
    <w:rsid w:val="00516EB9"/>
    <w:rsid w:val="005170B4"/>
    <w:rsid w:val="0051752A"/>
    <w:rsid w:val="00517CD0"/>
    <w:rsid w:val="00517F39"/>
    <w:rsid w:val="00517FBF"/>
    <w:rsid w:val="005203E7"/>
    <w:rsid w:val="005211AC"/>
    <w:rsid w:val="0052127C"/>
    <w:rsid w:val="00521371"/>
    <w:rsid w:val="005214E2"/>
    <w:rsid w:val="00521531"/>
    <w:rsid w:val="00521617"/>
    <w:rsid w:val="005217E8"/>
    <w:rsid w:val="00522945"/>
    <w:rsid w:val="00523070"/>
    <w:rsid w:val="00523380"/>
    <w:rsid w:val="005239B7"/>
    <w:rsid w:val="00523BD2"/>
    <w:rsid w:val="00523CBE"/>
    <w:rsid w:val="00523FAF"/>
    <w:rsid w:val="00524146"/>
    <w:rsid w:val="00524613"/>
    <w:rsid w:val="00524713"/>
    <w:rsid w:val="00524C53"/>
    <w:rsid w:val="00524CB9"/>
    <w:rsid w:val="00524EA5"/>
    <w:rsid w:val="00525257"/>
    <w:rsid w:val="00525345"/>
    <w:rsid w:val="00525B14"/>
    <w:rsid w:val="00525B7E"/>
    <w:rsid w:val="00525D95"/>
    <w:rsid w:val="005260E6"/>
    <w:rsid w:val="0052633F"/>
    <w:rsid w:val="0052674D"/>
    <w:rsid w:val="00526B74"/>
    <w:rsid w:val="00526DB4"/>
    <w:rsid w:val="00527332"/>
    <w:rsid w:val="00527901"/>
    <w:rsid w:val="00527AC5"/>
    <w:rsid w:val="00527EDB"/>
    <w:rsid w:val="0053043B"/>
    <w:rsid w:val="00530B61"/>
    <w:rsid w:val="00530FDE"/>
    <w:rsid w:val="0053152B"/>
    <w:rsid w:val="00531CF0"/>
    <w:rsid w:val="00531E6A"/>
    <w:rsid w:val="005320F7"/>
    <w:rsid w:val="0053266E"/>
    <w:rsid w:val="0053269F"/>
    <w:rsid w:val="0053288C"/>
    <w:rsid w:val="00532B67"/>
    <w:rsid w:val="00532B8D"/>
    <w:rsid w:val="00532D16"/>
    <w:rsid w:val="00532E70"/>
    <w:rsid w:val="00533A1F"/>
    <w:rsid w:val="005342A1"/>
    <w:rsid w:val="00534CF1"/>
    <w:rsid w:val="0053580A"/>
    <w:rsid w:val="0053590B"/>
    <w:rsid w:val="00535D0B"/>
    <w:rsid w:val="0053607E"/>
    <w:rsid w:val="00536119"/>
    <w:rsid w:val="00536390"/>
    <w:rsid w:val="0053646A"/>
    <w:rsid w:val="0053674A"/>
    <w:rsid w:val="00536EB8"/>
    <w:rsid w:val="0053709A"/>
    <w:rsid w:val="0053720F"/>
    <w:rsid w:val="00537407"/>
    <w:rsid w:val="00537415"/>
    <w:rsid w:val="00540A25"/>
    <w:rsid w:val="00540B24"/>
    <w:rsid w:val="00541558"/>
    <w:rsid w:val="005415DB"/>
    <w:rsid w:val="005416BB"/>
    <w:rsid w:val="005418E2"/>
    <w:rsid w:val="00541A87"/>
    <w:rsid w:val="00541CC7"/>
    <w:rsid w:val="00541D3C"/>
    <w:rsid w:val="005420B3"/>
    <w:rsid w:val="00542445"/>
    <w:rsid w:val="005426DA"/>
    <w:rsid w:val="0054272F"/>
    <w:rsid w:val="00542F7E"/>
    <w:rsid w:val="00543B10"/>
    <w:rsid w:val="00543FE7"/>
    <w:rsid w:val="00544139"/>
    <w:rsid w:val="00544D59"/>
    <w:rsid w:val="00545235"/>
    <w:rsid w:val="005452F5"/>
    <w:rsid w:val="00545A46"/>
    <w:rsid w:val="00546054"/>
    <w:rsid w:val="005466DD"/>
    <w:rsid w:val="00546765"/>
    <w:rsid w:val="00546871"/>
    <w:rsid w:val="00547229"/>
    <w:rsid w:val="00547879"/>
    <w:rsid w:val="005479F1"/>
    <w:rsid w:val="00547B59"/>
    <w:rsid w:val="00547D22"/>
    <w:rsid w:val="00547E58"/>
    <w:rsid w:val="00547FD8"/>
    <w:rsid w:val="00550288"/>
    <w:rsid w:val="005509A3"/>
    <w:rsid w:val="00550D79"/>
    <w:rsid w:val="005517D2"/>
    <w:rsid w:val="00551840"/>
    <w:rsid w:val="00551AB3"/>
    <w:rsid w:val="00551D2E"/>
    <w:rsid w:val="00552143"/>
    <w:rsid w:val="005523C9"/>
    <w:rsid w:val="00552767"/>
    <w:rsid w:val="0055294B"/>
    <w:rsid w:val="005529F1"/>
    <w:rsid w:val="00552DD1"/>
    <w:rsid w:val="00553279"/>
    <w:rsid w:val="0055332C"/>
    <w:rsid w:val="0055349C"/>
    <w:rsid w:val="005536CF"/>
    <w:rsid w:val="0055394B"/>
    <w:rsid w:val="00553C93"/>
    <w:rsid w:val="00553FA6"/>
    <w:rsid w:val="0055409C"/>
    <w:rsid w:val="00554124"/>
    <w:rsid w:val="0055413D"/>
    <w:rsid w:val="005544B3"/>
    <w:rsid w:val="005548D7"/>
    <w:rsid w:val="00554D59"/>
    <w:rsid w:val="00554E40"/>
    <w:rsid w:val="00554F97"/>
    <w:rsid w:val="00554FAB"/>
    <w:rsid w:val="005550E1"/>
    <w:rsid w:val="005554C2"/>
    <w:rsid w:val="00555ED2"/>
    <w:rsid w:val="00556745"/>
    <w:rsid w:val="00556C0A"/>
    <w:rsid w:val="00557038"/>
    <w:rsid w:val="00557071"/>
    <w:rsid w:val="0055775F"/>
    <w:rsid w:val="00557B21"/>
    <w:rsid w:val="00557E0E"/>
    <w:rsid w:val="00557E48"/>
    <w:rsid w:val="00560BE0"/>
    <w:rsid w:val="00561891"/>
    <w:rsid w:val="00562A60"/>
    <w:rsid w:val="00562AE4"/>
    <w:rsid w:val="00564889"/>
    <w:rsid w:val="00564B27"/>
    <w:rsid w:val="00564C46"/>
    <w:rsid w:val="00564C9B"/>
    <w:rsid w:val="00564DE4"/>
    <w:rsid w:val="00564FA7"/>
    <w:rsid w:val="00565365"/>
    <w:rsid w:val="00565386"/>
    <w:rsid w:val="0056542C"/>
    <w:rsid w:val="005657D7"/>
    <w:rsid w:val="00565A20"/>
    <w:rsid w:val="00565BA1"/>
    <w:rsid w:val="00565BFE"/>
    <w:rsid w:val="005661AF"/>
    <w:rsid w:val="005668D1"/>
    <w:rsid w:val="0056691D"/>
    <w:rsid w:val="00567355"/>
    <w:rsid w:val="0056756C"/>
    <w:rsid w:val="005679D6"/>
    <w:rsid w:val="00567D22"/>
    <w:rsid w:val="00567F9E"/>
    <w:rsid w:val="00567FC1"/>
    <w:rsid w:val="00570058"/>
    <w:rsid w:val="0057013D"/>
    <w:rsid w:val="0057038E"/>
    <w:rsid w:val="00570A13"/>
    <w:rsid w:val="00570B11"/>
    <w:rsid w:val="005710C0"/>
    <w:rsid w:val="005718EC"/>
    <w:rsid w:val="00572252"/>
    <w:rsid w:val="00572297"/>
    <w:rsid w:val="00572482"/>
    <w:rsid w:val="005728D8"/>
    <w:rsid w:val="00572C96"/>
    <w:rsid w:val="00572D93"/>
    <w:rsid w:val="005730AB"/>
    <w:rsid w:val="005730C8"/>
    <w:rsid w:val="00573521"/>
    <w:rsid w:val="00573774"/>
    <w:rsid w:val="00573EAB"/>
    <w:rsid w:val="005748E5"/>
    <w:rsid w:val="005750C2"/>
    <w:rsid w:val="0057515A"/>
    <w:rsid w:val="00575BC1"/>
    <w:rsid w:val="005766AA"/>
    <w:rsid w:val="00576B32"/>
    <w:rsid w:val="00576DE4"/>
    <w:rsid w:val="00577129"/>
    <w:rsid w:val="005777C5"/>
    <w:rsid w:val="0058007A"/>
    <w:rsid w:val="00580937"/>
    <w:rsid w:val="00580CD8"/>
    <w:rsid w:val="00580F61"/>
    <w:rsid w:val="00580F93"/>
    <w:rsid w:val="00582103"/>
    <w:rsid w:val="005828F1"/>
    <w:rsid w:val="00582E34"/>
    <w:rsid w:val="005830F2"/>
    <w:rsid w:val="005835DA"/>
    <w:rsid w:val="00583C3B"/>
    <w:rsid w:val="005843CD"/>
    <w:rsid w:val="00585A77"/>
    <w:rsid w:val="00585ABE"/>
    <w:rsid w:val="00585DEE"/>
    <w:rsid w:val="00585E2D"/>
    <w:rsid w:val="00585F7D"/>
    <w:rsid w:val="00585FAF"/>
    <w:rsid w:val="0058606B"/>
    <w:rsid w:val="00586239"/>
    <w:rsid w:val="0058649D"/>
    <w:rsid w:val="005868D0"/>
    <w:rsid w:val="00586E0A"/>
    <w:rsid w:val="0058712F"/>
    <w:rsid w:val="005873D4"/>
    <w:rsid w:val="005875DB"/>
    <w:rsid w:val="00587800"/>
    <w:rsid w:val="00587993"/>
    <w:rsid w:val="00587B01"/>
    <w:rsid w:val="0059095A"/>
    <w:rsid w:val="00590BA5"/>
    <w:rsid w:val="00590F0B"/>
    <w:rsid w:val="005912B0"/>
    <w:rsid w:val="005914A0"/>
    <w:rsid w:val="0059164A"/>
    <w:rsid w:val="00591C47"/>
    <w:rsid w:val="00591C73"/>
    <w:rsid w:val="005922B5"/>
    <w:rsid w:val="005923EC"/>
    <w:rsid w:val="00592725"/>
    <w:rsid w:val="005928C5"/>
    <w:rsid w:val="00592E63"/>
    <w:rsid w:val="0059324C"/>
    <w:rsid w:val="00593297"/>
    <w:rsid w:val="005932E4"/>
    <w:rsid w:val="005935DA"/>
    <w:rsid w:val="0059381A"/>
    <w:rsid w:val="00593C34"/>
    <w:rsid w:val="00594879"/>
    <w:rsid w:val="005948A6"/>
    <w:rsid w:val="00594D73"/>
    <w:rsid w:val="00594E6B"/>
    <w:rsid w:val="00595104"/>
    <w:rsid w:val="00595AB2"/>
    <w:rsid w:val="00596854"/>
    <w:rsid w:val="00597031"/>
    <w:rsid w:val="005978A0"/>
    <w:rsid w:val="00597A30"/>
    <w:rsid w:val="00597A74"/>
    <w:rsid w:val="00597E5D"/>
    <w:rsid w:val="00597FA3"/>
    <w:rsid w:val="005A0129"/>
    <w:rsid w:val="005A0B14"/>
    <w:rsid w:val="005A0EFB"/>
    <w:rsid w:val="005A1885"/>
    <w:rsid w:val="005A21BC"/>
    <w:rsid w:val="005A2571"/>
    <w:rsid w:val="005A3963"/>
    <w:rsid w:val="005A3CA5"/>
    <w:rsid w:val="005A44CA"/>
    <w:rsid w:val="005A4CCA"/>
    <w:rsid w:val="005A5A32"/>
    <w:rsid w:val="005A5C2A"/>
    <w:rsid w:val="005A5C9B"/>
    <w:rsid w:val="005A6AC4"/>
    <w:rsid w:val="005A6AE8"/>
    <w:rsid w:val="005A7007"/>
    <w:rsid w:val="005A72D7"/>
    <w:rsid w:val="005A73B5"/>
    <w:rsid w:val="005A7911"/>
    <w:rsid w:val="005A7BE4"/>
    <w:rsid w:val="005A7EBB"/>
    <w:rsid w:val="005B035A"/>
    <w:rsid w:val="005B0468"/>
    <w:rsid w:val="005B0BCF"/>
    <w:rsid w:val="005B10D9"/>
    <w:rsid w:val="005B1589"/>
    <w:rsid w:val="005B197F"/>
    <w:rsid w:val="005B1C5D"/>
    <w:rsid w:val="005B2434"/>
    <w:rsid w:val="005B2748"/>
    <w:rsid w:val="005B2B3E"/>
    <w:rsid w:val="005B2C29"/>
    <w:rsid w:val="005B2DF0"/>
    <w:rsid w:val="005B32E1"/>
    <w:rsid w:val="005B3401"/>
    <w:rsid w:val="005B3653"/>
    <w:rsid w:val="005B3700"/>
    <w:rsid w:val="005B372F"/>
    <w:rsid w:val="005B3AF5"/>
    <w:rsid w:val="005B3B0C"/>
    <w:rsid w:val="005B4024"/>
    <w:rsid w:val="005B415D"/>
    <w:rsid w:val="005B41BF"/>
    <w:rsid w:val="005B4374"/>
    <w:rsid w:val="005B4559"/>
    <w:rsid w:val="005B4689"/>
    <w:rsid w:val="005B4C2D"/>
    <w:rsid w:val="005B5237"/>
    <w:rsid w:val="005B54E9"/>
    <w:rsid w:val="005B5773"/>
    <w:rsid w:val="005B5BCD"/>
    <w:rsid w:val="005B6604"/>
    <w:rsid w:val="005B6999"/>
    <w:rsid w:val="005B6C1F"/>
    <w:rsid w:val="005B7212"/>
    <w:rsid w:val="005B77C7"/>
    <w:rsid w:val="005B79D1"/>
    <w:rsid w:val="005B7B29"/>
    <w:rsid w:val="005B7BF4"/>
    <w:rsid w:val="005C0F0A"/>
    <w:rsid w:val="005C109C"/>
    <w:rsid w:val="005C1D39"/>
    <w:rsid w:val="005C1D42"/>
    <w:rsid w:val="005C2419"/>
    <w:rsid w:val="005C2439"/>
    <w:rsid w:val="005C2746"/>
    <w:rsid w:val="005C2B9F"/>
    <w:rsid w:val="005C2F7B"/>
    <w:rsid w:val="005C32A6"/>
    <w:rsid w:val="005C3A1E"/>
    <w:rsid w:val="005C3FEE"/>
    <w:rsid w:val="005C408D"/>
    <w:rsid w:val="005C4796"/>
    <w:rsid w:val="005C4E3B"/>
    <w:rsid w:val="005C4F64"/>
    <w:rsid w:val="005C5AE4"/>
    <w:rsid w:val="005C5C59"/>
    <w:rsid w:val="005C5E87"/>
    <w:rsid w:val="005C5F0E"/>
    <w:rsid w:val="005C60CB"/>
    <w:rsid w:val="005C64A4"/>
    <w:rsid w:val="005C6A2F"/>
    <w:rsid w:val="005C70EE"/>
    <w:rsid w:val="005C71AA"/>
    <w:rsid w:val="005C73FB"/>
    <w:rsid w:val="005C7C55"/>
    <w:rsid w:val="005C7FB2"/>
    <w:rsid w:val="005D051A"/>
    <w:rsid w:val="005D06A2"/>
    <w:rsid w:val="005D08F9"/>
    <w:rsid w:val="005D0A1C"/>
    <w:rsid w:val="005D114B"/>
    <w:rsid w:val="005D17D2"/>
    <w:rsid w:val="005D2250"/>
    <w:rsid w:val="005D25CB"/>
    <w:rsid w:val="005D30DB"/>
    <w:rsid w:val="005D3640"/>
    <w:rsid w:val="005D3712"/>
    <w:rsid w:val="005D3747"/>
    <w:rsid w:val="005D4088"/>
    <w:rsid w:val="005D43CB"/>
    <w:rsid w:val="005D4951"/>
    <w:rsid w:val="005D6136"/>
    <w:rsid w:val="005D6209"/>
    <w:rsid w:val="005D6312"/>
    <w:rsid w:val="005D6857"/>
    <w:rsid w:val="005D707E"/>
    <w:rsid w:val="005D7574"/>
    <w:rsid w:val="005D77BD"/>
    <w:rsid w:val="005D7867"/>
    <w:rsid w:val="005D7EEA"/>
    <w:rsid w:val="005D7F1C"/>
    <w:rsid w:val="005E0670"/>
    <w:rsid w:val="005E0989"/>
    <w:rsid w:val="005E0A3F"/>
    <w:rsid w:val="005E0EE0"/>
    <w:rsid w:val="005E0F68"/>
    <w:rsid w:val="005E0FB0"/>
    <w:rsid w:val="005E12E0"/>
    <w:rsid w:val="005E1717"/>
    <w:rsid w:val="005E1A9F"/>
    <w:rsid w:val="005E1E33"/>
    <w:rsid w:val="005E2907"/>
    <w:rsid w:val="005E2B9E"/>
    <w:rsid w:val="005E3057"/>
    <w:rsid w:val="005E3375"/>
    <w:rsid w:val="005E3957"/>
    <w:rsid w:val="005E3A2A"/>
    <w:rsid w:val="005E3EA2"/>
    <w:rsid w:val="005E42E3"/>
    <w:rsid w:val="005E5002"/>
    <w:rsid w:val="005E50DF"/>
    <w:rsid w:val="005E53B2"/>
    <w:rsid w:val="005E53F6"/>
    <w:rsid w:val="005E59EE"/>
    <w:rsid w:val="005E5D7B"/>
    <w:rsid w:val="005E6014"/>
    <w:rsid w:val="005E6143"/>
    <w:rsid w:val="005E618A"/>
    <w:rsid w:val="005E6235"/>
    <w:rsid w:val="005E6419"/>
    <w:rsid w:val="005E6475"/>
    <w:rsid w:val="005E661E"/>
    <w:rsid w:val="005E670D"/>
    <w:rsid w:val="005E6B8D"/>
    <w:rsid w:val="005E6F26"/>
    <w:rsid w:val="005E7BE5"/>
    <w:rsid w:val="005E7E1E"/>
    <w:rsid w:val="005F09AA"/>
    <w:rsid w:val="005F0E48"/>
    <w:rsid w:val="005F120A"/>
    <w:rsid w:val="005F1247"/>
    <w:rsid w:val="005F12B4"/>
    <w:rsid w:val="005F162B"/>
    <w:rsid w:val="005F282D"/>
    <w:rsid w:val="005F32FC"/>
    <w:rsid w:val="005F33C2"/>
    <w:rsid w:val="005F374A"/>
    <w:rsid w:val="005F3781"/>
    <w:rsid w:val="005F3C83"/>
    <w:rsid w:val="005F4066"/>
    <w:rsid w:val="005F411A"/>
    <w:rsid w:val="005F4CC4"/>
    <w:rsid w:val="005F4EE3"/>
    <w:rsid w:val="005F5068"/>
    <w:rsid w:val="005F585D"/>
    <w:rsid w:val="005F5AD1"/>
    <w:rsid w:val="005F5F63"/>
    <w:rsid w:val="005F6133"/>
    <w:rsid w:val="005F65F9"/>
    <w:rsid w:val="005F661F"/>
    <w:rsid w:val="005F6BAB"/>
    <w:rsid w:val="005F6D10"/>
    <w:rsid w:val="005F6E29"/>
    <w:rsid w:val="005F7245"/>
    <w:rsid w:val="005F76BD"/>
    <w:rsid w:val="005F770F"/>
    <w:rsid w:val="006004E2"/>
    <w:rsid w:val="006006E5"/>
    <w:rsid w:val="00600C91"/>
    <w:rsid w:val="00601B4A"/>
    <w:rsid w:val="00601C10"/>
    <w:rsid w:val="00601C6D"/>
    <w:rsid w:val="00601D77"/>
    <w:rsid w:val="00601E0C"/>
    <w:rsid w:val="00601E59"/>
    <w:rsid w:val="00601F31"/>
    <w:rsid w:val="006029EF"/>
    <w:rsid w:val="006031AD"/>
    <w:rsid w:val="00603524"/>
    <w:rsid w:val="00603C32"/>
    <w:rsid w:val="00603D3A"/>
    <w:rsid w:val="006040AB"/>
    <w:rsid w:val="006043AE"/>
    <w:rsid w:val="00604699"/>
    <w:rsid w:val="006046D4"/>
    <w:rsid w:val="0060482E"/>
    <w:rsid w:val="00604F99"/>
    <w:rsid w:val="00605251"/>
    <w:rsid w:val="00605D5C"/>
    <w:rsid w:val="00606840"/>
    <w:rsid w:val="006073CE"/>
    <w:rsid w:val="0060764B"/>
    <w:rsid w:val="00607658"/>
    <w:rsid w:val="00607B0C"/>
    <w:rsid w:val="00610BF6"/>
    <w:rsid w:val="00610DF4"/>
    <w:rsid w:val="00610E61"/>
    <w:rsid w:val="00611140"/>
    <w:rsid w:val="006114AE"/>
    <w:rsid w:val="006124DD"/>
    <w:rsid w:val="006127AB"/>
    <w:rsid w:val="0061290D"/>
    <w:rsid w:val="00612DE7"/>
    <w:rsid w:val="006130EE"/>
    <w:rsid w:val="00613123"/>
    <w:rsid w:val="006131CE"/>
    <w:rsid w:val="006138C0"/>
    <w:rsid w:val="00613A29"/>
    <w:rsid w:val="00613D55"/>
    <w:rsid w:val="00613EF5"/>
    <w:rsid w:val="0061441E"/>
    <w:rsid w:val="006147E5"/>
    <w:rsid w:val="006149DB"/>
    <w:rsid w:val="00615836"/>
    <w:rsid w:val="00615D2C"/>
    <w:rsid w:val="00615DFD"/>
    <w:rsid w:val="00615E6C"/>
    <w:rsid w:val="00616104"/>
    <w:rsid w:val="0061611D"/>
    <w:rsid w:val="00616AAF"/>
    <w:rsid w:val="006173C1"/>
    <w:rsid w:val="00617584"/>
    <w:rsid w:val="006176D9"/>
    <w:rsid w:val="00617B03"/>
    <w:rsid w:val="00617E61"/>
    <w:rsid w:val="0062059F"/>
    <w:rsid w:val="00620605"/>
    <w:rsid w:val="00620751"/>
    <w:rsid w:val="006207FA"/>
    <w:rsid w:val="006211CD"/>
    <w:rsid w:val="00621247"/>
    <w:rsid w:val="006226A2"/>
    <w:rsid w:val="00622E44"/>
    <w:rsid w:val="00623453"/>
    <w:rsid w:val="00623BBF"/>
    <w:rsid w:val="00623C52"/>
    <w:rsid w:val="00623CD9"/>
    <w:rsid w:val="00624692"/>
    <w:rsid w:val="006248CA"/>
    <w:rsid w:val="00624A65"/>
    <w:rsid w:val="00625445"/>
    <w:rsid w:val="00625876"/>
    <w:rsid w:val="0062612B"/>
    <w:rsid w:val="006267F7"/>
    <w:rsid w:val="0062731C"/>
    <w:rsid w:val="006308FC"/>
    <w:rsid w:val="006309E0"/>
    <w:rsid w:val="00630B2D"/>
    <w:rsid w:val="006311F1"/>
    <w:rsid w:val="006314C2"/>
    <w:rsid w:val="00631843"/>
    <w:rsid w:val="00631C37"/>
    <w:rsid w:val="0063209E"/>
    <w:rsid w:val="006320BA"/>
    <w:rsid w:val="006320EC"/>
    <w:rsid w:val="0063233E"/>
    <w:rsid w:val="0063260C"/>
    <w:rsid w:val="006326C5"/>
    <w:rsid w:val="00632A6F"/>
    <w:rsid w:val="00632AF3"/>
    <w:rsid w:val="00633754"/>
    <w:rsid w:val="006337E6"/>
    <w:rsid w:val="00633965"/>
    <w:rsid w:val="0063405A"/>
    <w:rsid w:val="00635743"/>
    <w:rsid w:val="00635AD4"/>
    <w:rsid w:val="00636B48"/>
    <w:rsid w:val="00636CD7"/>
    <w:rsid w:val="00636CE4"/>
    <w:rsid w:val="00637646"/>
    <w:rsid w:val="0063794E"/>
    <w:rsid w:val="00637AF9"/>
    <w:rsid w:val="00640454"/>
    <w:rsid w:val="006406EE"/>
    <w:rsid w:val="00641023"/>
    <w:rsid w:val="006412EB"/>
    <w:rsid w:val="00641482"/>
    <w:rsid w:val="00641A26"/>
    <w:rsid w:val="00641E21"/>
    <w:rsid w:val="0064274E"/>
    <w:rsid w:val="00642AF6"/>
    <w:rsid w:val="00642E5B"/>
    <w:rsid w:val="00642EEF"/>
    <w:rsid w:val="0064302D"/>
    <w:rsid w:val="006438FE"/>
    <w:rsid w:val="006440AB"/>
    <w:rsid w:val="00644788"/>
    <w:rsid w:val="00644D2E"/>
    <w:rsid w:val="006459AD"/>
    <w:rsid w:val="006464AC"/>
    <w:rsid w:val="006466C6"/>
    <w:rsid w:val="006469C2"/>
    <w:rsid w:val="00646A3A"/>
    <w:rsid w:val="00646F69"/>
    <w:rsid w:val="00647013"/>
    <w:rsid w:val="0064782A"/>
    <w:rsid w:val="00647C7E"/>
    <w:rsid w:val="00650178"/>
    <w:rsid w:val="006502ED"/>
    <w:rsid w:val="006505BB"/>
    <w:rsid w:val="00650C67"/>
    <w:rsid w:val="006512F0"/>
    <w:rsid w:val="00651354"/>
    <w:rsid w:val="0065135E"/>
    <w:rsid w:val="006517D3"/>
    <w:rsid w:val="00651ADF"/>
    <w:rsid w:val="00651FFE"/>
    <w:rsid w:val="006525FA"/>
    <w:rsid w:val="00652861"/>
    <w:rsid w:val="00652911"/>
    <w:rsid w:val="00652B05"/>
    <w:rsid w:val="00652BF0"/>
    <w:rsid w:val="00652F60"/>
    <w:rsid w:val="00652FB4"/>
    <w:rsid w:val="00653986"/>
    <w:rsid w:val="00653B3C"/>
    <w:rsid w:val="00653F1C"/>
    <w:rsid w:val="0065423E"/>
    <w:rsid w:val="00654637"/>
    <w:rsid w:val="0065486D"/>
    <w:rsid w:val="00654A03"/>
    <w:rsid w:val="00654CF7"/>
    <w:rsid w:val="00654D82"/>
    <w:rsid w:val="00654FEE"/>
    <w:rsid w:val="0065544D"/>
    <w:rsid w:val="006554E5"/>
    <w:rsid w:val="00655915"/>
    <w:rsid w:val="00656380"/>
    <w:rsid w:val="00656AE0"/>
    <w:rsid w:val="00656BDE"/>
    <w:rsid w:val="00656DBF"/>
    <w:rsid w:val="00657160"/>
    <w:rsid w:val="006573F5"/>
    <w:rsid w:val="006576B5"/>
    <w:rsid w:val="006577FA"/>
    <w:rsid w:val="006600B7"/>
    <w:rsid w:val="00660629"/>
    <w:rsid w:val="006608F8"/>
    <w:rsid w:val="00660C93"/>
    <w:rsid w:val="00661B4C"/>
    <w:rsid w:val="00661BE3"/>
    <w:rsid w:val="00662282"/>
    <w:rsid w:val="006629AB"/>
    <w:rsid w:val="0066339D"/>
    <w:rsid w:val="006637F7"/>
    <w:rsid w:val="00663ECC"/>
    <w:rsid w:val="00664431"/>
    <w:rsid w:val="00664474"/>
    <w:rsid w:val="0066448E"/>
    <w:rsid w:val="0066459B"/>
    <w:rsid w:val="00664D95"/>
    <w:rsid w:val="00664FC5"/>
    <w:rsid w:val="00665539"/>
    <w:rsid w:val="00665594"/>
    <w:rsid w:val="0066586D"/>
    <w:rsid w:val="006658F0"/>
    <w:rsid w:val="00665F0E"/>
    <w:rsid w:val="006662BA"/>
    <w:rsid w:val="00666332"/>
    <w:rsid w:val="0066642F"/>
    <w:rsid w:val="006666FD"/>
    <w:rsid w:val="00666DDF"/>
    <w:rsid w:val="006673D9"/>
    <w:rsid w:val="00667620"/>
    <w:rsid w:val="006678C9"/>
    <w:rsid w:val="00667D51"/>
    <w:rsid w:val="00667DB3"/>
    <w:rsid w:val="006703D5"/>
    <w:rsid w:val="00670491"/>
    <w:rsid w:val="00670B23"/>
    <w:rsid w:val="00670F01"/>
    <w:rsid w:val="00670F08"/>
    <w:rsid w:val="00671112"/>
    <w:rsid w:val="006711CD"/>
    <w:rsid w:val="00671274"/>
    <w:rsid w:val="006714CE"/>
    <w:rsid w:val="00671FC2"/>
    <w:rsid w:val="00672021"/>
    <w:rsid w:val="006724B7"/>
    <w:rsid w:val="00672626"/>
    <w:rsid w:val="00672876"/>
    <w:rsid w:val="006729FC"/>
    <w:rsid w:val="00672DD5"/>
    <w:rsid w:val="00672F78"/>
    <w:rsid w:val="0067339C"/>
    <w:rsid w:val="006734BE"/>
    <w:rsid w:val="006735F3"/>
    <w:rsid w:val="00673A06"/>
    <w:rsid w:val="00673D32"/>
    <w:rsid w:val="00674859"/>
    <w:rsid w:val="00675366"/>
    <w:rsid w:val="006759CB"/>
    <w:rsid w:val="00675D32"/>
    <w:rsid w:val="00675E99"/>
    <w:rsid w:val="006760DF"/>
    <w:rsid w:val="0067611A"/>
    <w:rsid w:val="00676157"/>
    <w:rsid w:val="0067626D"/>
    <w:rsid w:val="0067642C"/>
    <w:rsid w:val="00676A74"/>
    <w:rsid w:val="00676B58"/>
    <w:rsid w:val="00676D5D"/>
    <w:rsid w:val="00680148"/>
    <w:rsid w:val="00680F5B"/>
    <w:rsid w:val="006815AE"/>
    <w:rsid w:val="00682164"/>
    <w:rsid w:val="006821A3"/>
    <w:rsid w:val="0068230C"/>
    <w:rsid w:val="0068246C"/>
    <w:rsid w:val="00682BA5"/>
    <w:rsid w:val="00682FA5"/>
    <w:rsid w:val="0068316A"/>
    <w:rsid w:val="006834D8"/>
    <w:rsid w:val="006835B1"/>
    <w:rsid w:val="00683AC0"/>
    <w:rsid w:val="00683CCE"/>
    <w:rsid w:val="00683DEA"/>
    <w:rsid w:val="00683F05"/>
    <w:rsid w:val="006843EE"/>
    <w:rsid w:val="00684B43"/>
    <w:rsid w:val="00684D70"/>
    <w:rsid w:val="0068510C"/>
    <w:rsid w:val="006858F0"/>
    <w:rsid w:val="00685937"/>
    <w:rsid w:val="00685DBD"/>
    <w:rsid w:val="0068612F"/>
    <w:rsid w:val="00686EF0"/>
    <w:rsid w:val="006879AC"/>
    <w:rsid w:val="00687B93"/>
    <w:rsid w:val="00687E4C"/>
    <w:rsid w:val="00687F21"/>
    <w:rsid w:val="0069072A"/>
    <w:rsid w:val="00690A36"/>
    <w:rsid w:val="00690B2B"/>
    <w:rsid w:val="00690C85"/>
    <w:rsid w:val="0069106C"/>
    <w:rsid w:val="0069113C"/>
    <w:rsid w:val="00691433"/>
    <w:rsid w:val="006914E7"/>
    <w:rsid w:val="006916AA"/>
    <w:rsid w:val="00691C48"/>
    <w:rsid w:val="00691D6E"/>
    <w:rsid w:val="00692436"/>
    <w:rsid w:val="00692D16"/>
    <w:rsid w:val="00692FF7"/>
    <w:rsid w:val="006930BD"/>
    <w:rsid w:val="0069324C"/>
    <w:rsid w:val="006932EF"/>
    <w:rsid w:val="006935B3"/>
    <w:rsid w:val="0069394E"/>
    <w:rsid w:val="00693F3C"/>
    <w:rsid w:val="006943A2"/>
    <w:rsid w:val="00694761"/>
    <w:rsid w:val="00694840"/>
    <w:rsid w:val="00694B05"/>
    <w:rsid w:val="00694DF8"/>
    <w:rsid w:val="0069509B"/>
    <w:rsid w:val="006951E2"/>
    <w:rsid w:val="00695A32"/>
    <w:rsid w:val="006960FC"/>
    <w:rsid w:val="006964C6"/>
    <w:rsid w:val="00696852"/>
    <w:rsid w:val="00697379"/>
    <w:rsid w:val="00697393"/>
    <w:rsid w:val="006976BB"/>
    <w:rsid w:val="006977BF"/>
    <w:rsid w:val="006978ED"/>
    <w:rsid w:val="00697AF3"/>
    <w:rsid w:val="006A015F"/>
    <w:rsid w:val="006A114F"/>
    <w:rsid w:val="006A1624"/>
    <w:rsid w:val="006A184C"/>
    <w:rsid w:val="006A2C78"/>
    <w:rsid w:val="006A3481"/>
    <w:rsid w:val="006A361D"/>
    <w:rsid w:val="006A3870"/>
    <w:rsid w:val="006A3AF9"/>
    <w:rsid w:val="006A433E"/>
    <w:rsid w:val="006A454B"/>
    <w:rsid w:val="006A46C0"/>
    <w:rsid w:val="006A4D83"/>
    <w:rsid w:val="006A4E72"/>
    <w:rsid w:val="006A4F97"/>
    <w:rsid w:val="006A52EE"/>
    <w:rsid w:val="006A5A68"/>
    <w:rsid w:val="006A6E5D"/>
    <w:rsid w:val="006A756A"/>
    <w:rsid w:val="006A7E3F"/>
    <w:rsid w:val="006B020C"/>
    <w:rsid w:val="006B07A9"/>
    <w:rsid w:val="006B1105"/>
    <w:rsid w:val="006B1158"/>
    <w:rsid w:val="006B15AD"/>
    <w:rsid w:val="006B1B76"/>
    <w:rsid w:val="006B21C9"/>
    <w:rsid w:val="006B3446"/>
    <w:rsid w:val="006B38BE"/>
    <w:rsid w:val="006B3921"/>
    <w:rsid w:val="006B3D8C"/>
    <w:rsid w:val="006B43EC"/>
    <w:rsid w:val="006B45EA"/>
    <w:rsid w:val="006B4618"/>
    <w:rsid w:val="006B4AFB"/>
    <w:rsid w:val="006B4F01"/>
    <w:rsid w:val="006B58A1"/>
    <w:rsid w:val="006B5C2D"/>
    <w:rsid w:val="006B618C"/>
    <w:rsid w:val="006B70F4"/>
    <w:rsid w:val="006B7470"/>
    <w:rsid w:val="006B74D3"/>
    <w:rsid w:val="006B7656"/>
    <w:rsid w:val="006B7810"/>
    <w:rsid w:val="006B7845"/>
    <w:rsid w:val="006B7867"/>
    <w:rsid w:val="006C00BB"/>
    <w:rsid w:val="006C0638"/>
    <w:rsid w:val="006C09E4"/>
    <w:rsid w:val="006C0B2A"/>
    <w:rsid w:val="006C0ED8"/>
    <w:rsid w:val="006C102B"/>
    <w:rsid w:val="006C1144"/>
    <w:rsid w:val="006C1185"/>
    <w:rsid w:val="006C16F4"/>
    <w:rsid w:val="006C1B63"/>
    <w:rsid w:val="006C1F97"/>
    <w:rsid w:val="006C2872"/>
    <w:rsid w:val="006C2881"/>
    <w:rsid w:val="006C3181"/>
    <w:rsid w:val="006C3DDE"/>
    <w:rsid w:val="006C4C5E"/>
    <w:rsid w:val="006C5054"/>
    <w:rsid w:val="006C57B2"/>
    <w:rsid w:val="006C6B6F"/>
    <w:rsid w:val="006C722C"/>
    <w:rsid w:val="006C7528"/>
    <w:rsid w:val="006C77ED"/>
    <w:rsid w:val="006C783F"/>
    <w:rsid w:val="006C798A"/>
    <w:rsid w:val="006C7A48"/>
    <w:rsid w:val="006C7E40"/>
    <w:rsid w:val="006D05DB"/>
    <w:rsid w:val="006D0874"/>
    <w:rsid w:val="006D0894"/>
    <w:rsid w:val="006D1564"/>
    <w:rsid w:val="006D179A"/>
    <w:rsid w:val="006D1C4F"/>
    <w:rsid w:val="006D1EAB"/>
    <w:rsid w:val="006D21E9"/>
    <w:rsid w:val="006D22F6"/>
    <w:rsid w:val="006D257F"/>
    <w:rsid w:val="006D311A"/>
    <w:rsid w:val="006D341F"/>
    <w:rsid w:val="006D35EA"/>
    <w:rsid w:val="006D37AF"/>
    <w:rsid w:val="006D3A1F"/>
    <w:rsid w:val="006D3A52"/>
    <w:rsid w:val="006D4177"/>
    <w:rsid w:val="006D4336"/>
    <w:rsid w:val="006D4403"/>
    <w:rsid w:val="006D4720"/>
    <w:rsid w:val="006D47E1"/>
    <w:rsid w:val="006D47F0"/>
    <w:rsid w:val="006D4AA4"/>
    <w:rsid w:val="006D4DF2"/>
    <w:rsid w:val="006D4FA9"/>
    <w:rsid w:val="006D5019"/>
    <w:rsid w:val="006D501E"/>
    <w:rsid w:val="006D50CD"/>
    <w:rsid w:val="006D5274"/>
    <w:rsid w:val="006D5A63"/>
    <w:rsid w:val="006D5B26"/>
    <w:rsid w:val="006D5D56"/>
    <w:rsid w:val="006D66F4"/>
    <w:rsid w:val="006D6D49"/>
    <w:rsid w:val="006D6DB7"/>
    <w:rsid w:val="006D70E0"/>
    <w:rsid w:val="006D7856"/>
    <w:rsid w:val="006D7A8B"/>
    <w:rsid w:val="006E0181"/>
    <w:rsid w:val="006E0F71"/>
    <w:rsid w:val="006E13AE"/>
    <w:rsid w:val="006E16AA"/>
    <w:rsid w:val="006E1C91"/>
    <w:rsid w:val="006E1F6D"/>
    <w:rsid w:val="006E1F92"/>
    <w:rsid w:val="006E2A14"/>
    <w:rsid w:val="006E3227"/>
    <w:rsid w:val="006E3498"/>
    <w:rsid w:val="006E3841"/>
    <w:rsid w:val="006E3C64"/>
    <w:rsid w:val="006E3D8A"/>
    <w:rsid w:val="006E4199"/>
    <w:rsid w:val="006E43F6"/>
    <w:rsid w:val="006E450A"/>
    <w:rsid w:val="006E46D5"/>
    <w:rsid w:val="006E4CA2"/>
    <w:rsid w:val="006E4D80"/>
    <w:rsid w:val="006E4E3E"/>
    <w:rsid w:val="006E50B6"/>
    <w:rsid w:val="006E532B"/>
    <w:rsid w:val="006E5464"/>
    <w:rsid w:val="006E5EE8"/>
    <w:rsid w:val="006E6B3E"/>
    <w:rsid w:val="006E6D3C"/>
    <w:rsid w:val="006E6E49"/>
    <w:rsid w:val="006E6FA9"/>
    <w:rsid w:val="006E7108"/>
    <w:rsid w:val="006E718A"/>
    <w:rsid w:val="006E71F1"/>
    <w:rsid w:val="006E78A2"/>
    <w:rsid w:val="006E7D1E"/>
    <w:rsid w:val="006F061A"/>
    <w:rsid w:val="006F0766"/>
    <w:rsid w:val="006F0B1D"/>
    <w:rsid w:val="006F0F53"/>
    <w:rsid w:val="006F195F"/>
    <w:rsid w:val="006F1CEE"/>
    <w:rsid w:val="006F1F96"/>
    <w:rsid w:val="006F21DA"/>
    <w:rsid w:val="006F2870"/>
    <w:rsid w:val="006F28CA"/>
    <w:rsid w:val="006F2D05"/>
    <w:rsid w:val="006F2DD0"/>
    <w:rsid w:val="006F3552"/>
    <w:rsid w:val="006F3AED"/>
    <w:rsid w:val="006F434D"/>
    <w:rsid w:val="006F5A43"/>
    <w:rsid w:val="006F5C63"/>
    <w:rsid w:val="006F618D"/>
    <w:rsid w:val="006F61DF"/>
    <w:rsid w:val="006F650B"/>
    <w:rsid w:val="006F67AF"/>
    <w:rsid w:val="006F69CF"/>
    <w:rsid w:val="006F70EF"/>
    <w:rsid w:val="007014EC"/>
    <w:rsid w:val="007018F0"/>
    <w:rsid w:val="007019F6"/>
    <w:rsid w:val="00701F04"/>
    <w:rsid w:val="007024FD"/>
    <w:rsid w:val="0070267F"/>
    <w:rsid w:val="00702733"/>
    <w:rsid w:val="00702CAB"/>
    <w:rsid w:val="00703521"/>
    <w:rsid w:val="00703732"/>
    <w:rsid w:val="0070383F"/>
    <w:rsid w:val="00703DA0"/>
    <w:rsid w:val="0070438D"/>
    <w:rsid w:val="00704407"/>
    <w:rsid w:val="00704D58"/>
    <w:rsid w:val="00704FF7"/>
    <w:rsid w:val="007052B0"/>
    <w:rsid w:val="00705558"/>
    <w:rsid w:val="00705618"/>
    <w:rsid w:val="007057C9"/>
    <w:rsid w:val="00705B86"/>
    <w:rsid w:val="00705E27"/>
    <w:rsid w:val="00705F5D"/>
    <w:rsid w:val="007061E9"/>
    <w:rsid w:val="007064D2"/>
    <w:rsid w:val="00706583"/>
    <w:rsid w:val="007069ED"/>
    <w:rsid w:val="00707AA3"/>
    <w:rsid w:val="007102A7"/>
    <w:rsid w:val="007103DD"/>
    <w:rsid w:val="007107DF"/>
    <w:rsid w:val="007108F1"/>
    <w:rsid w:val="00710FA6"/>
    <w:rsid w:val="00710FBC"/>
    <w:rsid w:val="007110D8"/>
    <w:rsid w:val="00711275"/>
    <w:rsid w:val="0071162B"/>
    <w:rsid w:val="0071251B"/>
    <w:rsid w:val="007125DE"/>
    <w:rsid w:val="00712750"/>
    <w:rsid w:val="00712967"/>
    <w:rsid w:val="00712E4D"/>
    <w:rsid w:val="0071312F"/>
    <w:rsid w:val="0071384D"/>
    <w:rsid w:val="00713A49"/>
    <w:rsid w:val="00713A52"/>
    <w:rsid w:val="00713B49"/>
    <w:rsid w:val="00713BA4"/>
    <w:rsid w:val="00713BAD"/>
    <w:rsid w:val="00713CCA"/>
    <w:rsid w:val="00713ED4"/>
    <w:rsid w:val="00713EF8"/>
    <w:rsid w:val="00714427"/>
    <w:rsid w:val="00714741"/>
    <w:rsid w:val="00714C37"/>
    <w:rsid w:val="00714C8E"/>
    <w:rsid w:val="007156A6"/>
    <w:rsid w:val="0071574D"/>
    <w:rsid w:val="00715DF7"/>
    <w:rsid w:val="00715E0F"/>
    <w:rsid w:val="00716567"/>
    <w:rsid w:val="00716847"/>
    <w:rsid w:val="00716F33"/>
    <w:rsid w:val="0071747F"/>
    <w:rsid w:val="00717754"/>
    <w:rsid w:val="00717B7A"/>
    <w:rsid w:val="00720327"/>
    <w:rsid w:val="00720BDD"/>
    <w:rsid w:val="0072101F"/>
    <w:rsid w:val="007212CB"/>
    <w:rsid w:val="0072166A"/>
    <w:rsid w:val="00721EE9"/>
    <w:rsid w:val="00721FB6"/>
    <w:rsid w:val="00722732"/>
    <w:rsid w:val="0072369E"/>
    <w:rsid w:val="007238A9"/>
    <w:rsid w:val="00723B94"/>
    <w:rsid w:val="00723E43"/>
    <w:rsid w:val="00724089"/>
    <w:rsid w:val="007240EE"/>
    <w:rsid w:val="007243FC"/>
    <w:rsid w:val="00724512"/>
    <w:rsid w:val="00724D36"/>
    <w:rsid w:val="00724E80"/>
    <w:rsid w:val="00724F48"/>
    <w:rsid w:val="00724FD0"/>
    <w:rsid w:val="00724FE7"/>
    <w:rsid w:val="00725400"/>
    <w:rsid w:val="0072547C"/>
    <w:rsid w:val="00725EF0"/>
    <w:rsid w:val="0072604F"/>
    <w:rsid w:val="007263D3"/>
    <w:rsid w:val="00726BFF"/>
    <w:rsid w:val="00727213"/>
    <w:rsid w:val="0072742F"/>
    <w:rsid w:val="00727F78"/>
    <w:rsid w:val="00730E54"/>
    <w:rsid w:val="0073139C"/>
    <w:rsid w:val="0073154D"/>
    <w:rsid w:val="0073162B"/>
    <w:rsid w:val="00731881"/>
    <w:rsid w:val="00731913"/>
    <w:rsid w:val="00731DB2"/>
    <w:rsid w:val="007321D1"/>
    <w:rsid w:val="0073226A"/>
    <w:rsid w:val="007326BB"/>
    <w:rsid w:val="00732B3D"/>
    <w:rsid w:val="00733045"/>
    <w:rsid w:val="0073326B"/>
    <w:rsid w:val="007337E1"/>
    <w:rsid w:val="00733F24"/>
    <w:rsid w:val="00733FA3"/>
    <w:rsid w:val="007342AC"/>
    <w:rsid w:val="00734713"/>
    <w:rsid w:val="00734D2F"/>
    <w:rsid w:val="00734F0F"/>
    <w:rsid w:val="0073510D"/>
    <w:rsid w:val="0073518A"/>
    <w:rsid w:val="00735226"/>
    <w:rsid w:val="00735609"/>
    <w:rsid w:val="00735BBB"/>
    <w:rsid w:val="00735C53"/>
    <w:rsid w:val="00736743"/>
    <w:rsid w:val="00736E50"/>
    <w:rsid w:val="007373FD"/>
    <w:rsid w:val="00737A7A"/>
    <w:rsid w:val="00737FE5"/>
    <w:rsid w:val="007401D9"/>
    <w:rsid w:val="00740460"/>
    <w:rsid w:val="0074051D"/>
    <w:rsid w:val="00740F24"/>
    <w:rsid w:val="00741B45"/>
    <w:rsid w:val="00741D80"/>
    <w:rsid w:val="00741E2F"/>
    <w:rsid w:val="00741EC9"/>
    <w:rsid w:val="00742082"/>
    <w:rsid w:val="0074246F"/>
    <w:rsid w:val="007429ED"/>
    <w:rsid w:val="00742A67"/>
    <w:rsid w:val="007430CA"/>
    <w:rsid w:val="007436A4"/>
    <w:rsid w:val="00743DC3"/>
    <w:rsid w:val="00743EC1"/>
    <w:rsid w:val="00743F94"/>
    <w:rsid w:val="007443B6"/>
    <w:rsid w:val="00744E39"/>
    <w:rsid w:val="007450A7"/>
    <w:rsid w:val="00745692"/>
    <w:rsid w:val="007464FB"/>
    <w:rsid w:val="0074704B"/>
    <w:rsid w:val="007474DC"/>
    <w:rsid w:val="00747741"/>
    <w:rsid w:val="00747A9B"/>
    <w:rsid w:val="00747C42"/>
    <w:rsid w:val="00747D86"/>
    <w:rsid w:val="007501D2"/>
    <w:rsid w:val="0075064B"/>
    <w:rsid w:val="00750C6B"/>
    <w:rsid w:val="00750DF9"/>
    <w:rsid w:val="00750EB3"/>
    <w:rsid w:val="00751212"/>
    <w:rsid w:val="0075198E"/>
    <w:rsid w:val="00752066"/>
    <w:rsid w:val="00752071"/>
    <w:rsid w:val="007529C8"/>
    <w:rsid w:val="00753B48"/>
    <w:rsid w:val="00753EB2"/>
    <w:rsid w:val="0075428E"/>
    <w:rsid w:val="007542B0"/>
    <w:rsid w:val="00754429"/>
    <w:rsid w:val="00754696"/>
    <w:rsid w:val="00754B16"/>
    <w:rsid w:val="00754D0A"/>
    <w:rsid w:val="007553B1"/>
    <w:rsid w:val="00756A0A"/>
    <w:rsid w:val="0075719C"/>
    <w:rsid w:val="0075766C"/>
    <w:rsid w:val="007577CE"/>
    <w:rsid w:val="007579E1"/>
    <w:rsid w:val="00757B91"/>
    <w:rsid w:val="007607CE"/>
    <w:rsid w:val="00760AD3"/>
    <w:rsid w:val="00760DF0"/>
    <w:rsid w:val="00760ED5"/>
    <w:rsid w:val="00760F06"/>
    <w:rsid w:val="007615E4"/>
    <w:rsid w:val="0076186B"/>
    <w:rsid w:val="00761E0D"/>
    <w:rsid w:val="00762133"/>
    <w:rsid w:val="0076230C"/>
    <w:rsid w:val="00762B3B"/>
    <w:rsid w:val="00762DD6"/>
    <w:rsid w:val="00762F71"/>
    <w:rsid w:val="00762FDB"/>
    <w:rsid w:val="00763152"/>
    <w:rsid w:val="00763529"/>
    <w:rsid w:val="00763648"/>
    <w:rsid w:val="00763693"/>
    <w:rsid w:val="00763A62"/>
    <w:rsid w:val="007640A5"/>
    <w:rsid w:val="007642FF"/>
    <w:rsid w:val="0076489E"/>
    <w:rsid w:val="007648E6"/>
    <w:rsid w:val="007650A2"/>
    <w:rsid w:val="007654C6"/>
    <w:rsid w:val="00765995"/>
    <w:rsid w:val="00765E01"/>
    <w:rsid w:val="00765E98"/>
    <w:rsid w:val="00766416"/>
    <w:rsid w:val="00766422"/>
    <w:rsid w:val="00766B23"/>
    <w:rsid w:val="00766B5F"/>
    <w:rsid w:val="00766CA5"/>
    <w:rsid w:val="00767582"/>
    <w:rsid w:val="00767D7B"/>
    <w:rsid w:val="00767F3E"/>
    <w:rsid w:val="00770427"/>
    <w:rsid w:val="0077045B"/>
    <w:rsid w:val="00770887"/>
    <w:rsid w:val="007708DC"/>
    <w:rsid w:val="00770982"/>
    <w:rsid w:val="00771C2B"/>
    <w:rsid w:val="007727F1"/>
    <w:rsid w:val="00772CAA"/>
    <w:rsid w:val="00772D55"/>
    <w:rsid w:val="00772EF8"/>
    <w:rsid w:val="007730CC"/>
    <w:rsid w:val="0077322E"/>
    <w:rsid w:val="0077346E"/>
    <w:rsid w:val="00773772"/>
    <w:rsid w:val="00774716"/>
    <w:rsid w:val="0077484D"/>
    <w:rsid w:val="00774DE7"/>
    <w:rsid w:val="007752F8"/>
    <w:rsid w:val="007759E0"/>
    <w:rsid w:val="00775AF6"/>
    <w:rsid w:val="00776409"/>
    <w:rsid w:val="007766A4"/>
    <w:rsid w:val="00776784"/>
    <w:rsid w:val="007767C5"/>
    <w:rsid w:val="00776B05"/>
    <w:rsid w:val="007770A7"/>
    <w:rsid w:val="0077785A"/>
    <w:rsid w:val="00777E17"/>
    <w:rsid w:val="00780319"/>
    <w:rsid w:val="007803D0"/>
    <w:rsid w:val="00780ABC"/>
    <w:rsid w:val="00780C15"/>
    <w:rsid w:val="00780EBC"/>
    <w:rsid w:val="0078138E"/>
    <w:rsid w:val="007815EB"/>
    <w:rsid w:val="00781659"/>
    <w:rsid w:val="0078251F"/>
    <w:rsid w:val="00783029"/>
    <w:rsid w:val="007830F5"/>
    <w:rsid w:val="007832BD"/>
    <w:rsid w:val="0078359E"/>
    <w:rsid w:val="007837AB"/>
    <w:rsid w:val="007841D6"/>
    <w:rsid w:val="00784A2F"/>
    <w:rsid w:val="00784D35"/>
    <w:rsid w:val="00784E3D"/>
    <w:rsid w:val="007850B5"/>
    <w:rsid w:val="00785EEE"/>
    <w:rsid w:val="00786292"/>
    <w:rsid w:val="00786515"/>
    <w:rsid w:val="007866E5"/>
    <w:rsid w:val="00786C75"/>
    <w:rsid w:val="00787276"/>
    <w:rsid w:val="0078727E"/>
    <w:rsid w:val="00787CCA"/>
    <w:rsid w:val="00790251"/>
    <w:rsid w:val="00790C39"/>
    <w:rsid w:val="00791101"/>
    <w:rsid w:val="00791215"/>
    <w:rsid w:val="0079130C"/>
    <w:rsid w:val="007914F3"/>
    <w:rsid w:val="007919BA"/>
    <w:rsid w:val="00791EE4"/>
    <w:rsid w:val="00792348"/>
    <w:rsid w:val="00792849"/>
    <w:rsid w:val="00792BF4"/>
    <w:rsid w:val="00792C85"/>
    <w:rsid w:val="00792F8D"/>
    <w:rsid w:val="00793281"/>
    <w:rsid w:val="00793C4E"/>
    <w:rsid w:val="007950CE"/>
    <w:rsid w:val="007957B6"/>
    <w:rsid w:val="007961AA"/>
    <w:rsid w:val="0079645D"/>
    <w:rsid w:val="00796BDD"/>
    <w:rsid w:val="00796C8D"/>
    <w:rsid w:val="00797250"/>
    <w:rsid w:val="007977B0"/>
    <w:rsid w:val="00797848"/>
    <w:rsid w:val="00797A1F"/>
    <w:rsid w:val="007A098C"/>
    <w:rsid w:val="007A0DF3"/>
    <w:rsid w:val="007A10A3"/>
    <w:rsid w:val="007A126F"/>
    <w:rsid w:val="007A12F9"/>
    <w:rsid w:val="007A1642"/>
    <w:rsid w:val="007A2B3E"/>
    <w:rsid w:val="007A3260"/>
    <w:rsid w:val="007A3376"/>
    <w:rsid w:val="007A34B2"/>
    <w:rsid w:val="007A35BB"/>
    <w:rsid w:val="007A38E9"/>
    <w:rsid w:val="007A41D4"/>
    <w:rsid w:val="007A4208"/>
    <w:rsid w:val="007A445E"/>
    <w:rsid w:val="007A4A89"/>
    <w:rsid w:val="007A4EC2"/>
    <w:rsid w:val="007A50B2"/>
    <w:rsid w:val="007A62E3"/>
    <w:rsid w:val="007A6B37"/>
    <w:rsid w:val="007A7191"/>
    <w:rsid w:val="007A7205"/>
    <w:rsid w:val="007A7314"/>
    <w:rsid w:val="007A78EA"/>
    <w:rsid w:val="007B008F"/>
    <w:rsid w:val="007B04F5"/>
    <w:rsid w:val="007B10F3"/>
    <w:rsid w:val="007B110E"/>
    <w:rsid w:val="007B3315"/>
    <w:rsid w:val="007B3369"/>
    <w:rsid w:val="007B3549"/>
    <w:rsid w:val="007B3621"/>
    <w:rsid w:val="007B36EF"/>
    <w:rsid w:val="007B442C"/>
    <w:rsid w:val="007B4A82"/>
    <w:rsid w:val="007B523F"/>
    <w:rsid w:val="007B52A7"/>
    <w:rsid w:val="007B6007"/>
    <w:rsid w:val="007B626B"/>
    <w:rsid w:val="007B64AA"/>
    <w:rsid w:val="007B7198"/>
    <w:rsid w:val="007B7302"/>
    <w:rsid w:val="007B7451"/>
    <w:rsid w:val="007B7497"/>
    <w:rsid w:val="007B776B"/>
    <w:rsid w:val="007B7D81"/>
    <w:rsid w:val="007B7F69"/>
    <w:rsid w:val="007C0B1B"/>
    <w:rsid w:val="007C1025"/>
    <w:rsid w:val="007C1321"/>
    <w:rsid w:val="007C1790"/>
    <w:rsid w:val="007C18CB"/>
    <w:rsid w:val="007C1FFB"/>
    <w:rsid w:val="007C2392"/>
    <w:rsid w:val="007C24EE"/>
    <w:rsid w:val="007C2A25"/>
    <w:rsid w:val="007C2E28"/>
    <w:rsid w:val="007C3B8A"/>
    <w:rsid w:val="007C4568"/>
    <w:rsid w:val="007C4657"/>
    <w:rsid w:val="007C5910"/>
    <w:rsid w:val="007C5951"/>
    <w:rsid w:val="007C59F7"/>
    <w:rsid w:val="007C618E"/>
    <w:rsid w:val="007C6C83"/>
    <w:rsid w:val="007C6DCF"/>
    <w:rsid w:val="007C6E65"/>
    <w:rsid w:val="007C73AC"/>
    <w:rsid w:val="007C7737"/>
    <w:rsid w:val="007C7BB9"/>
    <w:rsid w:val="007C7C33"/>
    <w:rsid w:val="007C7F1F"/>
    <w:rsid w:val="007D0044"/>
    <w:rsid w:val="007D06F4"/>
    <w:rsid w:val="007D18FE"/>
    <w:rsid w:val="007D2455"/>
    <w:rsid w:val="007D32B4"/>
    <w:rsid w:val="007D3AF7"/>
    <w:rsid w:val="007D3E9F"/>
    <w:rsid w:val="007D434E"/>
    <w:rsid w:val="007D45C8"/>
    <w:rsid w:val="007D4BA8"/>
    <w:rsid w:val="007D4C28"/>
    <w:rsid w:val="007D4DEE"/>
    <w:rsid w:val="007D569F"/>
    <w:rsid w:val="007D59BC"/>
    <w:rsid w:val="007D5B05"/>
    <w:rsid w:val="007D653F"/>
    <w:rsid w:val="007D6A22"/>
    <w:rsid w:val="007D6F9A"/>
    <w:rsid w:val="007D716C"/>
    <w:rsid w:val="007D79D5"/>
    <w:rsid w:val="007E00E9"/>
    <w:rsid w:val="007E04BF"/>
    <w:rsid w:val="007E0DBB"/>
    <w:rsid w:val="007E0F97"/>
    <w:rsid w:val="007E100E"/>
    <w:rsid w:val="007E127A"/>
    <w:rsid w:val="007E1753"/>
    <w:rsid w:val="007E1904"/>
    <w:rsid w:val="007E1B84"/>
    <w:rsid w:val="007E1DD6"/>
    <w:rsid w:val="007E1F9F"/>
    <w:rsid w:val="007E2108"/>
    <w:rsid w:val="007E22C2"/>
    <w:rsid w:val="007E28C4"/>
    <w:rsid w:val="007E2A21"/>
    <w:rsid w:val="007E2B0A"/>
    <w:rsid w:val="007E2F61"/>
    <w:rsid w:val="007E301B"/>
    <w:rsid w:val="007E323F"/>
    <w:rsid w:val="007E35E4"/>
    <w:rsid w:val="007E376B"/>
    <w:rsid w:val="007E3A9E"/>
    <w:rsid w:val="007E3CBB"/>
    <w:rsid w:val="007E413C"/>
    <w:rsid w:val="007E41FB"/>
    <w:rsid w:val="007E4B68"/>
    <w:rsid w:val="007E4CC0"/>
    <w:rsid w:val="007E4DD3"/>
    <w:rsid w:val="007E56AE"/>
    <w:rsid w:val="007E59CA"/>
    <w:rsid w:val="007E5F7B"/>
    <w:rsid w:val="007E66D8"/>
    <w:rsid w:val="007E75C0"/>
    <w:rsid w:val="007E786E"/>
    <w:rsid w:val="007F052C"/>
    <w:rsid w:val="007F07F3"/>
    <w:rsid w:val="007F1203"/>
    <w:rsid w:val="007F1230"/>
    <w:rsid w:val="007F178D"/>
    <w:rsid w:val="007F1A1F"/>
    <w:rsid w:val="007F1D41"/>
    <w:rsid w:val="007F1F03"/>
    <w:rsid w:val="007F24B0"/>
    <w:rsid w:val="007F2625"/>
    <w:rsid w:val="007F2F76"/>
    <w:rsid w:val="007F35DF"/>
    <w:rsid w:val="007F3E5C"/>
    <w:rsid w:val="007F406A"/>
    <w:rsid w:val="007F45BC"/>
    <w:rsid w:val="007F5114"/>
    <w:rsid w:val="007F54B2"/>
    <w:rsid w:val="007F54DE"/>
    <w:rsid w:val="007F5506"/>
    <w:rsid w:val="007F5609"/>
    <w:rsid w:val="007F59DB"/>
    <w:rsid w:val="007F6592"/>
    <w:rsid w:val="007F65F9"/>
    <w:rsid w:val="007F65FF"/>
    <w:rsid w:val="007F68B7"/>
    <w:rsid w:val="007F6C61"/>
    <w:rsid w:val="007F78D5"/>
    <w:rsid w:val="007F7902"/>
    <w:rsid w:val="007F7CD3"/>
    <w:rsid w:val="007F7F48"/>
    <w:rsid w:val="007F7FB5"/>
    <w:rsid w:val="0080016B"/>
    <w:rsid w:val="00801259"/>
    <w:rsid w:val="00801265"/>
    <w:rsid w:val="00801843"/>
    <w:rsid w:val="00801A73"/>
    <w:rsid w:val="008024AE"/>
    <w:rsid w:val="00802E04"/>
    <w:rsid w:val="0080396D"/>
    <w:rsid w:val="00803CEE"/>
    <w:rsid w:val="00803F6D"/>
    <w:rsid w:val="00803F9C"/>
    <w:rsid w:val="00804350"/>
    <w:rsid w:val="0080444A"/>
    <w:rsid w:val="008045CF"/>
    <w:rsid w:val="008045ED"/>
    <w:rsid w:val="00805103"/>
    <w:rsid w:val="008051F0"/>
    <w:rsid w:val="00805E97"/>
    <w:rsid w:val="00805FD3"/>
    <w:rsid w:val="00805FFE"/>
    <w:rsid w:val="00806119"/>
    <w:rsid w:val="00806131"/>
    <w:rsid w:val="008069A6"/>
    <w:rsid w:val="00806CC1"/>
    <w:rsid w:val="00807560"/>
    <w:rsid w:val="00810546"/>
    <w:rsid w:val="00810653"/>
    <w:rsid w:val="00810935"/>
    <w:rsid w:val="00810D7B"/>
    <w:rsid w:val="00810DC0"/>
    <w:rsid w:val="00810E3C"/>
    <w:rsid w:val="00811441"/>
    <w:rsid w:val="00811799"/>
    <w:rsid w:val="00812597"/>
    <w:rsid w:val="00812786"/>
    <w:rsid w:val="008128C4"/>
    <w:rsid w:val="00813038"/>
    <w:rsid w:val="008134F1"/>
    <w:rsid w:val="008138E4"/>
    <w:rsid w:val="00813BBB"/>
    <w:rsid w:val="00814B23"/>
    <w:rsid w:val="00815198"/>
    <w:rsid w:val="00815CEC"/>
    <w:rsid w:val="008168A5"/>
    <w:rsid w:val="00816D7C"/>
    <w:rsid w:val="00817036"/>
    <w:rsid w:val="008170E9"/>
    <w:rsid w:val="00817314"/>
    <w:rsid w:val="00817AEB"/>
    <w:rsid w:val="00817C76"/>
    <w:rsid w:val="0082004A"/>
    <w:rsid w:val="008202BA"/>
    <w:rsid w:val="008202F3"/>
    <w:rsid w:val="0082037E"/>
    <w:rsid w:val="0082079C"/>
    <w:rsid w:val="00820875"/>
    <w:rsid w:val="00820962"/>
    <w:rsid w:val="00820BE6"/>
    <w:rsid w:val="008210D3"/>
    <w:rsid w:val="008213AF"/>
    <w:rsid w:val="00821444"/>
    <w:rsid w:val="008215B9"/>
    <w:rsid w:val="008216BC"/>
    <w:rsid w:val="00821747"/>
    <w:rsid w:val="00821749"/>
    <w:rsid w:val="00821B89"/>
    <w:rsid w:val="0082235A"/>
    <w:rsid w:val="00822B95"/>
    <w:rsid w:val="00822EDB"/>
    <w:rsid w:val="008234DD"/>
    <w:rsid w:val="00823976"/>
    <w:rsid w:val="00823B36"/>
    <w:rsid w:val="00823C82"/>
    <w:rsid w:val="00823E43"/>
    <w:rsid w:val="00823F07"/>
    <w:rsid w:val="00824070"/>
    <w:rsid w:val="008241D8"/>
    <w:rsid w:val="008242AC"/>
    <w:rsid w:val="0082454A"/>
    <w:rsid w:val="00826094"/>
    <w:rsid w:val="008262D2"/>
    <w:rsid w:val="0082661D"/>
    <w:rsid w:val="00830151"/>
    <w:rsid w:val="0083023D"/>
    <w:rsid w:val="00830423"/>
    <w:rsid w:val="008306CF"/>
    <w:rsid w:val="0083082F"/>
    <w:rsid w:val="00830D15"/>
    <w:rsid w:val="0083111B"/>
    <w:rsid w:val="008314D1"/>
    <w:rsid w:val="0083168F"/>
    <w:rsid w:val="00831EED"/>
    <w:rsid w:val="00832056"/>
    <w:rsid w:val="00832190"/>
    <w:rsid w:val="008326E7"/>
    <w:rsid w:val="008328E3"/>
    <w:rsid w:val="00832DEB"/>
    <w:rsid w:val="00833836"/>
    <w:rsid w:val="00834161"/>
    <w:rsid w:val="00834BCD"/>
    <w:rsid w:val="00834FB3"/>
    <w:rsid w:val="00835288"/>
    <w:rsid w:val="008354B6"/>
    <w:rsid w:val="00835CC8"/>
    <w:rsid w:val="00835DBD"/>
    <w:rsid w:val="0083601A"/>
    <w:rsid w:val="00836054"/>
    <w:rsid w:val="008360FD"/>
    <w:rsid w:val="00836272"/>
    <w:rsid w:val="008362B6"/>
    <w:rsid w:val="00836D0F"/>
    <w:rsid w:val="008374FC"/>
    <w:rsid w:val="00837BEB"/>
    <w:rsid w:val="00840198"/>
    <w:rsid w:val="00840441"/>
    <w:rsid w:val="008405E0"/>
    <w:rsid w:val="00840BC5"/>
    <w:rsid w:val="00840C3A"/>
    <w:rsid w:val="00840C3C"/>
    <w:rsid w:val="00840F7F"/>
    <w:rsid w:val="00841150"/>
    <w:rsid w:val="0084199D"/>
    <w:rsid w:val="00841D85"/>
    <w:rsid w:val="00842771"/>
    <w:rsid w:val="00842B7D"/>
    <w:rsid w:val="00842B8C"/>
    <w:rsid w:val="00842D8A"/>
    <w:rsid w:val="00842ECE"/>
    <w:rsid w:val="00843CBA"/>
    <w:rsid w:val="00843EAC"/>
    <w:rsid w:val="008442D2"/>
    <w:rsid w:val="00844697"/>
    <w:rsid w:val="00844985"/>
    <w:rsid w:val="00844A9F"/>
    <w:rsid w:val="00844E9A"/>
    <w:rsid w:val="00845606"/>
    <w:rsid w:val="0084568A"/>
    <w:rsid w:val="00845BDB"/>
    <w:rsid w:val="008461BF"/>
    <w:rsid w:val="008461C8"/>
    <w:rsid w:val="008469B1"/>
    <w:rsid w:val="00846A1C"/>
    <w:rsid w:val="00846E82"/>
    <w:rsid w:val="00846F2F"/>
    <w:rsid w:val="00847A74"/>
    <w:rsid w:val="00847E54"/>
    <w:rsid w:val="00850A7B"/>
    <w:rsid w:val="00850E23"/>
    <w:rsid w:val="00850FB1"/>
    <w:rsid w:val="00850FB2"/>
    <w:rsid w:val="00851388"/>
    <w:rsid w:val="008519BC"/>
    <w:rsid w:val="00851BF8"/>
    <w:rsid w:val="00852345"/>
    <w:rsid w:val="00852638"/>
    <w:rsid w:val="00852D5C"/>
    <w:rsid w:val="00852F05"/>
    <w:rsid w:val="00853090"/>
    <w:rsid w:val="00853329"/>
    <w:rsid w:val="00853509"/>
    <w:rsid w:val="00853AF2"/>
    <w:rsid w:val="00853B02"/>
    <w:rsid w:val="00853BC8"/>
    <w:rsid w:val="0085437C"/>
    <w:rsid w:val="00854777"/>
    <w:rsid w:val="008549B5"/>
    <w:rsid w:val="00854CCB"/>
    <w:rsid w:val="0085580B"/>
    <w:rsid w:val="00855C1C"/>
    <w:rsid w:val="00856043"/>
    <w:rsid w:val="008562F6"/>
    <w:rsid w:val="00856595"/>
    <w:rsid w:val="00856D8A"/>
    <w:rsid w:val="00856FC6"/>
    <w:rsid w:val="0085756E"/>
    <w:rsid w:val="008575D8"/>
    <w:rsid w:val="00860156"/>
    <w:rsid w:val="00860F01"/>
    <w:rsid w:val="00860F36"/>
    <w:rsid w:val="00861072"/>
    <w:rsid w:val="008612A8"/>
    <w:rsid w:val="008625C0"/>
    <w:rsid w:val="008629B1"/>
    <w:rsid w:val="00862B00"/>
    <w:rsid w:val="00863FA2"/>
    <w:rsid w:val="00864133"/>
    <w:rsid w:val="0086438A"/>
    <w:rsid w:val="00864BAC"/>
    <w:rsid w:val="0086518E"/>
    <w:rsid w:val="00865223"/>
    <w:rsid w:val="00865250"/>
    <w:rsid w:val="00865264"/>
    <w:rsid w:val="0086592B"/>
    <w:rsid w:val="00865D8C"/>
    <w:rsid w:val="00866142"/>
    <w:rsid w:val="0086660F"/>
    <w:rsid w:val="00866972"/>
    <w:rsid w:val="00867040"/>
    <w:rsid w:val="00867071"/>
    <w:rsid w:val="00867198"/>
    <w:rsid w:val="0086751D"/>
    <w:rsid w:val="00867794"/>
    <w:rsid w:val="00867903"/>
    <w:rsid w:val="00867EE1"/>
    <w:rsid w:val="00870084"/>
    <w:rsid w:val="00870638"/>
    <w:rsid w:val="00870888"/>
    <w:rsid w:val="00870FA2"/>
    <w:rsid w:val="00871528"/>
    <w:rsid w:val="008715A1"/>
    <w:rsid w:val="0087193A"/>
    <w:rsid w:val="00871B9F"/>
    <w:rsid w:val="00871CA8"/>
    <w:rsid w:val="008722DD"/>
    <w:rsid w:val="00872D49"/>
    <w:rsid w:val="008734C1"/>
    <w:rsid w:val="00874500"/>
    <w:rsid w:val="0087488B"/>
    <w:rsid w:val="00874A2B"/>
    <w:rsid w:val="00874B1E"/>
    <w:rsid w:val="00874BAA"/>
    <w:rsid w:val="00875CB8"/>
    <w:rsid w:val="00876531"/>
    <w:rsid w:val="00876987"/>
    <w:rsid w:val="008777AC"/>
    <w:rsid w:val="00877A4E"/>
    <w:rsid w:val="00877F55"/>
    <w:rsid w:val="00880721"/>
    <w:rsid w:val="00880CE6"/>
    <w:rsid w:val="008811AC"/>
    <w:rsid w:val="00881978"/>
    <w:rsid w:val="00881C12"/>
    <w:rsid w:val="00881DA0"/>
    <w:rsid w:val="008828B3"/>
    <w:rsid w:val="00882DCD"/>
    <w:rsid w:val="00883399"/>
    <w:rsid w:val="0088368D"/>
    <w:rsid w:val="00883A3D"/>
    <w:rsid w:val="00883A43"/>
    <w:rsid w:val="00884394"/>
    <w:rsid w:val="0088475C"/>
    <w:rsid w:val="00884DE1"/>
    <w:rsid w:val="008856FD"/>
    <w:rsid w:val="00885C38"/>
    <w:rsid w:val="00886D08"/>
    <w:rsid w:val="00887157"/>
    <w:rsid w:val="00887FDF"/>
    <w:rsid w:val="00891B29"/>
    <w:rsid w:val="00892422"/>
    <w:rsid w:val="0089296D"/>
    <w:rsid w:val="008930F0"/>
    <w:rsid w:val="00893D2C"/>
    <w:rsid w:val="00893F6D"/>
    <w:rsid w:val="008943A7"/>
    <w:rsid w:val="008947AD"/>
    <w:rsid w:val="00895BF3"/>
    <w:rsid w:val="008967D5"/>
    <w:rsid w:val="00896B3C"/>
    <w:rsid w:val="00896D37"/>
    <w:rsid w:val="008971B1"/>
    <w:rsid w:val="00897432"/>
    <w:rsid w:val="00897E53"/>
    <w:rsid w:val="008A0382"/>
    <w:rsid w:val="008A0A31"/>
    <w:rsid w:val="008A0DA6"/>
    <w:rsid w:val="008A10A4"/>
    <w:rsid w:val="008A1600"/>
    <w:rsid w:val="008A1EBC"/>
    <w:rsid w:val="008A1FA2"/>
    <w:rsid w:val="008A2E6F"/>
    <w:rsid w:val="008A3859"/>
    <w:rsid w:val="008A40CE"/>
    <w:rsid w:val="008A443A"/>
    <w:rsid w:val="008A4C9D"/>
    <w:rsid w:val="008A4FD2"/>
    <w:rsid w:val="008A50AB"/>
    <w:rsid w:val="008A5701"/>
    <w:rsid w:val="008A5DC0"/>
    <w:rsid w:val="008A680B"/>
    <w:rsid w:val="008A68CE"/>
    <w:rsid w:val="008A6F20"/>
    <w:rsid w:val="008A7090"/>
    <w:rsid w:val="008B0190"/>
    <w:rsid w:val="008B041F"/>
    <w:rsid w:val="008B0629"/>
    <w:rsid w:val="008B07BC"/>
    <w:rsid w:val="008B1242"/>
    <w:rsid w:val="008B162C"/>
    <w:rsid w:val="008B165E"/>
    <w:rsid w:val="008B16CD"/>
    <w:rsid w:val="008B173A"/>
    <w:rsid w:val="008B19FD"/>
    <w:rsid w:val="008B21AD"/>
    <w:rsid w:val="008B2795"/>
    <w:rsid w:val="008B27CF"/>
    <w:rsid w:val="008B2B3C"/>
    <w:rsid w:val="008B320A"/>
    <w:rsid w:val="008B327D"/>
    <w:rsid w:val="008B3C26"/>
    <w:rsid w:val="008B44A8"/>
    <w:rsid w:val="008B4705"/>
    <w:rsid w:val="008B4957"/>
    <w:rsid w:val="008B5D4B"/>
    <w:rsid w:val="008B6A86"/>
    <w:rsid w:val="008B70EF"/>
    <w:rsid w:val="008B7125"/>
    <w:rsid w:val="008C01D1"/>
    <w:rsid w:val="008C022C"/>
    <w:rsid w:val="008C0A2D"/>
    <w:rsid w:val="008C0F0C"/>
    <w:rsid w:val="008C1E94"/>
    <w:rsid w:val="008C248C"/>
    <w:rsid w:val="008C298A"/>
    <w:rsid w:val="008C2C08"/>
    <w:rsid w:val="008C2F0D"/>
    <w:rsid w:val="008C30EB"/>
    <w:rsid w:val="008C326F"/>
    <w:rsid w:val="008C34B2"/>
    <w:rsid w:val="008C3788"/>
    <w:rsid w:val="008C3C39"/>
    <w:rsid w:val="008C46BF"/>
    <w:rsid w:val="008C48B0"/>
    <w:rsid w:val="008C50E6"/>
    <w:rsid w:val="008C541E"/>
    <w:rsid w:val="008C57A8"/>
    <w:rsid w:val="008C635B"/>
    <w:rsid w:val="008C6976"/>
    <w:rsid w:val="008C6B7D"/>
    <w:rsid w:val="008C7074"/>
    <w:rsid w:val="008C73F7"/>
    <w:rsid w:val="008C750D"/>
    <w:rsid w:val="008C7604"/>
    <w:rsid w:val="008D006B"/>
    <w:rsid w:val="008D02CD"/>
    <w:rsid w:val="008D0DFE"/>
    <w:rsid w:val="008D1038"/>
    <w:rsid w:val="008D1112"/>
    <w:rsid w:val="008D14BB"/>
    <w:rsid w:val="008D176B"/>
    <w:rsid w:val="008D196A"/>
    <w:rsid w:val="008D1A01"/>
    <w:rsid w:val="008D1F29"/>
    <w:rsid w:val="008D25B4"/>
    <w:rsid w:val="008D2835"/>
    <w:rsid w:val="008D3836"/>
    <w:rsid w:val="008D3DDA"/>
    <w:rsid w:val="008D3FF4"/>
    <w:rsid w:val="008D4678"/>
    <w:rsid w:val="008D4831"/>
    <w:rsid w:val="008D48C6"/>
    <w:rsid w:val="008D5173"/>
    <w:rsid w:val="008D53C2"/>
    <w:rsid w:val="008D53D8"/>
    <w:rsid w:val="008D5C9C"/>
    <w:rsid w:val="008D60BA"/>
    <w:rsid w:val="008D653F"/>
    <w:rsid w:val="008D67E9"/>
    <w:rsid w:val="008D6D61"/>
    <w:rsid w:val="008D73C3"/>
    <w:rsid w:val="008D73D2"/>
    <w:rsid w:val="008D78AA"/>
    <w:rsid w:val="008E09C3"/>
    <w:rsid w:val="008E0ACA"/>
    <w:rsid w:val="008E0C42"/>
    <w:rsid w:val="008E1192"/>
    <w:rsid w:val="008E13BD"/>
    <w:rsid w:val="008E182C"/>
    <w:rsid w:val="008E1C6A"/>
    <w:rsid w:val="008E20FF"/>
    <w:rsid w:val="008E272A"/>
    <w:rsid w:val="008E3521"/>
    <w:rsid w:val="008E3A2F"/>
    <w:rsid w:val="008E3AED"/>
    <w:rsid w:val="008E3C48"/>
    <w:rsid w:val="008E3CF5"/>
    <w:rsid w:val="008E3DEE"/>
    <w:rsid w:val="008E4C75"/>
    <w:rsid w:val="008E513C"/>
    <w:rsid w:val="008E56F4"/>
    <w:rsid w:val="008E69DA"/>
    <w:rsid w:val="008E7038"/>
    <w:rsid w:val="008E72DC"/>
    <w:rsid w:val="008E75BF"/>
    <w:rsid w:val="008F0837"/>
    <w:rsid w:val="008F0D04"/>
    <w:rsid w:val="008F0DD5"/>
    <w:rsid w:val="008F1113"/>
    <w:rsid w:val="008F1134"/>
    <w:rsid w:val="008F1581"/>
    <w:rsid w:val="008F15D8"/>
    <w:rsid w:val="008F160D"/>
    <w:rsid w:val="008F164D"/>
    <w:rsid w:val="008F1B20"/>
    <w:rsid w:val="008F1CA8"/>
    <w:rsid w:val="008F1D9B"/>
    <w:rsid w:val="008F1EA8"/>
    <w:rsid w:val="008F1EB5"/>
    <w:rsid w:val="008F209F"/>
    <w:rsid w:val="008F21BA"/>
    <w:rsid w:val="008F222A"/>
    <w:rsid w:val="008F27F3"/>
    <w:rsid w:val="008F29DC"/>
    <w:rsid w:val="008F2B13"/>
    <w:rsid w:val="008F2C55"/>
    <w:rsid w:val="008F3684"/>
    <w:rsid w:val="008F3E98"/>
    <w:rsid w:val="008F4D07"/>
    <w:rsid w:val="008F4F70"/>
    <w:rsid w:val="008F51BB"/>
    <w:rsid w:val="008F57F6"/>
    <w:rsid w:val="008F5D76"/>
    <w:rsid w:val="008F5E15"/>
    <w:rsid w:val="008F62EF"/>
    <w:rsid w:val="008F6AA6"/>
    <w:rsid w:val="008F6D8B"/>
    <w:rsid w:val="008F6F6F"/>
    <w:rsid w:val="008F7938"/>
    <w:rsid w:val="008F7B9C"/>
    <w:rsid w:val="008F7EBE"/>
    <w:rsid w:val="009006AA"/>
    <w:rsid w:val="009012FB"/>
    <w:rsid w:val="0090161B"/>
    <w:rsid w:val="0090161D"/>
    <w:rsid w:val="009020AD"/>
    <w:rsid w:val="009020C8"/>
    <w:rsid w:val="0090215C"/>
    <w:rsid w:val="00903093"/>
    <w:rsid w:val="0090310A"/>
    <w:rsid w:val="009039C4"/>
    <w:rsid w:val="00903E34"/>
    <w:rsid w:val="0090512C"/>
    <w:rsid w:val="009051FB"/>
    <w:rsid w:val="0090557C"/>
    <w:rsid w:val="0090562D"/>
    <w:rsid w:val="00905B1C"/>
    <w:rsid w:val="00905E17"/>
    <w:rsid w:val="0090633F"/>
    <w:rsid w:val="0090641A"/>
    <w:rsid w:val="00906A8C"/>
    <w:rsid w:val="0090737E"/>
    <w:rsid w:val="00907E49"/>
    <w:rsid w:val="009108E1"/>
    <w:rsid w:val="00910E84"/>
    <w:rsid w:val="00911411"/>
    <w:rsid w:val="00911B8C"/>
    <w:rsid w:val="00911DA0"/>
    <w:rsid w:val="0091226D"/>
    <w:rsid w:val="0091286D"/>
    <w:rsid w:val="00913197"/>
    <w:rsid w:val="0091353B"/>
    <w:rsid w:val="0091366D"/>
    <w:rsid w:val="00913C26"/>
    <w:rsid w:val="00914035"/>
    <w:rsid w:val="00914399"/>
    <w:rsid w:val="00914496"/>
    <w:rsid w:val="009144A5"/>
    <w:rsid w:val="009145A3"/>
    <w:rsid w:val="00914882"/>
    <w:rsid w:val="009149DD"/>
    <w:rsid w:val="00914A25"/>
    <w:rsid w:val="00914E08"/>
    <w:rsid w:val="0091562C"/>
    <w:rsid w:val="00915C6E"/>
    <w:rsid w:val="00915CB5"/>
    <w:rsid w:val="00915EB0"/>
    <w:rsid w:val="009160C9"/>
    <w:rsid w:val="0091667E"/>
    <w:rsid w:val="009167E2"/>
    <w:rsid w:val="0091680A"/>
    <w:rsid w:val="00916D65"/>
    <w:rsid w:val="00916F6B"/>
    <w:rsid w:val="00917990"/>
    <w:rsid w:val="00917A63"/>
    <w:rsid w:val="00917BC5"/>
    <w:rsid w:val="00920649"/>
    <w:rsid w:val="00921262"/>
    <w:rsid w:val="00921320"/>
    <w:rsid w:val="00921588"/>
    <w:rsid w:val="009223FB"/>
    <w:rsid w:val="00922902"/>
    <w:rsid w:val="00922B1D"/>
    <w:rsid w:val="00922FE6"/>
    <w:rsid w:val="009231A5"/>
    <w:rsid w:val="0092343F"/>
    <w:rsid w:val="00923559"/>
    <w:rsid w:val="009236A4"/>
    <w:rsid w:val="009240F6"/>
    <w:rsid w:val="0092429A"/>
    <w:rsid w:val="00924745"/>
    <w:rsid w:val="00924C97"/>
    <w:rsid w:val="0092503F"/>
    <w:rsid w:val="00925C80"/>
    <w:rsid w:val="00925E60"/>
    <w:rsid w:val="00926944"/>
    <w:rsid w:val="009269F4"/>
    <w:rsid w:val="00927292"/>
    <w:rsid w:val="009272C0"/>
    <w:rsid w:val="00927717"/>
    <w:rsid w:val="00927E90"/>
    <w:rsid w:val="00927EF1"/>
    <w:rsid w:val="0093004F"/>
    <w:rsid w:val="0093040B"/>
    <w:rsid w:val="00930B21"/>
    <w:rsid w:val="00930DB4"/>
    <w:rsid w:val="00930E6C"/>
    <w:rsid w:val="0093163C"/>
    <w:rsid w:val="00931682"/>
    <w:rsid w:val="0093211F"/>
    <w:rsid w:val="00932186"/>
    <w:rsid w:val="00932464"/>
    <w:rsid w:val="009325A8"/>
    <w:rsid w:val="0093296D"/>
    <w:rsid w:val="00932987"/>
    <w:rsid w:val="009333DC"/>
    <w:rsid w:val="009337DB"/>
    <w:rsid w:val="00933BBE"/>
    <w:rsid w:val="00934030"/>
    <w:rsid w:val="009343A4"/>
    <w:rsid w:val="009344DC"/>
    <w:rsid w:val="00934F91"/>
    <w:rsid w:val="00935767"/>
    <w:rsid w:val="00935852"/>
    <w:rsid w:val="0093657A"/>
    <w:rsid w:val="0093667C"/>
    <w:rsid w:val="009366D4"/>
    <w:rsid w:val="009367C4"/>
    <w:rsid w:val="00936CD8"/>
    <w:rsid w:val="00937069"/>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308D"/>
    <w:rsid w:val="00943BBA"/>
    <w:rsid w:val="009440AF"/>
    <w:rsid w:val="00944627"/>
    <w:rsid w:val="00944890"/>
    <w:rsid w:val="009448F8"/>
    <w:rsid w:val="00944B8F"/>
    <w:rsid w:val="0094633A"/>
    <w:rsid w:val="009463C3"/>
    <w:rsid w:val="00946883"/>
    <w:rsid w:val="00946AE0"/>
    <w:rsid w:val="009474E7"/>
    <w:rsid w:val="00947D06"/>
    <w:rsid w:val="009501B4"/>
    <w:rsid w:val="0095039D"/>
    <w:rsid w:val="009507B3"/>
    <w:rsid w:val="0095090A"/>
    <w:rsid w:val="00950CAC"/>
    <w:rsid w:val="00951176"/>
    <w:rsid w:val="00951C14"/>
    <w:rsid w:val="00951D98"/>
    <w:rsid w:val="00951E83"/>
    <w:rsid w:val="0095270C"/>
    <w:rsid w:val="00952D62"/>
    <w:rsid w:val="00953AB5"/>
    <w:rsid w:val="00953E5F"/>
    <w:rsid w:val="009544DF"/>
    <w:rsid w:val="00954BBF"/>
    <w:rsid w:val="00954CB6"/>
    <w:rsid w:val="00954CE2"/>
    <w:rsid w:val="009556AA"/>
    <w:rsid w:val="009557AE"/>
    <w:rsid w:val="009557EA"/>
    <w:rsid w:val="00955A05"/>
    <w:rsid w:val="00955C91"/>
    <w:rsid w:val="00955DC8"/>
    <w:rsid w:val="00955F7B"/>
    <w:rsid w:val="009567AC"/>
    <w:rsid w:val="00956CC1"/>
    <w:rsid w:val="00956E59"/>
    <w:rsid w:val="00957AC8"/>
    <w:rsid w:val="0096006A"/>
    <w:rsid w:val="009606FD"/>
    <w:rsid w:val="00960E05"/>
    <w:rsid w:val="00961073"/>
    <w:rsid w:val="0096184C"/>
    <w:rsid w:val="009619E6"/>
    <w:rsid w:val="00961C92"/>
    <w:rsid w:val="00961D25"/>
    <w:rsid w:val="00962004"/>
    <w:rsid w:val="00962749"/>
    <w:rsid w:val="0096283A"/>
    <w:rsid w:val="00962D3D"/>
    <w:rsid w:val="00962F63"/>
    <w:rsid w:val="00962FD6"/>
    <w:rsid w:val="009635FF"/>
    <w:rsid w:val="00963633"/>
    <w:rsid w:val="00963799"/>
    <w:rsid w:val="00963E5A"/>
    <w:rsid w:val="009645CF"/>
    <w:rsid w:val="00964A12"/>
    <w:rsid w:val="009660E5"/>
    <w:rsid w:val="0096612D"/>
    <w:rsid w:val="009661FC"/>
    <w:rsid w:val="0096631B"/>
    <w:rsid w:val="00966977"/>
    <w:rsid w:val="00966B19"/>
    <w:rsid w:val="00966F1B"/>
    <w:rsid w:val="009672EC"/>
    <w:rsid w:val="00967BB9"/>
    <w:rsid w:val="00967E84"/>
    <w:rsid w:val="00970EB8"/>
    <w:rsid w:val="00970FB3"/>
    <w:rsid w:val="00971228"/>
    <w:rsid w:val="00971857"/>
    <w:rsid w:val="00971C40"/>
    <w:rsid w:val="0097264F"/>
    <w:rsid w:val="009727C2"/>
    <w:rsid w:val="00972B22"/>
    <w:rsid w:val="00973445"/>
    <w:rsid w:val="00973733"/>
    <w:rsid w:val="0097384D"/>
    <w:rsid w:val="009749AD"/>
    <w:rsid w:val="009750CE"/>
    <w:rsid w:val="00975816"/>
    <w:rsid w:val="00975E09"/>
    <w:rsid w:val="00976910"/>
    <w:rsid w:val="00976DCD"/>
    <w:rsid w:val="00976EDA"/>
    <w:rsid w:val="009772CA"/>
    <w:rsid w:val="009772D1"/>
    <w:rsid w:val="0097747C"/>
    <w:rsid w:val="0098069D"/>
    <w:rsid w:val="00980A59"/>
    <w:rsid w:val="00980BA8"/>
    <w:rsid w:val="009810FB"/>
    <w:rsid w:val="00981316"/>
    <w:rsid w:val="009814F8"/>
    <w:rsid w:val="009819FE"/>
    <w:rsid w:val="00982109"/>
    <w:rsid w:val="00982E94"/>
    <w:rsid w:val="0098306A"/>
    <w:rsid w:val="00983265"/>
    <w:rsid w:val="00983505"/>
    <w:rsid w:val="0098489A"/>
    <w:rsid w:val="0098490F"/>
    <w:rsid w:val="0098552E"/>
    <w:rsid w:val="00985622"/>
    <w:rsid w:val="00986786"/>
    <w:rsid w:val="00986D0F"/>
    <w:rsid w:val="00986FE2"/>
    <w:rsid w:val="009875A2"/>
    <w:rsid w:val="00987A25"/>
    <w:rsid w:val="00987A4B"/>
    <w:rsid w:val="00987AE4"/>
    <w:rsid w:val="00987CE4"/>
    <w:rsid w:val="00987D06"/>
    <w:rsid w:val="00987F6E"/>
    <w:rsid w:val="00990210"/>
    <w:rsid w:val="00990212"/>
    <w:rsid w:val="00990A2E"/>
    <w:rsid w:val="00990D38"/>
    <w:rsid w:val="00991234"/>
    <w:rsid w:val="00991448"/>
    <w:rsid w:val="00991AB2"/>
    <w:rsid w:val="00991CB3"/>
    <w:rsid w:val="0099209A"/>
    <w:rsid w:val="00992478"/>
    <w:rsid w:val="009926DE"/>
    <w:rsid w:val="00992FD7"/>
    <w:rsid w:val="0099311B"/>
    <w:rsid w:val="009931B5"/>
    <w:rsid w:val="009933E4"/>
    <w:rsid w:val="0099347A"/>
    <w:rsid w:val="0099382C"/>
    <w:rsid w:val="00993DC6"/>
    <w:rsid w:val="00994293"/>
    <w:rsid w:val="009947C7"/>
    <w:rsid w:val="00994F58"/>
    <w:rsid w:val="009953A7"/>
    <w:rsid w:val="009955F2"/>
    <w:rsid w:val="00995B87"/>
    <w:rsid w:val="00995EA7"/>
    <w:rsid w:val="00995F2D"/>
    <w:rsid w:val="00996230"/>
    <w:rsid w:val="00996BA8"/>
    <w:rsid w:val="00996FC9"/>
    <w:rsid w:val="009970F9"/>
    <w:rsid w:val="00997295"/>
    <w:rsid w:val="009973BB"/>
    <w:rsid w:val="009975EC"/>
    <w:rsid w:val="00997A43"/>
    <w:rsid w:val="00997C45"/>
    <w:rsid w:val="009A03A7"/>
    <w:rsid w:val="009A044E"/>
    <w:rsid w:val="009A067C"/>
    <w:rsid w:val="009A1227"/>
    <w:rsid w:val="009A1307"/>
    <w:rsid w:val="009A158A"/>
    <w:rsid w:val="009A1E9B"/>
    <w:rsid w:val="009A2220"/>
    <w:rsid w:val="009A2248"/>
    <w:rsid w:val="009A269C"/>
    <w:rsid w:val="009A2AD3"/>
    <w:rsid w:val="009A2C3A"/>
    <w:rsid w:val="009A2D3C"/>
    <w:rsid w:val="009A36B2"/>
    <w:rsid w:val="009A38EA"/>
    <w:rsid w:val="009A3E8B"/>
    <w:rsid w:val="009A3FA1"/>
    <w:rsid w:val="009A407E"/>
    <w:rsid w:val="009A4373"/>
    <w:rsid w:val="009A4971"/>
    <w:rsid w:val="009A4AC9"/>
    <w:rsid w:val="009A4D08"/>
    <w:rsid w:val="009A50B6"/>
    <w:rsid w:val="009A5168"/>
    <w:rsid w:val="009A52F8"/>
    <w:rsid w:val="009A55D4"/>
    <w:rsid w:val="009A57DC"/>
    <w:rsid w:val="009A5BBF"/>
    <w:rsid w:val="009A5BCC"/>
    <w:rsid w:val="009A5D58"/>
    <w:rsid w:val="009A5E4F"/>
    <w:rsid w:val="009A6453"/>
    <w:rsid w:val="009A7350"/>
    <w:rsid w:val="009A76FE"/>
    <w:rsid w:val="009A7BBC"/>
    <w:rsid w:val="009A7CDC"/>
    <w:rsid w:val="009B0036"/>
    <w:rsid w:val="009B02F4"/>
    <w:rsid w:val="009B0519"/>
    <w:rsid w:val="009B051D"/>
    <w:rsid w:val="009B0738"/>
    <w:rsid w:val="009B08E4"/>
    <w:rsid w:val="009B0977"/>
    <w:rsid w:val="009B09EA"/>
    <w:rsid w:val="009B15F6"/>
    <w:rsid w:val="009B1713"/>
    <w:rsid w:val="009B1721"/>
    <w:rsid w:val="009B18F4"/>
    <w:rsid w:val="009B1E96"/>
    <w:rsid w:val="009B23DC"/>
    <w:rsid w:val="009B25F5"/>
    <w:rsid w:val="009B27F7"/>
    <w:rsid w:val="009B2E77"/>
    <w:rsid w:val="009B2FC4"/>
    <w:rsid w:val="009B3383"/>
    <w:rsid w:val="009B367E"/>
    <w:rsid w:val="009B3F96"/>
    <w:rsid w:val="009B45A3"/>
    <w:rsid w:val="009B4608"/>
    <w:rsid w:val="009B462D"/>
    <w:rsid w:val="009B46C0"/>
    <w:rsid w:val="009B479F"/>
    <w:rsid w:val="009B4DFD"/>
    <w:rsid w:val="009B50FB"/>
    <w:rsid w:val="009B536C"/>
    <w:rsid w:val="009B62F2"/>
    <w:rsid w:val="009B6D9A"/>
    <w:rsid w:val="009B753E"/>
    <w:rsid w:val="009B78BC"/>
    <w:rsid w:val="009C0765"/>
    <w:rsid w:val="009C0F63"/>
    <w:rsid w:val="009C114E"/>
    <w:rsid w:val="009C12E9"/>
    <w:rsid w:val="009C1784"/>
    <w:rsid w:val="009C2054"/>
    <w:rsid w:val="009C24EB"/>
    <w:rsid w:val="009C2594"/>
    <w:rsid w:val="009C2A6B"/>
    <w:rsid w:val="009C2C3F"/>
    <w:rsid w:val="009C2DE0"/>
    <w:rsid w:val="009C2E5A"/>
    <w:rsid w:val="009C30A3"/>
    <w:rsid w:val="009C318D"/>
    <w:rsid w:val="009C341D"/>
    <w:rsid w:val="009C3B6A"/>
    <w:rsid w:val="009C3FD0"/>
    <w:rsid w:val="009C451B"/>
    <w:rsid w:val="009C547C"/>
    <w:rsid w:val="009C5806"/>
    <w:rsid w:val="009C5F2F"/>
    <w:rsid w:val="009C6341"/>
    <w:rsid w:val="009C653D"/>
    <w:rsid w:val="009C68D1"/>
    <w:rsid w:val="009C6A9E"/>
    <w:rsid w:val="009C6C06"/>
    <w:rsid w:val="009C721E"/>
    <w:rsid w:val="009C7B7E"/>
    <w:rsid w:val="009C7E43"/>
    <w:rsid w:val="009D0188"/>
    <w:rsid w:val="009D06E2"/>
    <w:rsid w:val="009D0ADA"/>
    <w:rsid w:val="009D0CF2"/>
    <w:rsid w:val="009D1292"/>
    <w:rsid w:val="009D192F"/>
    <w:rsid w:val="009D1F8D"/>
    <w:rsid w:val="009D1FAB"/>
    <w:rsid w:val="009D2787"/>
    <w:rsid w:val="009D2C24"/>
    <w:rsid w:val="009D3E39"/>
    <w:rsid w:val="009D4399"/>
    <w:rsid w:val="009D444A"/>
    <w:rsid w:val="009D464E"/>
    <w:rsid w:val="009D4E74"/>
    <w:rsid w:val="009D4F20"/>
    <w:rsid w:val="009D4F9E"/>
    <w:rsid w:val="009D56E3"/>
    <w:rsid w:val="009D59A8"/>
    <w:rsid w:val="009D5B81"/>
    <w:rsid w:val="009D62F2"/>
    <w:rsid w:val="009D6BBC"/>
    <w:rsid w:val="009D7B2B"/>
    <w:rsid w:val="009E0201"/>
    <w:rsid w:val="009E05D6"/>
    <w:rsid w:val="009E0DD4"/>
    <w:rsid w:val="009E12C8"/>
    <w:rsid w:val="009E13D7"/>
    <w:rsid w:val="009E1E3D"/>
    <w:rsid w:val="009E202C"/>
    <w:rsid w:val="009E28B9"/>
    <w:rsid w:val="009E2E3B"/>
    <w:rsid w:val="009E3980"/>
    <w:rsid w:val="009E3B55"/>
    <w:rsid w:val="009E43F8"/>
    <w:rsid w:val="009E4599"/>
    <w:rsid w:val="009E469A"/>
    <w:rsid w:val="009E4D02"/>
    <w:rsid w:val="009E5646"/>
    <w:rsid w:val="009E5682"/>
    <w:rsid w:val="009E5806"/>
    <w:rsid w:val="009E6012"/>
    <w:rsid w:val="009E6B24"/>
    <w:rsid w:val="009E7B1F"/>
    <w:rsid w:val="009E7C7C"/>
    <w:rsid w:val="009E7EDD"/>
    <w:rsid w:val="009F0907"/>
    <w:rsid w:val="009F0AA2"/>
    <w:rsid w:val="009F1097"/>
    <w:rsid w:val="009F1983"/>
    <w:rsid w:val="009F1F41"/>
    <w:rsid w:val="009F23BD"/>
    <w:rsid w:val="009F24FC"/>
    <w:rsid w:val="009F28DA"/>
    <w:rsid w:val="009F2913"/>
    <w:rsid w:val="009F38CE"/>
    <w:rsid w:val="009F3C50"/>
    <w:rsid w:val="009F3FDB"/>
    <w:rsid w:val="009F421A"/>
    <w:rsid w:val="009F425D"/>
    <w:rsid w:val="009F42B3"/>
    <w:rsid w:val="009F48AA"/>
    <w:rsid w:val="009F4E34"/>
    <w:rsid w:val="009F532D"/>
    <w:rsid w:val="009F583B"/>
    <w:rsid w:val="009F5ABB"/>
    <w:rsid w:val="009F6253"/>
    <w:rsid w:val="009F6ACC"/>
    <w:rsid w:val="009F6B34"/>
    <w:rsid w:val="009F6B67"/>
    <w:rsid w:val="009F7087"/>
    <w:rsid w:val="009F76C4"/>
    <w:rsid w:val="009F7DA5"/>
    <w:rsid w:val="009F7F00"/>
    <w:rsid w:val="00A00313"/>
    <w:rsid w:val="00A00672"/>
    <w:rsid w:val="00A00F9E"/>
    <w:rsid w:val="00A012DB"/>
    <w:rsid w:val="00A01594"/>
    <w:rsid w:val="00A01A2C"/>
    <w:rsid w:val="00A01B11"/>
    <w:rsid w:val="00A0283A"/>
    <w:rsid w:val="00A02887"/>
    <w:rsid w:val="00A02FCC"/>
    <w:rsid w:val="00A03F4D"/>
    <w:rsid w:val="00A04318"/>
    <w:rsid w:val="00A0457F"/>
    <w:rsid w:val="00A04927"/>
    <w:rsid w:val="00A0497C"/>
    <w:rsid w:val="00A04BBC"/>
    <w:rsid w:val="00A04BE9"/>
    <w:rsid w:val="00A04C39"/>
    <w:rsid w:val="00A04F4B"/>
    <w:rsid w:val="00A04FFB"/>
    <w:rsid w:val="00A0585A"/>
    <w:rsid w:val="00A05CBF"/>
    <w:rsid w:val="00A05E5A"/>
    <w:rsid w:val="00A0695D"/>
    <w:rsid w:val="00A06E12"/>
    <w:rsid w:val="00A07267"/>
    <w:rsid w:val="00A10AC7"/>
    <w:rsid w:val="00A10AEE"/>
    <w:rsid w:val="00A10D9D"/>
    <w:rsid w:val="00A10DA5"/>
    <w:rsid w:val="00A11319"/>
    <w:rsid w:val="00A11A60"/>
    <w:rsid w:val="00A1248A"/>
    <w:rsid w:val="00A12A2D"/>
    <w:rsid w:val="00A12E81"/>
    <w:rsid w:val="00A13830"/>
    <w:rsid w:val="00A13915"/>
    <w:rsid w:val="00A13C4E"/>
    <w:rsid w:val="00A13F87"/>
    <w:rsid w:val="00A14560"/>
    <w:rsid w:val="00A14628"/>
    <w:rsid w:val="00A14D7C"/>
    <w:rsid w:val="00A14E53"/>
    <w:rsid w:val="00A152D4"/>
    <w:rsid w:val="00A15418"/>
    <w:rsid w:val="00A16B7B"/>
    <w:rsid w:val="00A178E7"/>
    <w:rsid w:val="00A178FD"/>
    <w:rsid w:val="00A17F7B"/>
    <w:rsid w:val="00A20195"/>
    <w:rsid w:val="00A2025F"/>
    <w:rsid w:val="00A20303"/>
    <w:rsid w:val="00A2032E"/>
    <w:rsid w:val="00A20829"/>
    <w:rsid w:val="00A20C72"/>
    <w:rsid w:val="00A225C6"/>
    <w:rsid w:val="00A23B92"/>
    <w:rsid w:val="00A23F13"/>
    <w:rsid w:val="00A240BF"/>
    <w:rsid w:val="00A242E1"/>
    <w:rsid w:val="00A24643"/>
    <w:rsid w:val="00A249A0"/>
    <w:rsid w:val="00A249F7"/>
    <w:rsid w:val="00A24B24"/>
    <w:rsid w:val="00A24B51"/>
    <w:rsid w:val="00A24C80"/>
    <w:rsid w:val="00A24E4F"/>
    <w:rsid w:val="00A252C3"/>
    <w:rsid w:val="00A26FE8"/>
    <w:rsid w:val="00A2728D"/>
    <w:rsid w:val="00A27F83"/>
    <w:rsid w:val="00A3027C"/>
    <w:rsid w:val="00A30A76"/>
    <w:rsid w:val="00A30E02"/>
    <w:rsid w:val="00A30EB9"/>
    <w:rsid w:val="00A31367"/>
    <w:rsid w:val="00A3186F"/>
    <w:rsid w:val="00A32CAE"/>
    <w:rsid w:val="00A3371D"/>
    <w:rsid w:val="00A33C2B"/>
    <w:rsid w:val="00A341C0"/>
    <w:rsid w:val="00A348D3"/>
    <w:rsid w:val="00A3523E"/>
    <w:rsid w:val="00A352BC"/>
    <w:rsid w:val="00A35C4E"/>
    <w:rsid w:val="00A3673A"/>
    <w:rsid w:val="00A36884"/>
    <w:rsid w:val="00A3707D"/>
    <w:rsid w:val="00A37822"/>
    <w:rsid w:val="00A37BB1"/>
    <w:rsid w:val="00A37C8C"/>
    <w:rsid w:val="00A37DB5"/>
    <w:rsid w:val="00A37E59"/>
    <w:rsid w:val="00A37FEC"/>
    <w:rsid w:val="00A40757"/>
    <w:rsid w:val="00A4079A"/>
    <w:rsid w:val="00A40A62"/>
    <w:rsid w:val="00A40BF6"/>
    <w:rsid w:val="00A40C5B"/>
    <w:rsid w:val="00A40D9E"/>
    <w:rsid w:val="00A40E17"/>
    <w:rsid w:val="00A40FEF"/>
    <w:rsid w:val="00A412B4"/>
    <w:rsid w:val="00A415A9"/>
    <w:rsid w:val="00A41767"/>
    <w:rsid w:val="00A417AF"/>
    <w:rsid w:val="00A41830"/>
    <w:rsid w:val="00A42538"/>
    <w:rsid w:val="00A42AAE"/>
    <w:rsid w:val="00A42BE2"/>
    <w:rsid w:val="00A43680"/>
    <w:rsid w:val="00A43CB2"/>
    <w:rsid w:val="00A44286"/>
    <w:rsid w:val="00A4460E"/>
    <w:rsid w:val="00A446ED"/>
    <w:rsid w:val="00A44794"/>
    <w:rsid w:val="00A448EF"/>
    <w:rsid w:val="00A44E0A"/>
    <w:rsid w:val="00A44F16"/>
    <w:rsid w:val="00A4514A"/>
    <w:rsid w:val="00A4544B"/>
    <w:rsid w:val="00A45793"/>
    <w:rsid w:val="00A45AAA"/>
    <w:rsid w:val="00A45D60"/>
    <w:rsid w:val="00A4612A"/>
    <w:rsid w:val="00A461A9"/>
    <w:rsid w:val="00A463B8"/>
    <w:rsid w:val="00A46541"/>
    <w:rsid w:val="00A473A0"/>
    <w:rsid w:val="00A47613"/>
    <w:rsid w:val="00A50017"/>
    <w:rsid w:val="00A5097F"/>
    <w:rsid w:val="00A50A2F"/>
    <w:rsid w:val="00A517D9"/>
    <w:rsid w:val="00A51A64"/>
    <w:rsid w:val="00A51A85"/>
    <w:rsid w:val="00A53E27"/>
    <w:rsid w:val="00A543EB"/>
    <w:rsid w:val="00A54707"/>
    <w:rsid w:val="00A5527F"/>
    <w:rsid w:val="00A555A6"/>
    <w:rsid w:val="00A555DC"/>
    <w:rsid w:val="00A556DE"/>
    <w:rsid w:val="00A55B03"/>
    <w:rsid w:val="00A55DC7"/>
    <w:rsid w:val="00A56028"/>
    <w:rsid w:val="00A562E6"/>
    <w:rsid w:val="00A56DCA"/>
    <w:rsid w:val="00A56EB0"/>
    <w:rsid w:val="00A57135"/>
    <w:rsid w:val="00A57514"/>
    <w:rsid w:val="00A57824"/>
    <w:rsid w:val="00A606AE"/>
    <w:rsid w:val="00A608D2"/>
    <w:rsid w:val="00A60A7C"/>
    <w:rsid w:val="00A60AD2"/>
    <w:rsid w:val="00A60DB5"/>
    <w:rsid w:val="00A60DE3"/>
    <w:rsid w:val="00A60EDD"/>
    <w:rsid w:val="00A61F3B"/>
    <w:rsid w:val="00A62F1B"/>
    <w:rsid w:val="00A63118"/>
    <w:rsid w:val="00A63947"/>
    <w:rsid w:val="00A63F11"/>
    <w:rsid w:val="00A64063"/>
    <w:rsid w:val="00A64B40"/>
    <w:rsid w:val="00A64DD4"/>
    <w:rsid w:val="00A6526E"/>
    <w:rsid w:val="00A6574A"/>
    <w:rsid w:val="00A65B44"/>
    <w:rsid w:val="00A66962"/>
    <w:rsid w:val="00A66988"/>
    <w:rsid w:val="00A66C6F"/>
    <w:rsid w:val="00A66F0B"/>
    <w:rsid w:val="00A67BA0"/>
    <w:rsid w:val="00A70049"/>
    <w:rsid w:val="00A700D2"/>
    <w:rsid w:val="00A71831"/>
    <w:rsid w:val="00A72295"/>
    <w:rsid w:val="00A72310"/>
    <w:rsid w:val="00A72474"/>
    <w:rsid w:val="00A72611"/>
    <w:rsid w:val="00A72FE5"/>
    <w:rsid w:val="00A73091"/>
    <w:rsid w:val="00A73156"/>
    <w:rsid w:val="00A7328B"/>
    <w:rsid w:val="00A73DA1"/>
    <w:rsid w:val="00A73EF0"/>
    <w:rsid w:val="00A74112"/>
    <w:rsid w:val="00A74B3D"/>
    <w:rsid w:val="00A7504B"/>
    <w:rsid w:val="00A7535E"/>
    <w:rsid w:val="00A75A7C"/>
    <w:rsid w:val="00A76160"/>
    <w:rsid w:val="00A76521"/>
    <w:rsid w:val="00A76E0F"/>
    <w:rsid w:val="00A77154"/>
    <w:rsid w:val="00A77462"/>
    <w:rsid w:val="00A775F1"/>
    <w:rsid w:val="00A7792B"/>
    <w:rsid w:val="00A77A11"/>
    <w:rsid w:val="00A77E37"/>
    <w:rsid w:val="00A8034E"/>
    <w:rsid w:val="00A80774"/>
    <w:rsid w:val="00A80BD2"/>
    <w:rsid w:val="00A80E6F"/>
    <w:rsid w:val="00A81005"/>
    <w:rsid w:val="00A81543"/>
    <w:rsid w:val="00A81A39"/>
    <w:rsid w:val="00A825FF"/>
    <w:rsid w:val="00A8294F"/>
    <w:rsid w:val="00A8297B"/>
    <w:rsid w:val="00A8413F"/>
    <w:rsid w:val="00A841C9"/>
    <w:rsid w:val="00A84E08"/>
    <w:rsid w:val="00A851FA"/>
    <w:rsid w:val="00A85204"/>
    <w:rsid w:val="00A85602"/>
    <w:rsid w:val="00A85A19"/>
    <w:rsid w:val="00A8631F"/>
    <w:rsid w:val="00A86452"/>
    <w:rsid w:val="00A87611"/>
    <w:rsid w:val="00A87D49"/>
    <w:rsid w:val="00A90030"/>
    <w:rsid w:val="00A90046"/>
    <w:rsid w:val="00A90542"/>
    <w:rsid w:val="00A909B5"/>
    <w:rsid w:val="00A90A3E"/>
    <w:rsid w:val="00A90AD0"/>
    <w:rsid w:val="00A9101B"/>
    <w:rsid w:val="00A91662"/>
    <w:rsid w:val="00A91A56"/>
    <w:rsid w:val="00A91A5F"/>
    <w:rsid w:val="00A91FD2"/>
    <w:rsid w:val="00A930DF"/>
    <w:rsid w:val="00A93845"/>
    <w:rsid w:val="00A93DD6"/>
    <w:rsid w:val="00A93E60"/>
    <w:rsid w:val="00A94AD1"/>
    <w:rsid w:val="00A94ED5"/>
    <w:rsid w:val="00A9525F"/>
    <w:rsid w:val="00A953AC"/>
    <w:rsid w:val="00A95437"/>
    <w:rsid w:val="00A95523"/>
    <w:rsid w:val="00A95852"/>
    <w:rsid w:val="00A95BDD"/>
    <w:rsid w:val="00A95C9C"/>
    <w:rsid w:val="00A96705"/>
    <w:rsid w:val="00A968C9"/>
    <w:rsid w:val="00A9696C"/>
    <w:rsid w:val="00A977AE"/>
    <w:rsid w:val="00A977B0"/>
    <w:rsid w:val="00AA07C3"/>
    <w:rsid w:val="00AA0987"/>
    <w:rsid w:val="00AA0B24"/>
    <w:rsid w:val="00AA1283"/>
    <w:rsid w:val="00AA1E72"/>
    <w:rsid w:val="00AA274A"/>
    <w:rsid w:val="00AA2F11"/>
    <w:rsid w:val="00AA3595"/>
    <w:rsid w:val="00AA3F6D"/>
    <w:rsid w:val="00AA3FD0"/>
    <w:rsid w:val="00AA4582"/>
    <w:rsid w:val="00AA5177"/>
    <w:rsid w:val="00AA54D3"/>
    <w:rsid w:val="00AA55C7"/>
    <w:rsid w:val="00AA5D97"/>
    <w:rsid w:val="00AA6367"/>
    <w:rsid w:val="00AA6792"/>
    <w:rsid w:val="00AA67FF"/>
    <w:rsid w:val="00AA6B21"/>
    <w:rsid w:val="00AA6F87"/>
    <w:rsid w:val="00AA7215"/>
    <w:rsid w:val="00AA7CAF"/>
    <w:rsid w:val="00AB0046"/>
    <w:rsid w:val="00AB08CE"/>
    <w:rsid w:val="00AB0C38"/>
    <w:rsid w:val="00AB1750"/>
    <w:rsid w:val="00AB1878"/>
    <w:rsid w:val="00AB1899"/>
    <w:rsid w:val="00AB1C75"/>
    <w:rsid w:val="00AB1DE7"/>
    <w:rsid w:val="00AB1E7B"/>
    <w:rsid w:val="00AB241B"/>
    <w:rsid w:val="00AB24F1"/>
    <w:rsid w:val="00AB2F28"/>
    <w:rsid w:val="00AB365E"/>
    <w:rsid w:val="00AB443B"/>
    <w:rsid w:val="00AB44CD"/>
    <w:rsid w:val="00AB4667"/>
    <w:rsid w:val="00AB46C3"/>
    <w:rsid w:val="00AB4E1B"/>
    <w:rsid w:val="00AB4EA7"/>
    <w:rsid w:val="00AB4FEF"/>
    <w:rsid w:val="00AB57F6"/>
    <w:rsid w:val="00AB5AF3"/>
    <w:rsid w:val="00AB5DEE"/>
    <w:rsid w:val="00AB5E4E"/>
    <w:rsid w:val="00AB62E6"/>
    <w:rsid w:val="00AB638D"/>
    <w:rsid w:val="00AB6B43"/>
    <w:rsid w:val="00AB6E51"/>
    <w:rsid w:val="00AB76E0"/>
    <w:rsid w:val="00AB7A71"/>
    <w:rsid w:val="00AB7C65"/>
    <w:rsid w:val="00AC0076"/>
    <w:rsid w:val="00AC0A98"/>
    <w:rsid w:val="00AC0D24"/>
    <w:rsid w:val="00AC14EC"/>
    <w:rsid w:val="00AC1729"/>
    <w:rsid w:val="00AC2954"/>
    <w:rsid w:val="00AC2E5B"/>
    <w:rsid w:val="00AC3200"/>
    <w:rsid w:val="00AC3300"/>
    <w:rsid w:val="00AC414B"/>
    <w:rsid w:val="00AC41AA"/>
    <w:rsid w:val="00AC420C"/>
    <w:rsid w:val="00AC4342"/>
    <w:rsid w:val="00AC4508"/>
    <w:rsid w:val="00AC49A6"/>
    <w:rsid w:val="00AC4BF9"/>
    <w:rsid w:val="00AC50F2"/>
    <w:rsid w:val="00AC535C"/>
    <w:rsid w:val="00AC539F"/>
    <w:rsid w:val="00AC559C"/>
    <w:rsid w:val="00AC563F"/>
    <w:rsid w:val="00AC6147"/>
    <w:rsid w:val="00AC6261"/>
    <w:rsid w:val="00AC63A4"/>
    <w:rsid w:val="00AC645F"/>
    <w:rsid w:val="00AC6DDB"/>
    <w:rsid w:val="00AC779C"/>
    <w:rsid w:val="00AD0275"/>
    <w:rsid w:val="00AD06C1"/>
    <w:rsid w:val="00AD0B87"/>
    <w:rsid w:val="00AD119D"/>
    <w:rsid w:val="00AD12AC"/>
    <w:rsid w:val="00AD1536"/>
    <w:rsid w:val="00AD1C9E"/>
    <w:rsid w:val="00AD27B4"/>
    <w:rsid w:val="00AD3222"/>
    <w:rsid w:val="00AD32F7"/>
    <w:rsid w:val="00AD3A95"/>
    <w:rsid w:val="00AD3DB0"/>
    <w:rsid w:val="00AD44E5"/>
    <w:rsid w:val="00AD4519"/>
    <w:rsid w:val="00AD481E"/>
    <w:rsid w:val="00AD50E2"/>
    <w:rsid w:val="00AD584B"/>
    <w:rsid w:val="00AD5DC0"/>
    <w:rsid w:val="00AD5ED6"/>
    <w:rsid w:val="00AD5F24"/>
    <w:rsid w:val="00AD5FD7"/>
    <w:rsid w:val="00AD6061"/>
    <w:rsid w:val="00AD63D3"/>
    <w:rsid w:val="00AD65BA"/>
    <w:rsid w:val="00AD6851"/>
    <w:rsid w:val="00AD6B5D"/>
    <w:rsid w:val="00AD7027"/>
    <w:rsid w:val="00AD71D9"/>
    <w:rsid w:val="00AD7E85"/>
    <w:rsid w:val="00AE0B67"/>
    <w:rsid w:val="00AE0EE7"/>
    <w:rsid w:val="00AE11ED"/>
    <w:rsid w:val="00AE120E"/>
    <w:rsid w:val="00AE17A1"/>
    <w:rsid w:val="00AE22BE"/>
    <w:rsid w:val="00AE244F"/>
    <w:rsid w:val="00AE24A2"/>
    <w:rsid w:val="00AE2AD5"/>
    <w:rsid w:val="00AE35CD"/>
    <w:rsid w:val="00AE44BF"/>
    <w:rsid w:val="00AE5544"/>
    <w:rsid w:val="00AE6D16"/>
    <w:rsid w:val="00AE6E66"/>
    <w:rsid w:val="00AE70AA"/>
    <w:rsid w:val="00AE73F3"/>
    <w:rsid w:val="00AF0271"/>
    <w:rsid w:val="00AF099F"/>
    <w:rsid w:val="00AF1218"/>
    <w:rsid w:val="00AF1248"/>
    <w:rsid w:val="00AF12CD"/>
    <w:rsid w:val="00AF164B"/>
    <w:rsid w:val="00AF16F5"/>
    <w:rsid w:val="00AF190A"/>
    <w:rsid w:val="00AF1BD5"/>
    <w:rsid w:val="00AF1CA0"/>
    <w:rsid w:val="00AF1E89"/>
    <w:rsid w:val="00AF1FFD"/>
    <w:rsid w:val="00AF205D"/>
    <w:rsid w:val="00AF242C"/>
    <w:rsid w:val="00AF26D1"/>
    <w:rsid w:val="00AF3022"/>
    <w:rsid w:val="00AF312A"/>
    <w:rsid w:val="00AF3241"/>
    <w:rsid w:val="00AF3A3C"/>
    <w:rsid w:val="00AF3E31"/>
    <w:rsid w:val="00AF4109"/>
    <w:rsid w:val="00AF4235"/>
    <w:rsid w:val="00AF46AD"/>
    <w:rsid w:val="00AF489E"/>
    <w:rsid w:val="00AF4B35"/>
    <w:rsid w:val="00AF5E98"/>
    <w:rsid w:val="00AF5ED0"/>
    <w:rsid w:val="00AF68D2"/>
    <w:rsid w:val="00AF732C"/>
    <w:rsid w:val="00AF74C8"/>
    <w:rsid w:val="00AF7B4A"/>
    <w:rsid w:val="00AF7C95"/>
    <w:rsid w:val="00AF7DE7"/>
    <w:rsid w:val="00B00085"/>
    <w:rsid w:val="00B00966"/>
    <w:rsid w:val="00B00CC1"/>
    <w:rsid w:val="00B00DE8"/>
    <w:rsid w:val="00B010C7"/>
    <w:rsid w:val="00B011F2"/>
    <w:rsid w:val="00B012DD"/>
    <w:rsid w:val="00B019A1"/>
    <w:rsid w:val="00B01EA9"/>
    <w:rsid w:val="00B0214A"/>
    <w:rsid w:val="00B0247F"/>
    <w:rsid w:val="00B02711"/>
    <w:rsid w:val="00B02A41"/>
    <w:rsid w:val="00B02B0D"/>
    <w:rsid w:val="00B0343C"/>
    <w:rsid w:val="00B036E0"/>
    <w:rsid w:val="00B039F0"/>
    <w:rsid w:val="00B03AF2"/>
    <w:rsid w:val="00B03C0C"/>
    <w:rsid w:val="00B03D11"/>
    <w:rsid w:val="00B04268"/>
    <w:rsid w:val="00B049D7"/>
    <w:rsid w:val="00B04A6B"/>
    <w:rsid w:val="00B04F49"/>
    <w:rsid w:val="00B05191"/>
    <w:rsid w:val="00B0527D"/>
    <w:rsid w:val="00B0532B"/>
    <w:rsid w:val="00B05EF9"/>
    <w:rsid w:val="00B067C3"/>
    <w:rsid w:val="00B06952"/>
    <w:rsid w:val="00B06E02"/>
    <w:rsid w:val="00B07348"/>
    <w:rsid w:val="00B0772A"/>
    <w:rsid w:val="00B078A9"/>
    <w:rsid w:val="00B07CFD"/>
    <w:rsid w:val="00B100AC"/>
    <w:rsid w:val="00B103A6"/>
    <w:rsid w:val="00B1053E"/>
    <w:rsid w:val="00B10A61"/>
    <w:rsid w:val="00B10E27"/>
    <w:rsid w:val="00B110AB"/>
    <w:rsid w:val="00B110C1"/>
    <w:rsid w:val="00B110DB"/>
    <w:rsid w:val="00B111AA"/>
    <w:rsid w:val="00B116D4"/>
    <w:rsid w:val="00B12935"/>
    <w:rsid w:val="00B129B7"/>
    <w:rsid w:val="00B12B2D"/>
    <w:rsid w:val="00B13128"/>
    <w:rsid w:val="00B13721"/>
    <w:rsid w:val="00B139AE"/>
    <w:rsid w:val="00B13C4B"/>
    <w:rsid w:val="00B14EA1"/>
    <w:rsid w:val="00B16262"/>
    <w:rsid w:val="00B16A1D"/>
    <w:rsid w:val="00B16BE0"/>
    <w:rsid w:val="00B16C80"/>
    <w:rsid w:val="00B16D2E"/>
    <w:rsid w:val="00B170A3"/>
    <w:rsid w:val="00B175E9"/>
    <w:rsid w:val="00B1783A"/>
    <w:rsid w:val="00B17ADD"/>
    <w:rsid w:val="00B17B02"/>
    <w:rsid w:val="00B17DB6"/>
    <w:rsid w:val="00B17EEC"/>
    <w:rsid w:val="00B20173"/>
    <w:rsid w:val="00B201FA"/>
    <w:rsid w:val="00B20366"/>
    <w:rsid w:val="00B209F4"/>
    <w:rsid w:val="00B20BB9"/>
    <w:rsid w:val="00B20F01"/>
    <w:rsid w:val="00B2122C"/>
    <w:rsid w:val="00B21242"/>
    <w:rsid w:val="00B213AF"/>
    <w:rsid w:val="00B21E9A"/>
    <w:rsid w:val="00B2229F"/>
    <w:rsid w:val="00B223D6"/>
    <w:rsid w:val="00B22D04"/>
    <w:rsid w:val="00B23068"/>
    <w:rsid w:val="00B237FA"/>
    <w:rsid w:val="00B2387C"/>
    <w:rsid w:val="00B23E91"/>
    <w:rsid w:val="00B23FEF"/>
    <w:rsid w:val="00B24250"/>
    <w:rsid w:val="00B2429A"/>
    <w:rsid w:val="00B24950"/>
    <w:rsid w:val="00B24D9B"/>
    <w:rsid w:val="00B24E45"/>
    <w:rsid w:val="00B24EA2"/>
    <w:rsid w:val="00B25485"/>
    <w:rsid w:val="00B2623A"/>
    <w:rsid w:val="00B26519"/>
    <w:rsid w:val="00B26E23"/>
    <w:rsid w:val="00B2757E"/>
    <w:rsid w:val="00B27B66"/>
    <w:rsid w:val="00B3002A"/>
    <w:rsid w:val="00B30909"/>
    <w:rsid w:val="00B30A94"/>
    <w:rsid w:val="00B30B56"/>
    <w:rsid w:val="00B30BDE"/>
    <w:rsid w:val="00B30CDD"/>
    <w:rsid w:val="00B30D6F"/>
    <w:rsid w:val="00B30FF5"/>
    <w:rsid w:val="00B31061"/>
    <w:rsid w:val="00B31322"/>
    <w:rsid w:val="00B31606"/>
    <w:rsid w:val="00B31D49"/>
    <w:rsid w:val="00B32126"/>
    <w:rsid w:val="00B329C7"/>
    <w:rsid w:val="00B33729"/>
    <w:rsid w:val="00B33DC4"/>
    <w:rsid w:val="00B3403D"/>
    <w:rsid w:val="00B34F16"/>
    <w:rsid w:val="00B35DC3"/>
    <w:rsid w:val="00B3677B"/>
    <w:rsid w:val="00B369D3"/>
    <w:rsid w:val="00B36A14"/>
    <w:rsid w:val="00B3738D"/>
    <w:rsid w:val="00B378BA"/>
    <w:rsid w:val="00B378F9"/>
    <w:rsid w:val="00B37E05"/>
    <w:rsid w:val="00B37E10"/>
    <w:rsid w:val="00B37F65"/>
    <w:rsid w:val="00B37F8A"/>
    <w:rsid w:val="00B40B2F"/>
    <w:rsid w:val="00B40BE5"/>
    <w:rsid w:val="00B40C9B"/>
    <w:rsid w:val="00B40E29"/>
    <w:rsid w:val="00B40E83"/>
    <w:rsid w:val="00B414B6"/>
    <w:rsid w:val="00B4152F"/>
    <w:rsid w:val="00B417F7"/>
    <w:rsid w:val="00B418FB"/>
    <w:rsid w:val="00B41A74"/>
    <w:rsid w:val="00B41DDD"/>
    <w:rsid w:val="00B41FED"/>
    <w:rsid w:val="00B421CC"/>
    <w:rsid w:val="00B42914"/>
    <w:rsid w:val="00B42F86"/>
    <w:rsid w:val="00B432B9"/>
    <w:rsid w:val="00B4333D"/>
    <w:rsid w:val="00B43A5C"/>
    <w:rsid w:val="00B43CE3"/>
    <w:rsid w:val="00B43E7F"/>
    <w:rsid w:val="00B43EAE"/>
    <w:rsid w:val="00B44C1C"/>
    <w:rsid w:val="00B44D0D"/>
    <w:rsid w:val="00B45BCB"/>
    <w:rsid w:val="00B45C7E"/>
    <w:rsid w:val="00B45D1C"/>
    <w:rsid w:val="00B46240"/>
    <w:rsid w:val="00B4647C"/>
    <w:rsid w:val="00B466BC"/>
    <w:rsid w:val="00B47048"/>
    <w:rsid w:val="00B4726C"/>
    <w:rsid w:val="00B47270"/>
    <w:rsid w:val="00B476DE"/>
    <w:rsid w:val="00B47730"/>
    <w:rsid w:val="00B50E5D"/>
    <w:rsid w:val="00B50F25"/>
    <w:rsid w:val="00B51846"/>
    <w:rsid w:val="00B5196B"/>
    <w:rsid w:val="00B5197A"/>
    <w:rsid w:val="00B51B93"/>
    <w:rsid w:val="00B52123"/>
    <w:rsid w:val="00B52192"/>
    <w:rsid w:val="00B529DF"/>
    <w:rsid w:val="00B529E2"/>
    <w:rsid w:val="00B52E1C"/>
    <w:rsid w:val="00B53232"/>
    <w:rsid w:val="00B533E2"/>
    <w:rsid w:val="00B534FA"/>
    <w:rsid w:val="00B538A7"/>
    <w:rsid w:val="00B53984"/>
    <w:rsid w:val="00B53EDF"/>
    <w:rsid w:val="00B542CF"/>
    <w:rsid w:val="00B5493B"/>
    <w:rsid w:val="00B5516C"/>
    <w:rsid w:val="00B5559A"/>
    <w:rsid w:val="00B5581C"/>
    <w:rsid w:val="00B55E9E"/>
    <w:rsid w:val="00B565F1"/>
    <w:rsid w:val="00B566E2"/>
    <w:rsid w:val="00B56995"/>
    <w:rsid w:val="00B56C71"/>
    <w:rsid w:val="00B56E2A"/>
    <w:rsid w:val="00B5703E"/>
    <w:rsid w:val="00B573FE"/>
    <w:rsid w:val="00B57DC1"/>
    <w:rsid w:val="00B57EE0"/>
    <w:rsid w:val="00B602EC"/>
    <w:rsid w:val="00B6079A"/>
    <w:rsid w:val="00B608A3"/>
    <w:rsid w:val="00B60FE8"/>
    <w:rsid w:val="00B6108F"/>
    <w:rsid w:val="00B6120B"/>
    <w:rsid w:val="00B61317"/>
    <w:rsid w:val="00B61869"/>
    <w:rsid w:val="00B61C85"/>
    <w:rsid w:val="00B62244"/>
    <w:rsid w:val="00B625C3"/>
    <w:rsid w:val="00B62756"/>
    <w:rsid w:val="00B6277B"/>
    <w:rsid w:val="00B62C37"/>
    <w:rsid w:val="00B63FEA"/>
    <w:rsid w:val="00B64205"/>
    <w:rsid w:val="00B6423F"/>
    <w:rsid w:val="00B64340"/>
    <w:rsid w:val="00B64364"/>
    <w:rsid w:val="00B646BF"/>
    <w:rsid w:val="00B64906"/>
    <w:rsid w:val="00B64941"/>
    <w:rsid w:val="00B654DB"/>
    <w:rsid w:val="00B657E8"/>
    <w:rsid w:val="00B65833"/>
    <w:rsid w:val="00B65A2D"/>
    <w:rsid w:val="00B65BBE"/>
    <w:rsid w:val="00B66261"/>
    <w:rsid w:val="00B66672"/>
    <w:rsid w:val="00B669A6"/>
    <w:rsid w:val="00B67B77"/>
    <w:rsid w:val="00B703AF"/>
    <w:rsid w:val="00B705CF"/>
    <w:rsid w:val="00B708FB"/>
    <w:rsid w:val="00B7093B"/>
    <w:rsid w:val="00B70BA5"/>
    <w:rsid w:val="00B711C3"/>
    <w:rsid w:val="00B711F0"/>
    <w:rsid w:val="00B714CA"/>
    <w:rsid w:val="00B716C8"/>
    <w:rsid w:val="00B721A5"/>
    <w:rsid w:val="00B721C7"/>
    <w:rsid w:val="00B727AD"/>
    <w:rsid w:val="00B72BCF"/>
    <w:rsid w:val="00B72E9D"/>
    <w:rsid w:val="00B7329D"/>
    <w:rsid w:val="00B73395"/>
    <w:rsid w:val="00B7353A"/>
    <w:rsid w:val="00B735D8"/>
    <w:rsid w:val="00B73850"/>
    <w:rsid w:val="00B738DC"/>
    <w:rsid w:val="00B7424D"/>
    <w:rsid w:val="00B74475"/>
    <w:rsid w:val="00B74858"/>
    <w:rsid w:val="00B74A09"/>
    <w:rsid w:val="00B74A3A"/>
    <w:rsid w:val="00B74D9E"/>
    <w:rsid w:val="00B75DEF"/>
    <w:rsid w:val="00B76064"/>
    <w:rsid w:val="00B76D84"/>
    <w:rsid w:val="00B77876"/>
    <w:rsid w:val="00B7788E"/>
    <w:rsid w:val="00B80307"/>
    <w:rsid w:val="00B809F2"/>
    <w:rsid w:val="00B80E88"/>
    <w:rsid w:val="00B81096"/>
    <w:rsid w:val="00B81142"/>
    <w:rsid w:val="00B816B8"/>
    <w:rsid w:val="00B81BBB"/>
    <w:rsid w:val="00B82272"/>
    <w:rsid w:val="00B82360"/>
    <w:rsid w:val="00B82B4F"/>
    <w:rsid w:val="00B82B78"/>
    <w:rsid w:val="00B82EDC"/>
    <w:rsid w:val="00B832B4"/>
    <w:rsid w:val="00B834AF"/>
    <w:rsid w:val="00B83D67"/>
    <w:rsid w:val="00B83E74"/>
    <w:rsid w:val="00B843FE"/>
    <w:rsid w:val="00B849FA"/>
    <w:rsid w:val="00B84D8D"/>
    <w:rsid w:val="00B84E02"/>
    <w:rsid w:val="00B85F9A"/>
    <w:rsid w:val="00B8608B"/>
    <w:rsid w:val="00B86279"/>
    <w:rsid w:val="00B86568"/>
    <w:rsid w:val="00B8675F"/>
    <w:rsid w:val="00B86928"/>
    <w:rsid w:val="00B86B13"/>
    <w:rsid w:val="00B87435"/>
    <w:rsid w:val="00B87481"/>
    <w:rsid w:val="00B87995"/>
    <w:rsid w:val="00B90241"/>
    <w:rsid w:val="00B906CA"/>
    <w:rsid w:val="00B907BB"/>
    <w:rsid w:val="00B90A20"/>
    <w:rsid w:val="00B90D42"/>
    <w:rsid w:val="00B90E95"/>
    <w:rsid w:val="00B9144F"/>
    <w:rsid w:val="00B91922"/>
    <w:rsid w:val="00B9199C"/>
    <w:rsid w:val="00B9248C"/>
    <w:rsid w:val="00B924EC"/>
    <w:rsid w:val="00B92EF5"/>
    <w:rsid w:val="00B93219"/>
    <w:rsid w:val="00B93271"/>
    <w:rsid w:val="00B9341C"/>
    <w:rsid w:val="00B9351A"/>
    <w:rsid w:val="00B93839"/>
    <w:rsid w:val="00B93FD2"/>
    <w:rsid w:val="00B942AC"/>
    <w:rsid w:val="00B95110"/>
    <w:rsid w:val="00B95876"/>
    <w:rsid w:val="00B95D0F"/>
    <w:rsid w:val="00B96172"/>
    <w:rsid w:val="00B9621C"/>
    <w:rsid w:val="00B9632D"/>
    <w:rsid w:val="00B9667A"/>
    <w:rsid w:val="00B97227"/>
    <w:rsid w:val="00B976B5"/>
    <w:rsid w:val="00B979B5"/>
    <w:rsid w:val="00BA057E"/>
    <w:rsid w:val="00BA099B"/>
    <w:rsid w:val="00BA0C6C"/>
    <w:rsid w:val="00BA1530"/>
    <w:rsid w:val="00BA173D"/>
    <w:rsid w:val="00BA1944"/>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4D8"/>
    <w:rsid w:val="00BA7B75"/>
    <w:rsid w:val="00BA7B94"/>
    <w:rsid w:val="00BA7E6D"/>
    <w:rsid w:val="00BB059C"/>
    <w:rsid w:val="00BB07AE"/>
    <w:rsid w:val="00BB0D2F"/>
    <w:rsid w:val="00BB0DAE"/>
    <w:rsid w:val="00BB0DBD"/>
    <w:rsid w:val="00BB0FA6"/>
    <w:rsid w:val="00BB1069"/>
    <w:rsid w:val="00BB106E"/>
    <w:rsid w:val="00BB11E9"/>
    <w:rsid w:val="00BB14D2"/>
    <w:rsid w:val="00BB1BC3"/>
    <w:rsid w:val="00BB27DB"/>
    <w:rsid w:val="00BB2AD2"/>
    <w:rsid w:val="00BB3D38"/>
    <w:rsid w:val="00BB3D3C"/>
    <w:rsid w:val="00BB45A9"/>
    <w:rsid w:val="00BB4A49"/>
    <w:rsid w:val="00BB4F85"/>
    <w:rsid w:val="00BB5024"/>
    <w:rsid w:val="00BB55DF"/>
    <w:rsid w:val="00BB5AD6"/>
    <w:rsid w:val="00BB5FA3"/>
    <w:rsid w:val="00BB69B8"/>
    <w:rsid w:val="00BB6BEE"/>
    <w:rsid w:val="00BB6DC9"/>
    <w:rsid w:val="00BB6EB8"/>
    <w:rsid w:val="00BB76BF"/>
    <w:rsid w:val="00BC02C9"/>
    <w:rsid w:val="00BC0416"/>
    <w:rsid w:val="00BC11F6"/>
    <w:rsid w:val="00BC1E67"/>
    <w:rsid w:val="00BC2554"/>
    <w:rsid w:val="00BC2583"/>
    <w:rsid w:val="00BC2620"/>
    <w:rsid w:val="00BC280E"/>
    <w:rsid w:val="00BC2D54"/>
    <w:rsid w:val="00BC3134"/>
    <w:rsid w:val="00BC376A"/>
    <w:rsid w:val="00BC392D"/>
    <w:rsid w:val="00BC4CB2"/>
    <w:rsid w:val="00BC5FC4"/>
    <w:rsid w:val="00BC6426"/>
    <w:rsid w:val="00BC65A3"/>
    <w:rsid w:val="00BC6902"/>
    <w:rsid w:val="00BC6B51"/>
    <w:rsid w:val="00BC7265"/>
    <w:rsid w:val="00BC7453"/>
    <w:rsid w:val="00BC7C00"/>
    <w:rsid w:val="00BD01E6"/>
    <w:rsid w:val="00BD0223"/>
    <w:rsid w:val="00BD0265"/>
    <w:rsid w:val="00BD0457"/>
    <w:rsid w:val="00BD0864"/>
    <w:rsid w:val="00BD0C34"/>
    <w:rsid w:val="00BD0CB2"/>
    <w:rsid w:val="00BD0DFE"/>
    <w:rsid w:val="00BD174A"/>
    <w:rsid w:val="00BD1F2A"/>
    <w:rsid w:val="00BD209D"/>
    <w:rsid w:val="00BD25FB"/>
    <w:rsid w:val="00BD2711"/>
    <w:rsid w:val="00BD2BCE"/>
    <w:rsid w:val="00BD369D"/>
    <w:rsid w:val="00BD3834"/>
    <w:rsid w:val="00BD3B54"/>
    <w:rsid w:val="00BD3B97"/>
    <w:rsid w:val="00BD3E27"/>
    <w:rsid w:val="00BD433A"/>
    <w:rsid w:val="00BD462D"/>
    <w:rsid w:val="00BD4784"/>
    <w:rsid w:val="00BD4A93"/>
    <w:rsid w:val="00BD4A9D"/>
    <w:rsid w:val="00BD4E44"/>
    <w:rsid w:val="00BD6A65"/>
    <w:rsid w:val="00BD6C15"/>
    <w:rsid w:val="00BD6F34"/>
    <w:rsid w:val="00BD712F"/>
    <w:rsid w:val="00BD756E"/>
    <w:rsid w:val="00BD76D4"/>
    <w:rsid w:val="00BD775F"/>
    <w:rsid w:val="00BD7A60"/>
    <w:rsid w:val="00BE040E"/>
    <w:rsid w:val="00BE0851"/>
    <w:rsid w:val="00BE16B2"/>
    <w:rsid w:val="00BE1C49"/>
    <w:rsid w:val="00BE1D60"/>
    <w:rsid w:val="00BE1D66"/>
    <w:rsid w:val="00BE1F9B"/>
    <w:rsid w:val="00BE2024"/>
    <w:rsid w:val="00BE2100"/>
    <w:rsid w:val="00BE2311"/>
    <w:rsid w:val="00BE2721"/>
    <w:rsid w:val="00BE3398"/>
    <w:rsid w:val="00BE3676"/>
    <w:rsid w:val="00BE4005"/>
    <w:rsid w:val="00BE44BE"/>
    <w:rsid w:val="00BE4E66"/>
    <w:rsid w:val="00BE52A7"/>
    <w:rsid w:val="00BE564B"/>
    <w:rsid w:val="00BE58FC"/>
    <w:rsid w:val="00BE5A27"/>
    <w:rsid w:val="00BE5C73"/>
    <w:rsid w:val="00BE6021"/>
    <w:rsid w:val="00BE6677"/>
    <w:rsid w:val="00BE6D00"/>
    <w:rsid w:val="00BE7049"/>
    <w:rsid w:val="00BE708F"/>
    <w:rsid w:val="00BE748D"/>
    <w:rsid w:val="00BE74A3"/>
    <w:rsid w:val="00BE7723"/>
    <w:rsid w:val="00BE7A79"/>
    <w:rsid w:val="00BF10F5"/>
    <w:rsid w:val="00BF1593"/>
    <w:rsid w:val="00BF16D5"/>
    <w:rsid w:val="00BF196E"/>
    <w:rsid w:val="00BF2045"/>
    <w:rsid w:val="00BF3625"/>
    <w:rsid w:val="00BF3781"/>
    <w:rsid w:val="00BF3966"/>
    <w:rsid w:val="00BF3A53"/>
    <w:rsid w:val="00BF3B6B"/>
    <w:rsid w:val="00BF41E2"/>
    <w:rsid w:val="00BF466D"/>
    <w:rsid w:val="00BF51EA"/>
    <w:rsid w:val="00BF5443"/>
    <w:rsid w:val="00BF5729"/>
    <w:rsid w:val="00BF5936"/>
    <w:rsid w:val="00BF62D3"/>
    <w:rsid w:val="00BF662F"/>
    <w:rsid w:val="00BF7316"/>
    <w:rsid w:val="00BF7CC7"/>
    <w:rsid w:val="00BF7DD9"/>
    <w:rsid w:val="00C0025C"/>
    <w:rsid w:val="00C0099A"/>
    <w:rsid w:val="00C00B59"/>
    <w:rsid w:val="00C00BB2"/>
    <w:rsid w:val="00C00CBC"/>
    <w:rsid w:val="00C012E6"/>
    <w:rsid w:val="00C02276"/>
    <w:rsid w:val="00C024A9"/>
    <w:rsid w:val="00C02536"/>
    <w:rsid w:val="00C02C91"/>
    <w:rsid w:val="00C032BF"/>
    <w:rsid w:val="00C03941"/>
    <w:rsid w:val="00C0398A"/>
    <w:rsid w:val="00C03A0A"/>
    <w:rsid w:val="00C03B14"/>
    <w:rsid w:val="00C04181"/>
    <w:rsid w:val="00C0419A"/>
    <w:rsid w:val="00C04331"/>
    <w:rsid w:val="00C04363"/>
    <w:rsid w:val="00C04B0A"/>
    <w:rsid w:val="00C04E9D"/>
    <w:rsid w:val="00C05184"/>
    <w:rsid w:val="00C06809"/>
    <w:rsid w:val="00C06F91"/>
    <w:rsid w:val="00C07085"/>
    <w:rsid w:val="00C07293"/>
    <w:rsid w:val="00C07ACA"/>
    <w:rsid w:val="00C07C2B"/>
    <w:rsid w:val="00C1022A"/>
    <w:rsid w:val="00C10F9E"/>
    <w:rsid w:val="00C1149B"/>
    <w:rsid w:val="00C12A73"/>
    <w:rsid w:val="00C13515"/>
    <w:rsid w:val="00C13E1A"/>
    <w:rsid w:val="00C14078"/>
    <w:rsid w:val="00C14213"/>
    <w:rsid w:val="00C14CAF"/>
    <w:rsid w:val="00C1518C"/>
    <w:rsid w:val="00C156DF"/>
    <w:rsid w:val="00C157CD"/>
    <w:rsid w:val="00C15913"/>
    <w:rsid w:val="00C15AEF"/>
    <w:rsid w:val="00C16110"/>
    <w:rsid w:val="00C1636B"/>
    <w:rsid w:val="00C1715B"/>
    <w:rsid w:val="00C17244"/>
    <w:rsid w:val="00C173DC"/>
    <w:rsid w:val="00C17491"/>
    <w:rsid w:val="00C17775"/>
    <w:rsid w:val="00C20200"/>
    <w:rsid w:val="00C2042B"/>
    <w:rsid w:val="00C205BF"/>
    <w:rsid w:val="00C20631"/>
    <w:rsid w:val="00C20868"/>
    <w:rsid w:val="00C22592"/>
    <w:rsid w:val="00C2259C"/>
    <w:rsid w:val="00C22672"/>
    <w:rsid w:val="00C227C7"/>
    <w:rsid w:val="00C22C28"/>
    <w:rsid w:val="00C22CC4"/>
    <w:rsid w:val="00C22CC7"/>
    <w:rsid w:val="00C22E7A"/>
    <w:rsid w:val="00C23B2D"/>
    <w:rsid w:val="00C23ED2"/>
    <w:rsid w:val="00C2406A"/>
    <w:rsid w:val="00C2409D"/>
    <w:rsid w:val="00C248F3"/>
    <w:rsid w:val="00C24A17"/>
    <w:rsid w:val="00C24AE4"/>
    <w:rsid w:val="00C24DBE"/>
    <w:rsid w:val="00C25290"/>
    <w:rsid w:val="00C25683"/>
    <w:rsid w:val="00C25FA5"/>
    <w:rsid w:val="00C26351"/>
    <w:rsid w:val="00C26FED"/>
    <w:rsid w:val="00C27662"/>
    <w:rsid w:val="00C27DB0"/>
    <w:rsid w:val="00C27DEF"/>
    <w:rsid w:val="00C27E86"/>
    <w:rsid w:val="00C304B9"/>
    <w:rsid w:val="00C30D70"/>
    <w:rsid w:val="00C30F29"/>
    <w:rsid w:val="00C311D2"/>
    <w:rsid w:val="00C3169F"/>
    <w:rsid w:val="00C31729"/>
    <w:rsid w:val="00C31A7B"/>
    <w:rsid w:val="00C31DA6"/>
    <w:rsid w:val="00C320D1"/>
    <w:rsid w:val="00C32154"/>
    <w:rsid w:val="00C331F6"/>
    <w:rsid w:val="00C3320C"/>
    <w:rsid w:val="00C33489"/>
    <w:rsid w:val="00C33A80"/>
    <w:rsid w:val="00C346C5"/>
    <w:rsid w:val="00C34BD6"/>
    <w:rsid w:val="00C34BF2"/>
    <w:rsid w:val="00C34E44"/>
    <w:rsid w:val="00C35849"/>
    <w:rsid w:val="00C35BF5"/>
    <w:rsid w:val="00C35C17"/>
    <w:rsid w:val="00C35D84"/>
    <w:rsid w:val="00C36431"/>
    <w:rsid w:val="00C3669A"/>
    <w:rsid w:val="00C36700"/>
    <w:rsid w:val="00C36718"/>
    <w:rsid w:val="00C3675D"/>
    <w:rsid w:val="00C36DB2"/>
    <w:rsid w:val="00C370BE"/>
    <w:rsid w:val="00C370E6"/>
    <w:rsid w:val="00C3726E"/>
    <w:rsid w:val="00C373E3"/>
    <w:rsid w:val="00C3755D"/>
    <w:rsid w:val="00C37918"/>
    <w:rsid w:val="00C3796D"/>
    <w:rsid w:val="00C37EB8"/>
    <w:rsid w:val="00C4018A"/>
    <w:rsid w:val="00C40557"/>
    <w:rsid w:val="00C41216"/>
    <w:rsid w:val="00C41F11"/>
    <w:rsid w:val="00C41F29"/>
    <w:rsid w:val="00C420F6"/>
    <w:rsid w:val="00C422BA"/>
    <w:rsid w:val="00C423D5"/>
    <w:rsid w:val="00C4277C"/>
    <w:rsid w:val="00C42992"/>
    <w:rsid w:val="00C42B66"/>
    <w:rsid w:val="00C430C7"/>
    <w:rsid w:val="00C431F9"/>
    <w:rsid w:val="00C4338C"/>
    <w:rsid w:val="00C4366D"/>
    <w:rsid w:val="00C4395A"/>
    <w:rsid w:val="00C43C1A"/>
    <w:rsid w:val="00C43EE2"/>
    <w:rsid w:val="00C441F1"/>
    <w:rsid w:val="00C445D2"/>
    <w:rsid w:val="00C44DA0"/>
    <w:rsid w:val="00C44DA1"/>
    <w:rsid w:val="00C44EEA"/>
    <w:rsid w:val="00C454D3"/>
    <w:rsid w:val="00C45602"/>
    <w:rsid w:val="00C45F7B"/>
    <w:rsid w:val="00C45F9A"/>
    <w:rsid w:val="00C47283"/>
    <w:rsid w:val="00C4733D"/>
    <w:rsid w:val="00C474EF"/>
    <w:rsid w:val="00C47586"/>
    <w:rsid w:val="00C47D8D"/>
    <w:rsid w:val="00C50227"/>
    <w:rsid w:val="00C50296"/>
    <w:rsid w:val="00C50631"/>
    <w:rsid w:val="00C5090E"/>
    <w:rsid w:val="00C50B51"/>
    <w:rsid w:val="00C50B99"/>
    <w:rsid w:val="00C50DB6"/>
    <w:rsid w:val="00C514DD"/>
    <w:rsid w:val="00C5196B"/>
    <w:rsid w:val="00C51B73"/>
    <w:rsid w:val="00C52205"/>
    <w:rsid w:val="00C522AE"/>
    <w:rsid w:val="00C52625"/>
    <w:rsid w:val="00C52B8B"/>
    <w:rsid w:val="00C52C8E"/>
    <w:rsid w:val="00C52EE1"/>
    <w:rsid w:val="00C536AD"/>
    <w:rsid w:val="00C53A72"/>
    <w:rsid w:val="00C53B42"/>
    <w:rsid w:val="00C53FE2"/>
    <w:rsid w:val="00C54248"/>
    <w:rsid w:val="00C5430D"/>
    <w:rsid w:val="00C54440"/>
    <w:rsid w:val="00C544EB"/>
    <w:rsid w:val="00C54510"/>
    <w:rsid w:val="00C54573"/>
    <w:rsid w:val="00C54A11"/>
    <w:rsid w:val="00C54BB2"/>
    <w:rsid w:val="00C54FCA"/>
    <w:rsid w:val="00C55A10"/>
    <w:rsid w:val="00C55A6B"/>
    <w:rsid w:val="00C562E5"/>
    <w:rsid w:val="00C5641A"/>
    <w:rsid w:val="00C56BDE"/>
    <w:rsid w:val="00C56F84"/>
    <w:rsid w:val="00C57040"/>
    <w:rsid w:val="00C5705A"/>
    <w:rsid w:val="00C570F8"/>
    <w:rsid w:val="00C571FE"/>
    <w:rsid w:val="00C5757B"/>
    <w:rsid w:val="00C60682"/>
    <w:rsid w:val="00C60B25"/>
    <w:rsid w:val="00C61620"/>
    <w:rsid w:val="00C6163A"/>
    <w:rsid w:val="00C61A8D"/>
    <w:rsid w:val="00C61C61"/>
    <w:rsid w:val="00C61CDC"/>
    <w:rsid w:val="00C62849"/>
    <w:rsid w:val="00C62B54"/>
    <w:rsid w:val="00C63188"/>
    <w:rsid w:val="00C637A9"/>
    <w:rsid w:val="00C63BFF"/>
    <w:rsid w:val="00C63E05"/>
    <w:rsid w:val="00C64362"/>
    <w:rsid w:val="00C64633"/>
    <w:rsid w:val="00C646EF"/>
    <w:rsid w:val="00C647A9"/>
    <w:rsid w:val="00C64EA1"/>
    <w:rsid w:val="00C652D4"/>
    <w:rsid w:val="00C65416"/>
    <w:rsid w:val="00C65450"/>
    <w:rsid w:val="00C65952"/>
    <w:rsid w:val="00C659A2"/>
    <w:rsid w:val="00C65FAA"/>
    <w:rsid w:val="00C660F5"/>
    <w:rsid w:val="00C664A3"/>
    <w:rsid w:val="00C66B1D"/>
    <w:rsid w:val="00C66F48"/>
    <w:rsid w:val="00C66F7C"/>
    <w:rsid w:val="00C67DE6"/>
    <w:rsid w:val="00C70400"/>
    <w:rsid w:val="00C707C2"/>
    <w:rsid w:val="00C70992"/>
    <w:rsid w:val="00C70A90"/>
    <w:rsid w:val="00C70DD2"/>
    <w:rsid w:val="00C70E7B"/>
    <w:rsid w:val="00C70FB7"/>
    <w:rsid w:val="00C712FD"/>
    <w:rsid w:val="00C7158C"/>
    <w:rsid w:val="00C71A83"/>
    <w:rsid w:val="00C71C93"/>
    <w:rsid w:val="00C71ECC"/>
    <w:rsid w:val="00C7257C"/>
    <w:rsid w:val="00C72624"/>
    <w:rsid w:val="00C72B02"/>
    <w:rsid w:val="00C72F1B"/>
    <w:rsid w:val="00C73121"/>
    <w:rsid w:val="00C73541"/>
    <w:rsid w:val="00C73808"/>
    <w:rsid w:val="00C7384F"/>
    <w:rsid w:val="00C73984"/>
    <w:rsid w:val="00C74044"/>
    <w:rsid w:val="00C74314"/>
    <w:rsid w:val="00C747F6"/>
    <w:rsid w:val="00C74DAC"/>
    <w:rsid w:val="00C75F99"/>
    <w:rsid w:val="00C76712"/>
    <w:rsid w:val="00C76DEC"/>
    <w:rsid w:val="00C76F0B"/>
    <w:rsid w:val="00C772BA"/>
    <w:rsid w:val="00C77324"/>
    <w:rsid w:val="00C77A13"/>
    <w:rsid w:val="00C80BC1"/>
    <w:rsid w:val="00C80C93"/>
    <w:rsid w:val="00C80F1A"/>
    <w:rsid w:val="00C813BD"/>
    <w:rsid w:val="00C818E7"/>
    <w:rsid w:val="00C81F7E"/>
    <w:rsid w:val="00C823FA"/>
    <w:rsid w:val="00C828FC"/>
    <w:rsid w:val="00C82AA2"/>
    <w:rsid w:val="00C82AD3"/>
    <w:rsid w:val="00C83494"/>
    <w:rsid w:val="00C83498"/>
    <w:rsid w:val="00C83B92"/>
    <w:rsid w:val="00C846DA"/>
    <w:rsid w:val="00C84733"/>
    <w:rsid w:val="00C84919"/>
    <w:rsid w:val="00C853E8"/>
    <w:rsid w:val="00C85452"/>
    <w:rsid w:val="00C860D0"/>
    <w:rsid w:val="00C8701E"/>
    <w:rsid w:val="00C873BC"/>
    <w:rsid w:val="00C87725"/>
    <w:rsid w:val="00C87E68"/>
    <w:rsid w:val="00C87F8A"/>
    <w:rsid w:val="00C9046A"/>
    <w:rsid w:val="00C9048F"/>
    <w:rsid w:val="00C90693"/>
    <w:rsid w:val="00C909DB"/>
    <w:rsid w:val="00C90F2E"/>
    <w:rsid w:val="00C910DB"/>
    <w:rsid w:val="00C91166"/>
    <w:rsid w:val="00C913C1"/>
    <w:rsid w:val="00C917EE"/>
    <w:rsid w:val="00C9192D"/>
    <w:rsid w:val="00C91A45"/>
    <w:rsid w:val="00C92174"/>
    <w:rsid w:val="00C92347"/>
    <w:rsid w:val="00C93859"/>
    <w:rsid w:val="00C93B71"/>
    <w:rsid w:val="00C942FA"/>
    <w:rsid w:val="00C94BBF"/>
    <w:rsid w:val="00C94EC9"/>
    <w:rsid w:val="00C956DB"/>
    <w:rsid w:val="00C95C27"/>
    <w:rsid w:val="00C95DF8"/>
    <w:rsid w:val="00C95E32"/>
    <w:rsid w:val="00C9617A"/>
    <w:rsid w:val="00C96244"/>
    <w:rsid w:val="00C9678B"/>
    <w:rsid w:val="00C9680B"/>
    <w:rsid w:val="00C96981"/>
    <w:rsid w:val="00C96D21"/>
    <w:rsid w:val="00C96FF7"/>
    <w:rsid w:val="00C977E8"/>
    <w:rsid w:val="00C97F61"/>
    <w:rsid w:val="00CA0557"/>
    <w:rsid w:val="00CA0B2C"/>
    <w:rsid w:val="00CA0F20"/>
    <w:rsid w:val="00CA179F"/>
    <w:rsid w:val="00CA17BD"/>
    <w:rsid w:val="00CA1A2A"/>
    <w:rsid w:val="00CA1D02"/>
    <w:rsid w:val="00CA1DC5"/>
    <w:rsid w:val="00CA22C4"/>
    <w:rsid w:val="00CA2753"/>
    <w:rsid w:val="00CA2BE7"/>
    <w:rsid w:val="00CA2D3F"/>
    <w:rsid w:val="00CA2F18"/>
    <w:rsid w:val="00CA34CE"/>
    <w:rsid w:val="00CA34ED"/>
    <w:rsid w:val="00CA3F79"/>
    <w:rsid w:val="00CA413E"/>
    <w:rsid w:val="00CA4187"/>
    <w:rsid w:val="00CA41AB"/>
    <w:rsid w:val="00CA45AD"/>
    <w:rsid w:val="00CA46B8"/>
    <w:rsid w:val="00CA48B0"/>
    <w:rsid w:val="00CA4B97"/>
    <w:rsid w:val="00CA4D46"/>
    <w:rsid w:val="00CA4EF0"/>
    <w:rsid w:val="00CA56AC"/>
    <w:rsid w:val="00CA5E8D"/>
    <w:rsid w:val="00CA6765"/>
    <w:rsid w:val="00CA680E"/>
    <w:rsid w:val="00CA68C9"/>
    <w:rsid w:val="00CA69AE"/>
    <w:rsid w:val="00CA6B7A"/>
    <w:rsid w:val="00CA71A3"/>
    <w:rsid w:val="00CA75AB"/>
    <w:rsid w:val="00CA78F9"/>
    <w:rsid w:val="00CA7C01"/>
    <w:rsid w:val="00CA7CA8"/>
    <w:rsid w:val="00CA7EB4"/>
    <w:rsid w:val="00CB019A"/>
    <w:rsid w:val="00CB0395"/>
    <w:rsid w:val="00CB0ED7"/>
    <w:rsid w:val="00CB15CA"/>
    <w:rsid w:val="00CB19A5"/>
    <w:rsid w:val="00CB1C7E"/>
    <w:rsid w:val="00CB2A79"/>
    <w:rsid w:val="00CB2E15"/>
    <w:rsid w:val="00CB2E79"/>
    <w:rsid w:val="00CB2FA2"/>
    <w:rsid w:val="00CB3013"/>
    <w:rsid w:val="00CB312F"/>
    <w:rsid w:val="00CB39AF"/>
    <w:rsid w:val="00CB3AA1"/>
    <w:rsid w:val="00CB3CB9"/>
    <w:rsid w:val="00CB4730"/>
    <w:rsid w:val="00CB49E4"/>
    <w:rsid w:val="00CB4A79"/>
    <w:rsid w:val="00CB54D4"/>
    <w:rsid w:val="00CB57A1"/>
    <w:rsid w:val="00CB57D8"/>
    <w:rsid w:val="00CB59ED"/>
    <w:rsid w:val="00CB5A40"/>
    <w:rsid w:val="00CB5EAF"/>
    <w:rsid w:val="00CB5FC6"/>
    <w:rsid w:val="00CB6ED8"/>
    <w:rsid w:val="00CB73F9"/>
    <w:rsid w:val="00CB7771"/>
    <w:rsid w:val="00CB7A7A"/>
    <w:rsid w:val="00CB7FEE"/>
    <w:rsid w:val="00CC0687"/>
    <w:rsid w:val="00CC0B06"/>
    <w:rsid w:val="00CC181C"/>
    <w:rsid w:val="00CC1AAA"/>
    <w:rsid w:val="00CC1E51"/>
    <w:rsid w:val="00CC1F5F"/>
    <w:rsid w:val="00CC20C0"/>
    <w:rsid w:val="00CC22C9"/>
    <w:rsid w:val="00CC2882"/>
    <w:rsid w:val="00CC2F61"/>
    <w:rsid w:val="00CC3186"/>
    <w:rsid w:val="00CC341C"/>
    <w:rsid w:val="00CC4022"/>
    <w:rsid w:val="00CC404A"/>
    <w:rsid w:val="00CC4216"/>
    <w:rsid w:val="00CC449A"/>
    <w:rsid w:val="00CC4BE9"/>
    <w:rsid w:val="00CC4D42"/>
    <w:rsid w:val="00CC51BE"/>
    <w:rsid w:val="00CC52AC"/>
    <w:rsid w:val="00CC564F"/>
    <w:rsid w:val="00CC5B57"/>
    <w:rsid w:val="00CC5BFC"/>
    <w:rsid w:val="00CC5F6E"/>
    <w:rsid w:val="00CC7420"/>
    <w:rsid w:val="00CC75BE"/>
    <w:rsid w:val="00CC75D4"/>
    <w:rsid w:val="00CC79D5"/>
    <w:rsid w:val="00CC7D7B"/>
    <w:rsid w:val="00CC7D8F"/>
    <w:rsid w:val="00CD031C"/>
    <w:rsid w:val="00CD03D6"/>
    <w:rsid w:val="00CD070B"/>
    <w:rsid w:val="00CD157C"/>
    <w:rsid w:val="00CD1BF5"/>
    <w:rsid w:val="00CD1C94"/>
    <w:rsid w:val="00CD22D3"/>
    <w:rsid w:val="00CD2A1F"/>
    <w:rsid w:val="00CD2F95"/>
    <w:rsid w:val="00CD3064"/>
    <w:rsid w:val="00CD3441"/>
    <w:rsid w:val="00CD35CC"/>
    <w:rsid w:val="00CD390B"/>
    <w:rsid w:val="00CD394B"/>
    <w:rsid w:val="00CD4152"/>
    <w:rsid w:val="00CD43A3"/>
    <w:rsid w:val="00CD4483"/>
    <w:rsid w:val="00CD46ED"/>
    <w:rsid w:val="00CD477E"/>
    <w:rsid w:val="00CD4B7F"/>
    <w:rsid w:val="00CD4C41"/>
    <w:rsid w:val="00CD5348"/>
    <w:rsid w:val="00CD5355"/>
    <w:rsid w:val="00CD5CE1"/>
    <w:rsid w:val="00CD5D72"/>
    <w:rsid w:val="00CD60FA"/>
    <w:rsid w:val="00CD61A5"/>
    <w:rsid w:val="00CD628F"/>
    <w:rsid w:val="00CD62FE"/>
    <w:rsid w:val="00CD766B"/>
    <w:rsid w:val="00CD7D58"/>
    <w:rsid w:val="00CD7EB6"/>
    <w:rsid w:val="00CD7FBB"/>
    <w:rsid w:val="00CE0350"/>
    <w:rsid w:val="00CE04DE"/>
    <w:rsid w:val="00CE09A2"/>
    <w:rsid w:val="00CE0E84"/>
    <w:rsid w:val="00CE10B1"/>
    <w:rsid w:val="00CE14D6"/>
    <w:rsid w:val="00CE153D"/>
    <w:rsid w:val="00CE1D7B"/>
    <w:rsid w:val="00CE2118"/>
    <w:rsid w:val="00CE243F"/>
    <w:rsid w:val="00CE2551"/>
    <w:rsid w:val="00CE25FD"/>
    <w:rsid w:val="00CE3175"/>
    <w:rsid w:val="00CE3293"/>
    <w:rsid w:val="00CE3C6D"/>
    <w:rsid w:val="00CE3C82"/>
    <w:rsid w:val="00CE43B1"/>
    <w:rsid w:val="00CE45DB"/>
    <w:rsid w:val="00CE4964"/>
    <w:rsid w:val="00CE4BCF"/>
    <w:rsid w:val="00CE537D"/>
    <w:rsid w:val="00CE5414"/>
    <w:rsid w:val="00CE55AA"/>
    <w:rsid w:val="00CE5E44"/>
    <w:rsid w:val="00CE62B0"/>
    <w:rsid w:val="00CE6540"/>
    <w:rsid w:val="00CE6D9E"/>
    <w:rsid w:val="00CE6DB4"/>
    <w:rsid w:val="00CE70AB"/>
    <w:rsid w:val="00CE7426"/>
    <w:rsid w:val="00CE794B"/>
    <w:rsid w:val="00CE7C39"/>
    <w:rsid w:val="00CF0402"/>
    <w:rsid w:val="00CF05EA"/>
    <w:rsid w:val="00CF088B"/>
    <w:rsid w:val="00CF0FB9"/>
    <w:rsid w:val="00CF21A8"/>
    <w:rsid w:val="00CF248F"/>
    <w:rsid w:val="00CF2AB7"/>
    <w:rsid w:val="00CF3061"/>
    <w:rsid w:val="00CF3394"/>
    <w:rsid w:val="00CF3522"/>
    <w:rsid w:val="00CF370F"/>
    <w:rsid w:val="00CF3F37"/>
    <w:rsid w:val="00CF4A46"/>
    <w:rsid w:val="00CF4BD8"/>
    <w:rsid w:val="00CF581A"/>
    <w:rsid w:val="00CF6248"/>
    <w:rsid w:val="00CF63D1"/>
    <w:rsid w:val="00CF74C0"/>
    <w:rsid w:val="00CF75DB"/>
    <w:rsid w:val="00CF7897"/>
    <w:rsid w:val="00CF7997"/>
    <w:rsid w:val="00CF7BFA"/>
    <w:rsid w:val="00D004E3"/>
    <w:rsid w:val="00D009E0"/>
    <w:rsid w:val="00D00DD6"/>
    <w:rsid w:val="00D01230"/>
    <w:rsid w:val="00D013D9"/>
    <w:rsid w:val="00D017A2"/>
    <w:rsid w:val="00D019BF"/>
    <w:rsid w:val="00D01CAD"/>
    <w:rsid w:val="00D01E38"/>
    <w:rsid w:val="00D022BA"/>
    <w:rsid w:val="00D026AB"/>
    <w:rsid w:val="00D0283B"/>
    <w:rsid w:val="00D02ABB"/>
    <w:rsid w:val="00D03A98"/>
    <w:rsid w:val="00D03BB9"/>
    <w:rsid w:val="00D03D4D"/>
    <w:rsid w:val="00D03E69"/>
    <w:rsid w:val="00D03F6C"/>
    <w:rsid w:val="00D0415C"/>
    <w:rsid w:val="00D04983"/>
    <w:rsid w:val="00D05778"/>
    <w:rsid w:val="00D06937"/>
    <w:rsid w:val="00D06B06"/>
    <w:rsid w:val="00D070FF"/>
    <w:rsid w:val="00D075A4"/>
    <w:rsid w:val="00D07D94"/>
    <w:rsid w:val="00D10407"/>
    <w:rsid w:val="00D1058E"/>
    <w:rsid w:val="00D10AE5"/>
    <w:rsid w:val="00D11433"/>
    <w:rsid w:val="00D11542"/>
    <w:rsid w:val="00D11573"/>
    <w:rsid w:val="00D11EC5"/>
    <w:rsid w:val="00D12059"/>
    <w:rsid w:val="00D122E6"/>
    <w:rsid w:val="00D1239D"/>
    <w:rsid w:val="00D125DE"/>
    <w:rsid w:val="00D12DF5"/>
    <w:rsid w:val="00D13777"/>
    <w:rsid w:val="00D13BB6"/>
    <w:rsid w:val="00D13C2D"/>
    <w:rsid w:val="00D140A1"/>
    <w:rsid w:val="00D1459C"/>
    <w:rsid w:val="00D14E96"/>
    <w:rsid w:val="00D151F0"/>
    <w:rsid w:val="00D156B6"/>
    <w:rsid w:val="00D15F8E"/>
    <w:rsid w:val="00D1690E"/>
    <w:rsid w:val="00D172D8"/>
    <w:rsid w:val="00D173A5"/>
    <w:rsid w:val="00D173FA"/>
    <w:rsid w:val="00D178E9"/>
    <w:rsid w:val="00D17AB7"/>
    <w:rsid w:val="00D17B3F"/>
    <w:rsid w:val="00D17BE1"/>
    <w:rsid w:val="00D17E74"/>
    <w:rsid w:val="00D17F1D"/>
    <w:rsid w:val="00D219D5"/>
    <w:rsid w:val="00D2203E"/>
    <w:rsid w:val="00D2231C"/>
    <w:rsid w:val="00D2254A"/>
    <w:rsid w:val="00D22704"/>
    <w:rsid w:val="00D230FC"/>
    <w:rsid w:val="00D23513"/>
    <w:rsid w:val="00D237C9"/>
    <w:rsid w:val="00D23C31"/>
    <w:rsid w:val="00D242CF"/>
    <w:rsid w:val="00D24573"/>
    <w:rsid w:val="00D245E2"/>
    <w:rsid w:val="00D24A53"/>
    <w:rsid w:val="00D24C69"/>
    <w:rsid w:val="00D25047"/>
    <w:rsid w:val="00D251CF"/>
    <w:rsid w:val="00D252B8"/>
    <w:rsid w:val="00D26621"/>
    <w:rsid w:val="00D267D6"/>
    <w:rsid w:val="00D26BEC"/>
    <w:rsid w:val="00D2729A"/>
    <w:rsid w:val="00D27506"/>
    <w:rsid w:val="00D27E6C"/>
    <w:rsid w:val="00D306E6"/>
    <w:rsid w:val="00D30F5A"/>
    <w:rsid w:val="00D3198D"/>
    <w:rsid w:val="00D31FC6"/>
    <w:rsid w:val="00D32EAB"/>
    <w:rsid w:val="00D3357B"/>
    <w:rsid w:val="00D337A3"/>
    <w:rsid w:val="00D33C51"/>
    <w:rsid w:val="00D34338"/>
    <w:rsid w:val="00D34688"/>
    <w:rsid w:val="00D35601"/>
    <w:rsid w:val="00D35F3B"/>
    <w:rsid w:val="00D36027"/>
    <w:rsid w:val="00D36337"/>
    <w:rsid w:val="00D363AA"/>
    <w:rsid w:val="00D36522"/>
    <w:rsid w:val="00D366B7"/>
    <w:rsid w:val="00D367F5"/>
    <w:rsid w:val="00D36C23"/>
    <w:rsid w:val="00D36FB2"/>
    <w:rsid w:val="00D37072"/>
    <w:rsid w:val="00D375C7"/>
    <w:rsid w:val="00D3769E"/>
    <w:rsid w:val="00D40081"/>
    <w:rsid w:val="00D407D8"/>
    <w:rsid w:val="00D40E3B"/>
    <w:rsid w:val="00D40EAF"/>
    <w:rsid w:val="00D41034"/>
    <w:rsid w:val="00D4117D"/>
    <w:rsid w:val="00D411A8"/>
    <w:rsid w:val="00D413DA"/>
    <w:rsid w:val="00D418A3"/>
    <w:rsid w:val="00D41B99"/>
    <w:rsid w:val="00D42249"/>
    <w:rsid w:val="00D4244A"/>
    <w:rsid w:val="00D42487"/>
    <w:rsid w:val="00D4341B"/>
    <w:rsid w:val="00D43539"/>
    <w:rsid w:val="00D43FBC"/>
    <w:rsid w:val="00D4432C"/>
    <w:rsid w:val="00D44522"/>
    <w:rsid w:val="00D44CC7"/>
    <w:rsid w:val="00D45865"/>
    <w:rsid w:val="00D45867"/>
    <w:rsid w:val="00D458A5"/>
    <w:rsid w:val="00D4595F"/>
    <w:rsid w:val="00D45CE3"/>
    <w:rsid w:val="00D46157"/>
    <w:rsid w:val="00D4646A"/>
    <w:rsid w:val="00D466A8"/>
    <w:rsid w:val="00D46A18"/>
    <w:rsid w:val="00D46BEF"/>
    <w:rsid w:val="00D47187"/>
    <w:rsid w:val="00D4751A"/>
    <w:rsid w:val="00D477E0"/>
    <w:rsid w:val="00D47805"/>
    <w:rsid w:val="00D47A56"/>
    <w:rsid w:val="00D47DDB"/>
    <w:rsid w:val="00D47FF2"/>
    <w:rsid w:val="00D50011"/>
    <w:rsid w:val="00D500F2"/>
    <w:rsid w:val="00D5017E"/>
    <w:rsid w:val="00D501F5"/>
    <w:rsid w:val="00D50728"/>
    <w:rsid w:val="00D508E4"/>
    <w:rsid w:val="00D50B2C"/>
    <w:rsid w:val="00D50EB3"/>
    <w:rsid w:val="00D519D2"/>
    <w:rsid w:val="00D52284"/>
    <w:rsid w:val="00D528B5"/>
    <w:rsid w:val="00D52C6F"/>
    <w:rsid w:val="00D5322C"/>
    <w:rsid w:val="00D533A1"/>
    <w:rsid w:val="00D533BF"/>
    <w:rsid w:val="00D53841"/>
    <w:rsid w:val="00D53C05"/>
    <w:rsid w:val="00D544C2"/>
    <w:rsid w:val="00D546B8"/>
    <w:rsid w:val="00D55294"/>
    <w:rsid w:val="00D562BC"/>
    <w:rsid w:val="00D567E0"/>
    <w:rsid w:val="00D56ACF"/>
    <w:rsid w:val="00D56BDE"/>
    <w:rsid w:val="00D57152"/>
    <w:rsid w:val="00D571A7"/>
    <w:rsid w:val="00D57692"/>
    <w:rsid w:val="00D576D7"/>
    <w:rsid w:val="00D57AF1"/>
    <w:rsid w:val="00D57CBB"/>
    <w:rsid w:val="00D60236"/>
    <w:rsid w:val="00D6063B"/>
    <w:rsid w:val="00D60B43"/>
    <w:rsid w:val="00D60C45"/>
    <w:rsid w:val="00D613F0"/>
    <w:rsid w:val="00D614C7"/>
    <w:rsid w:val="00D61A0C"/>
    <w:rsid w:val="00D61E9C"/>
    <w:rsid w:val="00D61F3D"/>
    <w:rsid w:val="00D61F93"/>
    <w:rsid w:val="00D623A8"/>
    <w:rsid w:val="00D62472"/>
    <w:rsid w:val="00D62545"/>
    <w:rsid w:val="00D62EEF"/>
    <w:rsid w:val="00D6312F"/>
    <w:rsid w:val="00D633BB"/>
    <w:rsid w:val="00D63A3E"/>
    <w:rsid w:val="00D63D69"/>
    <w:rsid w:val="00D640F2"/>
    <w:rsid w:val="00D64236"/>
    <w:rsid w:val="00D642AD"/>
    <w:rsid w:val="00D64A40"/>
    <w:rsid w:val="00D64BD4"/>
    <w:rsid w:val="00D64E02"/>
    <w:rsid w:val="00D654E8"/>
    <w:rsid w:val="00D654FB"/>
    <w:rsid w:val="00D65619"/>
    <w:rsid w:val="00D66229"/>
    <w:rsid w:val="00D667D9"/>
    <w:rsid w:val="00D66C42"/>
    <w:rsid w:val="00D6715C"/>
    <w:rsid w:val="00D671FA"/>
    <w:rsid w:val="00D67216"/>
    <w:rsid w:val="00D67780"/>
    <w:rsid w:val="00D701C2"/>
    <w:rsid w:val="00D7055C"/>
    <w:rsid w:val="00D708CD"/>
    <w:rsid w:val="00D709B0"/>
    <w:rsid w:val="00D71468"/>
    <w:rsid w:val="00D71549"/>
    <w:rsid w:val="00D7160C"/>
    <w:rsid w:val="00D71741"/>
    <w:rsid w:val="00D71A0A"/>
    <w:rsid w:val="00D71A70"/>
    <w:rsid w:val="00D71C1F"/>
    <w:rsid w:val="00D71CE6"/>
    <w:rsid w:val="00D71F03"/>
    <w:rsid w:val="00D72304"/>
    <w:rsid w:val="00D7249D"/>
    <w:rsid w:val="00D727B3"/>
    <w:rsid w:val="00D73210"/>
    <w:rsid w:val="00D73AD4"/>
    <w:rsid w:val="00D73C8C"/>
    <w:rsid w:val="00D744AF"/>
    <w:rsid w:val="00D74862"/>
    <w:rsid w:val="00D75172"/>
    <w:rsid w:val="00D7555D"/>
    <w:rsid w:val="00D756D2"/>
    <w:rsid w:val="00D75879"/>
    <w:rsid w:val="00D75908"/>
    <w:rsid w:val="00D75CD0"/>
    <w:rsid w:val="00D75DFA"/>
    <w:rsid w:val="00D75ECA"/>
    <w:rsid w:val="00D760B5"/>
    <w:rsid w:val="00D764EB"/>
    <w:rsid w:val="00D766A9"/>
    <w:rsid w:val="00D7731C"/>
    <w:rsid w:val="00D7733A"/>
    <w:rsid w:val="00D775CD"/>
    <w:rsid w:val="00D778F2"/>
    <w:rsid w:val="00D77AEE"/>
    <w:rsid w:val="00D8005C"/>
    <w:rsid w:val="00D80539"/>
    <w:rsid w:val="00D808EE"/>
    <w:rsid w:val="00D80A72"/>
    <w:rsid w:val="00D80AF5"/>
    <w:rsid w:val="00D81003"/>
    <w:rsid w:val="00D81129"/>
    <w:rsid w:val="00D818D0"/>
    <w:rsid w:val="00D81A7D"/>
    <w:rsid w:val="00D8202C"/>
    <w:rsid w:val="00D82223"/>
    <w:rsid w:val="00D822E5"/>
    <w:rsid w:val="00D82F39"/>
    <w:rsid w:val="00D8300D"/>
    <w:rsid w:val="00D8378B"/>
    <w:rsid w:val="00D840BF"/>
    <w:rsid w:val="00D846D9"/>
    <w:rsid w:val="00D8480B"/>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235"/>
    <w:rsid w:val="00D90662"/>
    <w:rsid w:val="00D90712"/>
    <w:rsid w:val="00D9076C"/>
    <w:rsid w:val="00D90F3C"/>
    <w:rsid w:val="00D91043"/>
    <w:rsid w:val="00D911ED"/>
    <w:rsid w:val="00D91651"/>
    <w:rsid w:val="00D91686"/>
    <w:rsid w:val="00D9181C"/>
    <w:rsid w:val="00D91841"/>
    <w:rsid w:val="00D918BC"/>
    <w:rsid w:val="00D9191D"/>
    <w:rsid w:val="00D91A49"/>
    <w:rsid w:val="00D91D95"/>
    <w:rsid w:val="00D91E5A"/>
    <w:rsid w:val="00D92400"/>
    <w:rsid w:val="00D92454"/>
    <w:rsid w:val="00D9270B"/>
    <w:rsid w:val="00D927AB"/>
    <w:rsid w:val="00D93CB6"/>
    <w:rsid w:val="00D94506"/>
    <w:rsid w:val="00D947E8"/>
    <w:rsid w:val="00D94C19"/>
    <w:rsid w:val="00D94FA6"/>
    <w:rsid w:val="00D950AF"/>
    <w:rsid w:val="00D95432"/>
    <w:rsid w:val="00D95DD1"/>
    <w:rsid w:val="00D96A20"/>
    <w:rsid w:val="00D96D76"/>
    <w:rsid w:val="00D97020"/>
    <w:rsid w:val="00D9744D"/>
    <w:rsid w:val="00DA10C4"/>
    <w:rsid w:val="00DA123A"/>
    <w:rsid w:val="00DA2813"/>
    <w:rsid w:val="00DA2C32"/>
    <w:rsid w:val="00DA2DF2"/>
    <w:rsid w:val="00DA31ED"/>
    <w:rsid w:val="00DA36B3"/>
    <w:rsid w:val="00DA467B"/>
    <w:rsid w:val="00DA48C5"/>
    <w:rsid w:val="00DA4DDB"/>
    <w:rsid w:val="00DA53B9"/>
    <w:rsid w:val="00DA64C9"/>
    <w:rsid w:val="00DA6B67"/>
    <w:rsid w:val="00DA7371"/>
    <w:rsid w:val="00DA74CE"/>
    <w:rsid w:val="00DA7705"/>
    <w:rsid w:val="00DA7878"/>
    <w:rsid w:val="00DA7D78"/>
    <w:rsid w:val="00DA7F35"/>
    <w:rsid w:val="00DB005E"/>
    <w:rsid w:val="00DB0592"/>
    <w:rsid w:val="00DB0B44"/>
    <w:rsid w:val="00DB17F3"/>
    <w:rsid w:val="00DB1D21"/>
    <w:rsid w:val="00DB1FA4"/>
    <w:rsid w:val="00DB2A05"/>
    <w:rsid w:val="00DB2C57"/>
    <w:rsid w:val="00DB2DF8"/>
    <w:rsid w:val="00DB3023"/>
    <w:rsid w:val="00DB3562"/>
    <w:rsid w:val="00DB3613"/>
    <w:rsid w:val="00DB3DB1"/>
    <w:rsid w:val="00DB3E6A"/>
    <w:rsid w:val="00DB3FDB"/>
    <w:rsid w:val="00DB4274"/>
    <w:rsid w:val="00DB4843"/>
    <w:rsid w:val="00DB4D86"/>
    <w:rsid w:val="00DB514B"/>
    <w:rsid w:val="00DB5712"/>
    <w:rsid w:val="00DB5C0E"/>
    <w:rsid w:val="00DB5E0E"/>
    <w:rsid w:val="00DB6379"/>
    <w:rsid w:val="00DB64AA"/>
    <w:rsid w:val="00DB657F"/>
    <w:rsid w:val="00DB65C2"/>
    <w:rsid w:val="00DB66CE"/>
    <w:rsid w:val="00DB6952"/>
    <w:rsid w:val="00DB70EE"/>
    <w:rsid w:val="00DB715A"/>
    <w:rsid w:val="00DB7503"/>
    <w:rsid w:val="00DB75A4"/>
    <w:rsid w:val="00DB7827"/>
    <w:rsid w:val="00DB7BF9"/>
    <w:rsid w:val="00DC00C7"/>
    <w:rsid w:val="00DC023B"/>
    <w:rsid w:val="00DC0554"/>
    <w:rsid w:val="00DC07EC"/>
    <w:rsid w:val="00DC07F1"/>
    <w:rsid w:val="00DC0AEF"/>
    <w:rsid w:val="00DC128B"/>
    <w:rsid w:val="00DC1828"/>
    <w:rsid w:val="00DC1A6F"/>
    <w:rsid w:val="00DC22AD"/>
    <w:rsid w:val="00DC2DC5"/>
    <w:rsid w:val="00DC2E98"/>
    <w:rsid w:val="00DC30EA"/>
    <w:rsid w:val="00DC33EC"/>
    <w:rsid w:val="00DC3F9B"/>
    <w:rsid w:val="00DC4D22"/>
    <w:rsid w:val="00DC5B2D"/>
    <w:rsid w:val="00DC6491"/>
    <w:rsid w:val="00DC6E16"/>
    <w:rsid w:val="00DC7045"/>
    <w:rsid w:val="00DC70CD"/>
    <w:rsid w:val="00DC7601"/>
    <w:rsid w:val="00DC7E6F"/>
    <w:rsid w:val="00DD00EA"/>
    <w:rsid w:val="00DD1635"/>
    <w:rsid w:val="00DD1BD3"/>
    <w:rsid w:val="00DD1EFE"/>
    <w:rsid w:val="00DD20DE"/>
    <w:rsid w:val="00DD229D"/>
    <w:rsid w:val="00DD2A3E"/>
    <w:rsid w:val="00DD2E4E"/>
    <w:rsid w:val="00DD36AA"/>
    <w:rsid w:val="00DD3B6A"/>
    <w:rsid w:val="00DD405B"/>
    <w:rsid w:val="00DD45BB"/>
    <w:rsid w:val="00DD4974"/>
    <w:rsid w:val="00DD4991"/>
    <w:rsid w:val="00DD553E"/>
    <w:rsid w:val="00DD564B"/>
    <w:rsid w:val="00DD638A"/>
    <w:rsid w:val="00DD64A2"/>
    <w:rsid w:val="00DD64CB"/>
    <w:rsid w:val="00DD6531"/>
    <w:rsid w:val="00DD671F"/>
    <w:rsid w:val="00DD6801"/>
    <w:rsid w:val="00DD6925"/>
    <w:rsid w:val="00DD6E0E"/>
    <w:rsid w:val="00DD6F13"/>
    <w:rsid w:val="00DD7BF9"/>
    <w:rsid w:val="00DD7C13"/>
    <w:rsid w:val="00DD7C7A"/>
    <w:rsid w:val="00DE037E"/>
    <w:rsid w:val="00DE0759"/>
    <w:rsid w:val="00DE0DFB"/>
    <w:rsid w:val="00DE1550"/>
    <w:rsid w:val="00DE176E"/>
    <w:rsid w:val="00DE1EC9"/>
    <w:rsid w:val="00DE23F2"/>
    <w:rsid w:val="00DE24B0"/>
    <w:rsid w:val="00DE28B1"/>
    <w:rsid w:val="00DE38AA"/>
    <w:rsid w:val="00DE4CB8"/>
    <w:rsid w:val="00DE4E7D"/>
    <w:rsid w:val="00DE5A1E"/>
    <w:rsid w:val="00DE5EEE"/>
    <w:rsid w:val="00DE6721"/>
    <w:rsid w:val="00DE6912"/>
    <w:rsid w:val="00DE6E01"/>
    <w:rsid w:val="00DE6F95"/>
    <w:rsid w:val="00DE7140"/>
    <w:rsid w:val="00DE7355"/>
    <w:rsid w:val="00DE77E7"/>
    <w:rsid w:val="00DE7E8B"/>
    <w:rsid w:val="00DF0365"/>
    <w:rsid w:val="00DF04A6"/>
    <w:rsid w:val="00DF0745"/>
    <w:rsid w:val="00DF0790"/>
    <w:rsid w:val="00DF0DF8"/>
    <w:rsid w:val="00DF1011"/>
    <w:rsid w:val="00DF15B6"/>
    <w:rsid w:val="00DF15EC"/>
    <w:rsid w:val="00DF1806"/>
    <w:rsid w:val="00DF1C2D"/>
    <w:rsid w:val="00DF1F17"/>
    <w:rsid w:val="00DF1F85"/>
    <w:rsid w:val="00DF20CE"/>
    <w:rsid w:val="00DF20EA"/>
    <w:rsid w:val="00DF2425"/>
    <w:rsid w:val="00DF2974"/>
    <w:rsid w:val="00DF297F"/>
    <w:rsid w:val="00DF3422"/>
    <w:rsid w:val="00DF3E3B"/>
    <w:rsid w:val="00DF45FF"/>
    <w:rsid w:val="00DF4AC7"/>
    <w:rsid w:val="00DF4CEB"/>
    <w:rsid w:val="00DF52F8"/>
    <w:rsid w:val="00DF7217"/>
    <w:rsid w:val="00DF73CF"/>
    <w:rsid w:val="00DF79A3"/>
    <w:rsid w:val="00DF7C8C"/>
    <w:rsid w:val="00E00282"/>
    <w:rsid w:val="00E0043E"/>
    <w:rsid w:val="00E00A75"/>
    <w:rsid w:val="00E00C22"/>
    <w:rsid w:val="00E0156F"/>
    <w:rsid w:val="00E019C8"/>
    <w:rsid w:val="00E01C97"/>
    <w:rsid w:val="00E01CF0"/>
    <w:rsid w:val="00E027C2"/>
    <w:rsid w:val="00E02F4E"/>
    <w:rsid w:val="00E031F0"/>
    <w:rsid w:val="00E0320F"/>
    <w:rsid w:val="00E04064"/>
    <w:rsid w:val="00E045EF"/>
    <w:rsid w:val="00E04E2B"/>
    <w:rsid w:val="00E0514D"/>
    <w:rsid w:val="00E052C4"/>
    <w:rsid w:val="00E05CBA"/>
    <w:rsid w:val="00E06166"/>
    <w:rsid w:val="00E0621A"/>
    <w:rsid w:val="00E06387"/>
    <w:rsid w:val="00E06561"/>
    <w:rsid w:val="00E06583"/>
    <w:rsid w:val="00E06C17"/>
    <w:rsid w:val="00E07228"/>
    <w:rsid w:val="00E0766D"/>
    <w:rsid w:val="00E10090"/>
    <w:rsid w:val="00E102DD"/>
    <w:rsid w:val="00E10331"/>
    <w:rsid w:val="00E10935"/>
    <w:rsid w:val="00E10B43"/>
    <w:rsid w:val="00E10C1D"/>
    <w:rsid w:val="00E10D76"/>
    <w:rsid w:val="00E11A6C"/>
    <w:rsid w:val="00E11AE0"/>
    <w:rsid w:val="00E12585"/>
    <w:rsid w:val="00E12613"/>
    <w:rsid w:val="00E126E5"/>
    <w:rsid w:val="00E13C3D"/>
    <w:rsid w:val="00E13CC6"/>
    <w:rsid w:val="00E1421F"/>
    <w:rsid w:val="00E1436D"/>
    <w:rsid w:val="00E14415"/>
    <w:rsid w:val="00E1449F"/>
    <w:rsid w:val="00E14A2C"/>
    <w:rsid w:val="00E14C3C"/>
    <w:rsid w:val="00E15157"/>
    <w:rsid w:val="00E15484"/>
    <w:rsid w:val="00E15680"/>
    <w:rsid w:val="00E15BCB"/>
    <w:rsid w:val="00E1644C"/>
    <w:rsid w:val="00E16730"/>
    <w:rsid w:val="00E16852"/>
    <w:rsid w:val="00E168FA"/>
    <w:rsid w:val="00E16DB7"/>
    <w:rsid w:val="00E177F1"/>
    <w:rsid w:val="00E17D33"/>
    <w:rsid w:val="00E202FC"/>
    <w:rsid w:val="00E203ED"/>
    <w:rsid w:val="00E20A78"/>
    <w:rsid w:val="00E20CD7"/>
    <w:rsid w:val="00E20D09"/>
    <w:rsid w:val="00E2106E"/>
    <w:rsid w:val="00E21495"/>
    <w:rsid w:val="00E21AD7"/>
    <w:rsid w:val="00E22183"/>
    <w:rsid w:val="00E22D0F"/>
    <w:rsid w:val="00E23557"/>
    <w:rsid w:val="00E23D4C"/>
    <w:rsid w:val="00E23E7D"/>
    <w:rsid w:val="00E24B81"/>
    <w:rsid w:val="00E24C2A"/>
    <w:rsid w:val="00E24F41"/>
    <w:rsid w:val="00E24FFE"/>
    <w:rsid w:val="00E251C3"/>
    <w:rsid w:val="00E252E5"/>
    <w:rsid w:val="00E25EB1"/>
    <w:rsid w:val="00E2604C"/>
    <w:rsid w:val="00E260B0"/>
    <w:rsid w:val="00E26382"/>
    <w:rsid w:val="00E264C0"/>
    <w:rsid w:val="00E264F9"/>
    <w:rsid w:val="00E267AA"/>
    <w:rsid w:val="00E26870"/>
    <w:rsid w:val="00E273E5"/>
    <w:rsid w:val="00E278E8"/>
    <w:rsid w:val="00E27FB8"/>
    <w:rsid w:val="00E30064"/>
    <w:rsid w:val="00E301E4"/>
    <w:rsid w:val="00E3078A"/>
    <w:rsid w:val="00E31099"/>
    <w:rsid w:val="00E31801"/>
    <w:rsid w:val="00E319E0"/>
    <w:rsid w:val="00E32209"/>
    <w:rsid w:val="00E3275C"/>
    <w:rsid w:val="00E327B1"/>
    <w:rsid w:val="00E327B9"/>
    <w:rsid w:val="00E32A5A"/>
    <w:rsid w:val="00E32A5E"/>
    <w:rsid w:val="00E32E66"/>
    <w:rsid w:val="00E3307A"/>
    <w:rsid w:val="00E331E4"/>
    <w:rsid w:val="00E3328F"/>
    <w:rsid w:val="00E336AB"/>
    <w:rsid w:val="00E33C15"/>
    <w:rsid w:val="00E3413D"/>
    <w:rsid w:val="00E34633"/>
    <w:rsid w:val="00E3470A"/>
    <w:rsid w:val="00E34C64"/>
    <w:rsid w:val="00E34CED"/>
    <w:rsid w:val="00E35CBE"/>
    <w:rsid w:val="00E35DC5"/>
    <w:rsid w:val="00E36239"/>
    <w:rsid w:val="00E36C10"/>
    <w:rsid w:val="00E36EB8"/>
    <w:rsid w:val="00E374E2"/>
    <w:rsid w:val="00E37695"/>
    <w:rsid w:val="00E37830"/>
    <w:rsid w:val="00E37F55"/>
    <w:rsid w:val="00E40453"/>
    <w:rsid w:val="00E4059C"/>
    <w:rsid w:val="00E405F0"/>
    <w:rsid w:val="00E40680"/>
    <w:rsid w:val="00E40C1A"/>
    <w:rsid w:val="00E40DE8"/>
    <w:rsid w:val="00E41014"/>
    <w:rsid w:val="00E41601"/>
    <w:rsid w:val="00E421F2"/>
    <w:rsid w:val="00E428CB"/>
    <w:rsid w:val="00E4423D"/>
    <w:rsid w:val="00E44378"/>
    <w:rsid w:val="00E449C3"/>
    <w:rsid w:val="00E45020"/>
    <w:rsid w:val="00E450D8"/>
    <w:rsid w:val="00E4528A"/>
    <w:rsid w:val="00E45835"/>
    <w:rsid w:val="00E4591D"/>
    <w:rsid w:val="00E45C08"/>
    <w:rsid w:val="00E464DF"/>
    <w:rsid w:val="00E46502"/>
    <w:rsid w:val="00E46F6A"/>
    <w:rsid w:val="00E471E6"/>
    <w:rsid w:val="00E473AE"/>
    <w:rsid w:val="00E476E0"/>
    <w:rsid w:val="00E47DDE"/>
    <w:rsid w:val="00E50124"/>
    <w:rsid w:val="00E5134D"/>
    <w:rsid w:val="00E519D8"/>
    <w:rsid w:val="00E51DD3"/>
    <w:rsid w:val="00E5209E"/>
    <w:rsid w:val="00E5241D"/>
    <w:rsid w:val="00E5271E"/>
    <w:rsid w:val="00E52BC4"/>
    <w:rsid w:val="00E53315"/>
    <w:rsid w:val="00E5334A"/>
    <w:rsid w:val="00E53532"/>
    <w:rsid w:val="00E536C6"/>
    <w:rsid w:val="00E53B8E"/>
    <w:rsid w:val="00E53BBA"/>
    <w:rsid w:val="00E542AA"/>
    <w:rsid w:val="00E543EE"/>
    <w:rsid w:val="00E548D1"/>
    <w:rsid w:val="00E54D9C"/>
    <w:rsid w:val="00E54DFF"/>
    <w:rsid w:val="00E54E59"/>
    <w:rsid w:val="00E55B02"/>
    <w:rsid w:val="00E55D1D"/>
    <w:rsid w:val="00E55EA3"/>
    <w:rsid w:val="00E55FAC"/>
    <w:rsid w:val="00E56130"/>
    <w:rsid w:val="00E563F0"/>
    <w:rsid w:val="00E56574"/>
    <w:rsid w:val="00E565B4"/>
    <w:rsid w:val="00E56D19"/>
    <w:rsid w:val="00E57012"/>
    <w:rsid w:val="00E5737A"/>
    <w:rsid w:val="00E57481"/>
    <w:rsid w:val="00E57704"/>
    <w:rsid w:val="00E5776E"/>
    <w:rsid w:val="00E57954"/>
    <w:rsid w:val="00E57AA2"/>
    <w:rsid w:val="00E57C07"/>
    <w:rsid w:val="00E57D82"/>
    <w:rsid w:val="00E57EE7"/>
    <w:rsid w:val="00E604CA"/>
    <w:rsid w:val="00E60D04"/>
    <w:rsid w:val="00E612CC"/>
    <w:rsid w:val="00E617FF"/>
    <w:rsid w:val="00E62268"/>
    <w:rsid w:val="00E6294C"/>
    <w:rsid w:val="00E62B0B"/>
    <w:rsid w:val="00E63504"/>
    <w:rsid w:val="00E635B9"/>
    <w:rsid w:val="00E638BA"/>
    <w:rsid w:val="00E6426E"/>
    <w:rsid w:val="00E64509"/>
    <w:rsid w:val="00E646E7"/>
    <w:rsid w:val="00E649FC"/>
    <w:rsid w:val="00E64AAF"/>
    <w:rsid w:val="00E64B6D"/>
    <w:rsid w:val="00E64EDF"/>
    <w:rsid w:val="00E65903"/>
    <w:rsid w:val="00E65958"/>
    <w:rsid w:val="00E65DDD"/>
    <w:rsid w:val="00E65EFB"/>
    <w:rsid w:val="00E6668F"/>
    <w:rsid w:val="00E666DD"/>
    <w:rsid w:val="00E66856"/>
    <w:rsid w:val="00E66B4A"/>
    <w:rsid w:val="00E670C5"/>
    <w:rsid w:val="00E671F0"/>
    <w:rsid w:val="00E67B43"/>
    <w:rsid w:val="00E70402"/>
    <w:rsid w:val="00E707EA"/>
    <w:rsid w:val="00E7123B"/>
    <w:rsid w:val="00E712EA"/>
    <w:rsid w:val="00E71813"/>
    <w:rsid w:val="00E71D96"/>
    <w:rsid w:val="00E722A5"/>
    <w:rsid w:val="00E72478"/>
    <w:rsid w:val="00E726BE"/>
    <w:rsid w:val="00E7292C"/>
    <w:rsid w:val="00E72DBA"/>
    <w:rsid w:val="00E73482"/>
    <w:rsid w:val="00E73537"/>
    <w:rsid w:val="00E740DA"/>
    <w:rsid w:val="00E7455D"/>
    <w:rsid w:val="00E745C0"/>
    <w:rsid w:val="00E747EA"/>
    <w:rsid w:val="00E747EE"/>
    <w:rsid w:val="00E74802"/>
    <w:rsid w:val="00E74B06"/>
    <w:rsid w:val="00E74D9F"/>
    <w:rsid w:val="00E74FA2"/>
    <w:rsid w:val="00E74FCB"/>
    <w:rsid w:val="00E75AAC"/>
    <w:rsid w:val="00E75D1F"/>
    <w:rsid w:val="00E76345"/>
    <w:rsid w:val="00E76625"/>
    <w:rsid w:val="00E76C41"/>
    <w:rsid w:val="00E76F7A"/>
    <w:rsid w:val="00E775FB"/>
    <w:rsid w:val="00E77687"/>
    <w:rsid w:val="00E776F4"/>
    <w:rsid w:val="00E77DAA"/>
    <w:rsid w:val="00E80094"/>
    <w:rsid w:val="00E804A3"/>
    <w:rsid w:val="00E80681"/>
    <w:rsid w:val="00E8086C"/>
    <w:rsid w:val="00E80B98"/>
    <w:rsid w:val="00E813F4"/>
    <w:rsid w:val="00E819A8"/>
    <w:rsid w:val="00E819BE"/>
    <w:rsid w:val="00E81A7F"/>
    <w:rsid w:val="00E81E34"/>
    <w:rsid w:val="00E826D1"/>
    <w:rsid w:val="00E82815"/>
    <w:rsid w:val="00E828CB"/>
    <w:rsid w:val="00E83A5E"/>
    <w:rsid w:val="00E83AFD"/>
    <w:rsid w:val="00E844C3"/>
    <w:rsid w:val="00E845F8"/>
    <w:rsid w:val="00E846DB"/>
    <w:rsid w:val="00E85157"/>
    <w:rsid w:val="00E8521F"/>
    <w:rsid w:val="00E863AA"/>
    <w:rsid w:val="00E86555"/>
    <w:rsid w:val="00E86608"/>
    <w:rsid w:val="00E8695C"/>
    <w:rsid w:val="00E86FEA"/>
    <w:rsid w:val="00E87559"/>
    <w:rsid w:val="00E87A01"/>
    <w:rsid w:val="00E87DDD"/>
    <w:rsid w:val="00E9006C"/>
    <w:rsid w:val="00E9023B"/>
    <w:rsid w:val="00E9047A"/>
    <w:rsid w:val="00E90609"/>
    <w:rsid w:val="00E90B5E"/>
    <w:rsid w:val="00E90C89"/>
    <w:rsid w:val="00E913B3"/>
    <w:rsid w:val="00E918B7"/>
    <w:rsid w:val="00E92565"/>
    <w:rsid w:val="00E925EA"/>
    <w:rsid w:val="00E9260C"/>
    <w:rsid w:val="00E9266C"/>
    <w:rsid w:val="00E926CD"/>
    <w:rsid w:val="00E932D1"/>
    <w:rsid w:val="00E93C7E"/>
    <w:rsid w:val="00E93EB9"/>
    <w:rsid w:val="00E94084"/>
    <w:rsid w:val="00E94113"/>
    <w:rsid w:val="00E948BF"/>
    <w:rsid w:val="00E94DAA"/>
    <w:rsid w:val="00E9526E"/>
    <w:rsid w:val="00E96468"/>
    <w:rsid w:val="00E96AEB"/>
    <w:rsid w:val="00E96F68"/>
    <w:rsid w:val="00E970D7"/>
    <w:rsid w:val="00E972EE"/>
    <w:rsid w:val="00E97779"/>
    <w:rsid w:val="00E978CC"/>
    <w:rsid w:val="00E97B84"/>
    <w:rsid w:val="00E97F38"/>
    <w:rsid w:val="00EA0289"/>
    <w:rsid w:val="00EA08EC"/>
    <w:rsid w:val="00EA0FCE"/>
    <w:rsid w:val="00EA18A8"/>
    <w:rsid w:val="00EA1FE5"/>
    <w:rsid w:val="00EA2142"/>
    <w:rsid w:val="00EA2D29"/>
    <w:rsid w:val="00EA3749"/>
    <w:rsid w:val="00EA3CF5"/>
    <w:rsid w:val="00EA3D21"/>
    <w:rsid w:val="00EA48C9"/>
    <w:rsid w:val="00EA4BB6"/>
    <w:rsid w:val="00EA538B"/>
    <w:rsid w:val="00EA59B0"/>
    <w:rsid w:val="00EA6094"/>
    <w:rsid w:val="00EA6224"/>
    <w:rsid w:val="00EA69A5"/>
    <w:rsid w:val="00EA6D93"/>
    <w:rsid w:val="00EA70F7"/>
    <w:rsid w:val="00EA7446"/>
    <w:rsid w:val="00EB004D"/>
    <w:rsid w:val="00EB0146"/>
    <w:rsid w:val="00EB02C1"/>
    <w:rsid w:val="00EB0322"/>
    <w:rsid w:val="00EB05F5"/>
    <w:rsid w:val="00EB0ACA"/>
    <w:rsid w:val="00EB126D"/>
    <w:rsid w:val="00EB153B"/>
    <w:rsid w:val="00EB159C"/>
    <w:rsid w:val="00EB17F3"/>
    <w:rsid w:val="00EB1BE8"/>
    <w:rsid w:val="00EB292B"/>
    <w:rsid w:val="00EB2D5C"/>
    <w:rsid w:val="00EB3802"/>
    <w:rsid w:val="00EB3EAF"/>
    <w:rsid w:val="00EB4010"/>
    <w:rsid w:val="00EB46FA"/>
    <w:rsid w:val="00EB48F6"/>
    <w:rsid w:val="00EB4BEB"/>
    <w:rsid w:val="00EB4D75"/>
    <w:rsid w:val="00EB5287"/>
    <w:rsid w:val="00EB6405"/>
    <w:rsid w:val="00EB6587"/>
    <w:rsid w:val="00EB66AC"/>
    <w:rsid w:val="00EB69B4"/>
    <w:rsid w:val="00EB6A0D"/>
    <w:rsid w:val="00EB7059"/>
    <w:rsid w:val="00EB75D2"/>
    <w:rsid w:val="00EB7932"/>
    <w:rsid w:val="00EB7E38"/>
    <w:rsid w:val="00EC0214"/>
    <w:rsid w:val="00EC05BA"/>
    <w:rsid w:val="00EC0B35"/>
    <w:rsid w:val="00EC0BAA"/>
    <w:rsid w:val="00EC0D64"/>
    <w:rsid w:val="00EC104C"/>
    <w:rsid w:val="00EC178C"/>
    <w:rsid w:val="00EC17E3"/>
    <w:rsid w:val="00EC1A16"/>
    <w:rsid w:val="00EC1D75"/>
    <w:rsid w:val="00EC20DA"/>
    <w:rsid w:val="00EC2127"/>
    <w:rsid w:val="00EC238B"/>
    <w:rsid w:val="00EC3117"/>
    <w:rsid w:val="00EC3329"/>
    <w:rsid w:val="00EC3C44"/>
    <w:rsid w:val="00EC478C"/>
    <w:rsid w:val="00EC517B"/>
    <w:rsid w:val="00EC5B0D"/>
    <w:rsid w:val="00EC5BB4"/>
    <w:rsid w:val="00EC6364"/>
    <w:rsid w:val="00EC7114"/>
    <w:rsid w:val="00EC7D15"/>
    <w:rsid w:val="00EC7DAA"/>
    <w:rsid w:val="00EC7DB0"/>
    <w:rsid w:val="00EC7EDB"/>
    <w:rsid w:val="00ED024A"/>
    <w:rsid w:val="00ED12B0"/>
    <w:rsid w:val="00ED18E9"/>
    <w:rsid w:val="00ED1D36"/>
    <w:rsid w:val="00ED1F83"/>
    <w:rsid w:val="00ED213F"/>
    <w:rsid w:val="00ED2540"/>
    <w:rsid w:val="00ED2B9A"/>
    <w:rsid w:val="00ED2DB8"/>
    <w:rsid w:val="00ED379B"/>
    <w:rsid w:val="00ED3A92"/>
    <w:rsid w:val="00ED4060"/>
    <w:rsid w:val="00ED45E3"/>
    <w:rsid w:val="00ED4783"/>
    <w:rsid w:val="00ED49B3"/>
    <w:rsid w:val="00ED51DE"/>
    <w:rsid w:val="00ED52CD"/>
    <w:rsid w:val="00ED539C"/>
    <w:rsid w:val="00ED53CB"/>
    <w:rsid w:val="00ED5447"/>
    <w:rsid w:val="00ED54B4"/>
    <w:rsid w:val="00ED5993"/>
    <w:rsid w:val="00ED5A24"/>
    <w:rsid w:val="00ED5AC4"/>
    <w:rsid w:val="00ED601F"/>
    <w:rsid w:val="00ED6222"/>
    <w:rsid w:val="00ED689C"/>
    <w:rsid w:val="00ED6D5F"/>
    <w:rsid w:val="00ED6F3C"/>
    <w:rsid w:val="00ED74B3"/>
    <w:rsid w:val="00ED74C3"/>
    <w:rsid w:val="00ED79B4"/>
    <w:rsid w:val="00ED7E44"/>
    <w:rsid w:val="00EE0456"/>
    <w:rsid w:val="00EE08CA"/>
    <w:rsid w:val="00EE0A57"/>
    <w:rsid w:val="00EE0C9C"/>
    <w:rsid w:val="00EE1B4A"/>
    <w:rsid w:val="00EE1C17"/>
    <w:rsid w:val="00EE1D56"/>
    <w:rsid w:val="00EE1F84"/>
    <w:rsid w:val="00EE20B1"/>
    <w:rsid w:val="00EE235A"/>
    <w:rsid w:val="00EE294E"/>
    <w:rsid w:val="00EE35B8"/>
    <w:rsid w:val="00EE3632"/>
    <w:rsid w:val="00EE394D"/>
    <w:rsid w:val="00EE3EC0"/>
    <w:rsid w:val="00EE427C"/>
    <w:rsid w:val="00EE4392"/>
    <w:rsid w:val="00EE43C1"/>
    <w:rsid w:val="00EE4B3F"/>
    <w:rsid w:val="00EE4DCC"/>
    <w:rsid w:val="00EE5425"/>
    <w:rsid w:val="00EE559E"/>
    <w:rsid w:val="00EE5BB3"/>
    <w:rsid w:val="00EE620B"/>
    <w:rsid w:val="00EE6D82"/>
    <w:rsid w:val="00EE715D"/>
    <w:rsid w:val="00EE7273"/>
    <w:rsid w:val="00EE74FC"/>
    <w:rsid w:val="00EE7916"/>
    <w:rsid w:val="00EE793A"/>
    <w:rsid w:val="00EE7A69"/>
    <w:rsid w:val="00EE7C99"/>
    <w:rsid w:val="00EF0A64"/>
    <w:rsid w:val="00EF132F"/>
    <w:rsid w:val="00EF1392"/>
    <w:rsid w:val="00EF150A"/>
    <w:rsid w:val="00EF18AD"/>
    <w:rsid w:val="00EF19D9"/>
    <w:rsid w:val="00EF2467"/>
    <w:rsid w:val="00EF4844"/>
    <w:rsid w:val="00EF4853"/>
    <w:rsid w:val="00EF4A5A"/>
    <w:rsid w:val="00EF4E5E"/>
    <w:rsid w:val="00EF5112"/>
    <w:rsid w:val="00EF5132"/>
    <w:rsid w:val="00EF5667"/>
    <w:rsid w:val="00EF5D5A"/>
    <w:rsid w:val="00EF5D5C"/>
    <w:rsid w:val="00EF63BB"/>
    <w:rsid w:val="00EF6662"/>
    <w:rsid w:val="00EF6786"/>
    <w:rsid w:val="00EF6D04"/>
    <w:rsid w:val="00EF6D93"/>
    <w:rsid w:val="00EF6EEB"/>
    <w:rsid w:val="00EF760F"/>
    <w:rsid w:val="00EF7671"/>
    <w:rsid w:val="00EF77F0"/>
    <w:rsid w:val="00EF7E34"/>
    <w:rsid w:val="00F00002"/>
    <w:rsid w:val="00F001EC"/>
    <w:rsid w:val="00F003C1"/>
    <w:rsid w:val="00F00918"/>
    <w:rsid w:val="00F009C1"/>
    <w:rsid w:val="00F00EA8"/>
    <w:rsid w:val="00F01186"/>
    <w:rsid w:val="00F011DB"/>
    <w:rsid w:val="00F01A4D"/>
    <w:rsid w:val="00F01EB1"/>
    <w:rsid w:val="00F021AC"/>
    <w:rsid w:val="00F0223F"/>
    <w:rsid w:val="00F029BC"/>
    <w:rsid w:val="00F02BBD"/>
    <w:rsid w:val="00F02C66"/>
    <w:rsid w:val="00F02F44"/>
    <w:rsid w:val="00F0307D"/>
    <w:rsid w:val="00F031F5"/>
    <w:rsid w:val="00F033C6"/>
    <w:rsid w:val="00F036A3"/>
    <w:rsid w:val="00F0373C"/>
    <w:rsid w:val="00F03B42"/>
    <w:rsid w:val="00F04921"/>
    <w:rsid w:val="00F04E78"/>
    <w:rsid w:val="00F04FEF"/>
    <w:rsid w:val="00F05361"/>
    <w:rsid w:val="00F05D9F"/>
    <w:rsid w:val="00F0636F"/>
    <w:rsid w:val="00F06854"/>
    <w:rsid w:val="00F07604"/>
    <w:rsid w:val="00F07613"/>
    <w:rsid w:val="00F0767F"/>
    <w:rsid w:val="00F077B6"/>
    <w:rsid w:val="00F0785A"/>
    <w:rsid w:val="00F078EC"/>
    <w:rsid w:val="00F07B9B"/>
    <w:rsid w:val="00F07C18"/>
    <w:rsid w:val="00F11356"/>
    <w:rsid w:val="00F116D0"/>
    <w:rsid w:val="00F11778"/>
    <w:rsid w:val="00F121D1"/>
    <w:rsid w:val="00F12629"/>
    <w:rsid w:val="00F12B69"/>
    <w:rsid w:val="00F1308B"/>
    <w:rsid w:val="00F134C6"/>
    <w:rsid w:val="00F1354C"/>
    <w:rsid w:val="00F143DE"/>
    <w:rsid w:val="00F1440B"/>
    <w:rsid w:val="00F14777"/>
    <w:rsid w:val="00F147E6"/>
    <w:rsid w:val="00F14FD5"/>
    <w:rsid w:val="00F152D3"/>
    <w:rsid w:val="00F15440"/>
    <w:rsid w:val="00F15E67"/>
    <w:rsid w:val="00F15EFD"/>
    <w:rsid w:val="00F15EFE"/>
    <w:rsid w:val="00F164DE"/>
    <w:rsid w:val="00F16634"/>
    <w:rsid w:val="00F1663E"/>
    <w:rsid w:val="00F167B3"/>
    <w:rsid w:val="00F16853"/>
    <w:rsid w:val="00F171F9"/>
    <w:rsid w:val="00F1730F"/>
    <w:rsid w:val="00F178D2"/>
    <w:rsid w:val="00F17A79"/>
    <w:rsid w:val="00F17C66"/>
    <w:rsid w:val="00F202DD"/>
    <w:rsid w:val="00F209F8"/>
    <w:rsid w:val="00F20C34"/>
    <w:rsid w:val="00F2147E"/>
    <w:rsid w:val="00F21609"/>
    <w:rsid w:val="00F21A45"/>
    <w:rsid w:val="00F21B53"/>
    <w:rsid w:val="00F21EB0"/>
    <w:rsid w:val="00F2201B"/>
    <w:rsid w:val="00F22343"/>
    <w:rsid w:val="00F22404"/>
    <w:rsid w:val="00F226B6"/>
    <w:rsid w:val="00F22D6E"/>
    <w:rsid w:val="00F236D5"/>
    <w:rsid w:val="00F238EF"/>
    <w:rsid w:val="00F23EBE"/>
    <w:rsid w:val="00F248C7"/>
    <w:rsid w:val="00F24B8E"/>
    <w:rsid w:val="00F24D6A"/>
    <w:rsid w:val="00F24FFD"/>
    <w:rsid w:val="00F2574A"/>
    <w:rsid w:val="00F25763"/>
    <w:rsid w:val="00F2594A"/>
    <w:rsid w:val="00F25CA3"/>
    <w:rsid w:val="00F25F64"/>
    <w:rsid w:val="00F25FC7"/>
    <w:rsid w:val="00F2630A"/>
    <w:rsid w:val="00F263AD"/>
    <w:rsid w:val="00F264B8"/>
    <w:rsid w:val="00F26A5A"/>
    <w:rsid w:val="00F26D06"/>
    <w:rsid w:val="00F26D38"/>
    <w:rsid w:val="00F26E72"/>
    <w:rsid w:val="00F27536"/>
    <w:rsid w:val="00F27880"/>
    <w:rsid w:val="00F27B76"/>
    <w:rsid w:val="00F3040E"/>
    <w:rsid w:val="00F304A8"/>
    <w:rsid w:val="00F309CA"/>
    <w:rsid w:val="00F30B91"/>
    <w:rsid w:val="00F30F5D"/>
    <w:rsid w:val="00F31206"/>
    <w:rsid w:val="00F31532"/>
    <w:rsid w:val="00F3173A"/>
    <w:rsid w:val="00F31861"/>
    <w:rsid w:val="00F32088"/>
    <w:rsid w:val="00F32913"/>
    <w:rsid w:val="00F32A66"/>
    <w:rsid w:val="00F3324D"/>
    <w:rsid w:val="00F33C64"/>
    <w:rsid w:val="00F34210"/>
    <w:rsid w:val="00F34F66"/>
    <w:rsid w:val="00F350C6"/>
    <w:rsid w:val="00F351F7"/>
    <w:rsid w:val="00F3525E"/>
    <w:rsid w:val="00F35885"/>
    <w:rsid w:val="00F35CC0"/>
    <w:rsid w:val="00F36019"/>
    <w:rsid w:val="00F36605"/>
    <w:rsid w:val="00F366FB"/>
    <w:rsid w:val="00F36C9F"/>
    <w:rsid w:val="00F3732D"/>
    <w:rsid w:val="00F375F4"/>
    <w:rsid w:val="00F378A6"/>
    <w:rsid w:val="00F3796D"/>
    <w:rsid w:val="00F37B52"/>
    <w:rsid w:val="00F40202"/>
    <w:rsid w:val="00F40BE9"/>
    <w:rsid w:val="00F40ED3"/>
    <w:rsid w:val="00F411C1"/>
    <w:rsid w:val="00F4123C"/>
    <w:rsid w:val="00F4131E"/>
    <w:rsid w:val="00F4135A"/>
    <w:rsid w:val="00F42164"/>
    <w:rsid w:val="00F42AC0"/>
    <w:rsid w:val="00F43A56"/>
    <w:rsid w:val="00F43DD0"/>
    <w:rsid w:val="00F44203"/>
    <w:rsid w:val="00F445FF"/>
    <w:rsid w:val="00F4463B"/>
    <w:rsid w:val="00F44AF1"/>
    <w:rsid w:val="00F451D4"/>
    <w:rsid w:val="00F4541A"/>
    <w:rsid w:val="00F45AE2"/>
    <w:rsid w:val="00F45BD4"/>
    <w:rsid w:val="00F45EDF"/>
    <w:rsid w:val="00F46184"/>
    <w:rsid w:val="00F4625D"/>
    <w:rsid w:val="00F4638F"/>
    <w:rsid w:val="00F466B3"/>
    <w:rsid w:val="00F467AF"/>
    <w:rsid w:val="00F468E9"/>
    <w:rsid w:val="00F470D0"/>
    <w:rsid w:val="00F473D8"/>
    <w:rsid w:val="00F47643"/>
    <w:rsid w:val="00F47788"/>
    <w:rsid w:val="00F47849"/>
    <w:rsid w:val="00F478EB"/>
    <w:rsid w:val="00F47DD5"/>
    <w:rsid w:val="00F50BA3"/>
    <w:rsid w:val="00F51106"/>
    <w:rsid w:val="00F514E3"/>
    <w:rsid w:val="00F51A14"/>
    <w:rsid w:val="00F521AA"/>
    <w:rsid w:val="00F52501"/>
    <w:rsid w:val="00F52838"/>
    <w:rsid w:val="00F531C9"/>
    <w:rsid w:val="00F53406"/>
    <w:rsid w:val="00F53B78"/>
    <w:rsid w:val="00F53BB4"/>
    <w:rsid w:val="00F54251"/>
    <w:rsid w:val="00F5455E"/>
    <w:rsid w:val="00F547A4"/>
    <w:rsid w:val="00F54897"/>
    <w:rsid w:val="00F548B6"/>
    <w:rsid w:val="00F54D38"/>
    <w:rsid w:val="00F55082"/>
    <w:rsid w:val="00F553BF"/>
    <w:rsid w:val="00F558E6"/>
    <w:rsid w:val="00F55EAA"/>
    <w:rsid w:val="00F5629A"/>
    <w:rsid w:val="00F562A2"/>
    <w:rsid w:val="00F56A10"/>
    <w:rsid w:val="00F57054"/>
    <w:rsid w:val="00F571DB"/>
    <w:rsid w:val="00F572FE"/>
    <w:rsid w:val="00F5769E"/>
    <w:rsid w:val="00F5774F"/>
    <w:rsid w:val="00F579D5"/>
    <w:rsid w:val="00F57E50"/>
    <w:rsid w:val="00F57F20"/>
    <w:rsid w:val="00F60617"/>
    <w:rsid w:val="00F60639"/>
    <w:rsid w:val="00F60C47"/>
    <w:rsid w:val="00F60F0A"/>
    <w:rsid w:val="00F6140D"/>
    <w:rsid w:val="00F61C2B"/>
    <w:rsid w:val="00F62348"/>
    <w:rsid w:val="00F625E6"/>
    <w:rsid w:val="00F62660"/>
    <w:rsid w:val="00F6281D"/>
    <w:rsid w:val="00F62D25"/>
    <w:rsid w:val="00F62FEE"/>
    <w:rsid w:val="00F630ED"/>
    <w:rsid w:val="00F6367D"/>
    <w:rsid w:val="00F6436A"/>
    <w:rsid w:val="00F6480B"/>
    <w:rsid w:val="00F64A00"/>
    <w:rsid w:val="00F64B26"/>
    <w:rsid w:val="00F64BC9"/>
    <w:rsid w:val="00F651FB"/>
    <w:rsid w:val="00F655F5"/>
    <w:rsid w:val="00F65886"/>
    <w:rsid w:val="00F65A67"/>
    <w:rsid w:val="00F65BDC"/>
    <w:rsid w:val="00F66042"/>
    <w:rsid w:val="00F663E4"/>
    <w:rsid w:val="00F66822"/>
    <w:rsid w:val="00F66A6E"/>
    <w:rsid w:val="00F66D44"/>
    <w:rsid w:val="00F67329"/>
    <w:rsid w:val="00F674DA"/>
    <w:rsid w:val="00F67D3F"/>
    <w:rsid w:val="00F67EE8"/>
    <w:rsid w:val="00F7002C"/>
    <w:rsid w:val="00F700D8"/>
    <w:rsid w:val="00F708F1"/>
    <w:rsid w:val="00F70FDD"/>
    <w:rsid w:val="00F71320"/>
    <w:rsid w:val="00F715E5"/>
    <w:rsid w:val="00F72109"/>
    <w:rsid w:val="00F722BE"/>
    <w:rsid w:val="00F72844"/>
    <w:rsid w:val="00F729DC"/>
    <w:rsid w:val="00F729F1"/>
    <w:rsid w:val="00F72B73"/>
    <w:rsid w:val="00F731D7"/>
    <w:rsid w:val="00F73702"/>
    <w:rsid w:val="00F73BCF"/>
    <w:rsid w:val="00F74166"/>
    <w:rsid w:val="00F752A2"/>
    <w:rsid w:val="00F75776"/>
    <w:rsid w:val="00F75AC3"/>
    <w:rsid w:val="00F75ADB"/>
    <w:rsid w:val="00F75EF5"/>
    <w:rsid w:val="00F7602D"/>
    <w:rsid w:val="00F76363"/>
    <w:rsid w:val="00F7685D"/>
    <w:rsid w:val="00F76C6C"/>
    <w:rsid w:val="00F76D4A"/>
    <w:rsid w:val="00F77119"/>
    <w:rsid w:val="00F77328"/>
    <w:rsid w:val="00F77E63"/>
    <w:rsid w:val="00F8037E"/>
    <w:rsid w:val="00F803B7"/>
    <w:rsid w:val="00F806C9"/>
    <w:rsid w:val="00F807F7"/>
    <w:rsid w:val="00F8099F"/>
    <w:rsid w:val="00F816F6"/>
    <w:rsid w:val="00F82D8A"/>
    <w:rsid w:val="00F8324B"/>
    <w:rsid w:val="00F83681"/>
    <w:rsid w:val="00F838A8"/>
    <w:rsid w:val="00F83A8A"/>
    <w:rsid w:val="00F84A5A"/>
    <w:rsid w:val="00F85A9D"/>
    <w:rsid w:val="00F85B83"/>
    <w:rsid w:val="00F860D8"/>
    <w:rsid w:val="00F86914"/>
    <w:rsid w:val="00F86B73"/>
    <w:rsid w:val="00F870BF"/>
    <w:rsid w:val="00F8754B"/>
    <w:rsid w:val="00F9012C"/>
    <w:rsid w:val="00F90377"/>
    <w:rsid w:val="00F90ADE"/>
    <w:rsid w:val="00F9176D"/>
    <w:rsid w:val="00F91D3B"/>
    <w:rsid w:val="00F91D8E"/>
    <w:rsid w:val="00F91FB6"/>
    <w:rsid w:val="00F923B9"/>
    <w:rsid w:val="00F927E3"/>
    <w:rsid w:val="00F92F2C"/>
    <w:rsid w:val="00F934BB"/>
    <w:rsid w:val="00F939B6"/>
    <w:rsid w:val="00F93EC8"/>
    <w:rsid w:val="00F9440D"/>
    <w:rsid w:val="00F94A68"/>
    <w:rsid w:val="00F94BC6"/>
    <w:rsid w:val="00F94BC8"/>
    <w:rsid w:val="00F94C99"/>
    <w:rsid w:val="00F96019"/>
    <w:rsid w:val="00F9640C"/>
    <w:rsid w:val="00F9667A"/>
    <w:rsid w:val="00F9727D"/>
    <w:rsid w:val="00F97B70"/>
    <w:rsid w:val="00F97BCC"/>
    <w:rsid w:val="00FA057A"/>
    <w:rsid w:val="00FA0665"/>
    <w:rsid w:val="00FA0A8E"/>
    <w:rsid w:val="00FA189A"/>
    <w:rsid w:val="00FA1A50"/>
    <w:rsid w:val="00FA1D9A"/>
    <w:rsid w:val="00FA1F76"/>
    <w:rsid w:val="00FA26F8"/>
    <w:rsid w:val="00FA276F"/>
    <w:rsid w:val="00FA3509"/>
    <w:rsid w:val="00FA357D"/>
    <w:rsid w:val="00FA3AE6"/>
    <w:rsid w:val="00FA3DDE"/>
    <w:rsid w:val="00FA3E60"/>
    <w:rsid w:val="00FA3EC1"/>
    <w:rsid w:val="00FA40E6"/>
    <w:rsid w:val="00FA4628"/>
    <w:rsid w:val="00FA49E0"/>
    <w:rsid w:val="00FA5819"/>
    <w:rsid w:val="00FA5C9E"/>
    <w:rsid w:val="00FA5D5F"/>
    <w:rsid w:val="00FA66C6"/>
    <w:rsid w:val="00FA6F3D"/>
    <w:rsid w:val="00FA77FB"/>
    <w:rsid w:val="00FA7D36"/>
    <w:rsid w:val="00FB016A"/>
    <w:rsid w:val="00FB055C"/>
    <w:rsid w:val="00FB0C77"/>
    <w:rsid w:val="00FB0D77"/>
    <w:rsid w:val="00FB0D91"/>
    <w:rsid w:val="00FB0E86"/>
    <w:rsid w:val="00FB0F89"/>
    <w:rsid w:val="00FB172B"/>
    <w:rsid w:val="00FB1DC9"/>
    <w:rsid w:val="00FB215F"/>
    <w:rsid w:val="00FB274B"/>
    <w:rsid w:val="00FB39F2"/>
    <w:rsid w:val="00FB3FE2"/>
    <w:rsid w:val="00FB3FEE"/>
    <w:rsid w:val="00FB4372"/>
    <w:rsid w:val="00FB568A"/>
    <w:rsid w:val="00FB5967"/>
    <w:rsid w:val="00FB5AFD"/>
    <w:rsid w:val="00FB5B5B"/>
    <w:rsid w:val="00FB5C64"/>
    <w:rsid w:val="00FB5D5B"/>
    <w:rsid w:val="00FB6CE2"/>
    <w:rsid w:val="00FB7401"/>
    <w:rsid w:val="00FB77CF"/>
    <w:rsid w:val="00FB7A8F"/>
    <w:rsid w:val="00FB7ACB"/>
    <w:rsid w:val="00FB7F03"/>
    <w:rsid w:val="00FC01EC"/>
    <w:rsid w:val="00FC051A"/>
    <w:rsid w:val="00FC0E47"/>
    <w:rsid w:val="00FC1402"/>
    <w:rsid w:val="00FC15F6"/>
    <w:rsid w:val="00FC194F"/>
    <w:rsid w:val="00FC1B18"/>
    <w:rsid w:val="00FC2295"/>
    <w:rsid w:val="00FC29D5"/>
    <w:rsid w:val="00FC2AF3"/>
    <w:rsid w:val="00FC2DCC"/>
    <w:rsid w:val="00FC35FA"/>
    <w:rsid w:val="00FC370E"/>
    <w:rsid w:val="00FC3D15"/>
    <w:rsid w:val="00FC3D4C"/>
    <w:rsid w:val="00FC40E0"/>
    <w:rsid w:val="00FC4846"/>
    <w:rsid w:val="00FC5486"/>
    <w:rsid w:val="00FC58D3"/>
    <w:rsid w:val="00FC6222"/>
    <w:rsid w:val="00FC6EC0"/>
    <w:rsid w:val="00FC7770"/>
    <w:rsid w:val="00FC77C7"/>
    <w:rsid w:val="00FC7F65"/>
    <w:rsid w:val="00FD0D3F"/>
    <w:rsid w:val="00FD0F5C"/>
    <w:rsid w:val="00FD1298"/>
    <w:rsid w:val="00FD1CCA"/>
    <w:rsid w:val="00FD277B"/>
    <w:rsid w:val="00FD2865"/>
    <w:rsid w:val="00FD2CBA"/>
    <w:rsid w:val="00FD362E"/>
    <w:rsid w:val="00FD3816"/>
    <w:rsid w:val="00FD3AEE"/>
    <w:rsid w:val="00FD4281"/>
    <w:rsid w:val="00FD510F"/>
    <w:rsid w:val="00FD56F6"/>
    <w:rsid w:val="00FD5DF2"/>
    <w:rsid w:val="00FD5E28"/>
    <w:rsid w:val="00FD5E9E"/>
    <w:rsid w:val="00FD675A"/>
    <w:rsid w:val="00FD6EA3"/>
    <w:rsid w:val="00FD7514"/>
    <w:rsid w:val="00FD77A4"/>
    <w:rsid w:val="00FE03DA"/>
    <w:rsid w:val="00FE0897"/>
    <w:rsid w:val="00FE0940"/>
    <w:rsid w:val="00FE0989"/>
    <w:rsid w:val="00FE0E36"/>
    <w:rsid w:val="00FE102E"/>
    <w:rsid w:val="00FE1A57"/>
    <w:rsid w:val="00FE1FB4"/>
    <w:rsid w:val="00FE23B0"/>
    <w:rsid w:val="00FE24A9"/>
    <w:rsid w:val="00FE28C4"/>
    <w:rsid w:val="00FE34DC"/>
    <w:rsid w:val="00FE354B"/>
    <w:rsid w:val="00FE371A"/>
    <w:rsid w:val="00FE37E9"/>
    <w:rsid w:val="00FE3D93"/>
    <w:rsid w:val="00FE4329"/>
    <w:rsid w:val="00FE44CB"/>
    <w:rsid w:val="00FE45BD"/>
    <w:rsid w:val="00FE4D06"/>
    <w:rsid w:val="00FE574B"/>
    <w:rsid w:val="00FE6632"/>
    <w:rsid w:val="00FE66ED"/>
    <w:rsid w:val="00FE68E7"/>
    <w:rsid w:val="00FE6C64"/>
    <w:rsid w:val="00FE6F3D"/>
    <w:rsid w:val="00FE76FA"/>
    <w:rsid w:val="00FE77D3"/>
    <w:rsid w:val="00FF02F7"/>
    <w:rsid w:val="00FF062D"/>
    <w:rsid w:val="00FF0D5B"/>
    <w:rsid w:val="00FF1329"/>
    <w:rsid w:val="00FF1643"/>
    <w:rsid w:val="00FF1B15"/>
    <w:rsid w:val="00FF1CE1"/>
    <w:rsid w:val="00FF1E0B"/>
    <w:rsid w:val="00FF2021"/>
    <w:rsid w:val="00FF24A7"/>
    <w:rsid w:val="00FF2948"/>
    <w:rsid w:val="00FF2A25"/>
    <w:rsid w:val="00FF2A98"/>
    <w:rsid w:val="00FF2C48"/>
    <w:rsid w:val="00FF2F44"/>
    <w:rsid w:val="00FF314A"/>
    <w:rsid w:val="00FF34CD"/>
    <w:rsid w:val="00FF352D"/>
    <w:rsid w:val="00FF360F"/>
    <w:rsid w:val="00FF3965"/>
    <w:rsid w:val="00FF396F"/>
    <w:rsid w:val="00FF3AA1"/>
    <w:rsid w:val="00FF4397"/>
    <w:rsid w:val="00FF463E"/>
    <w:rsid w:val="00FF4BAF"/>
    <w:rsid w:val="00FF4ED3"/>
    <w:rsid w:val="00FF50D5"/>
    <w:rsid w:val="00FF537D"/>
    <w:rsid w:val="00FF6118"/>
    <w:rsid w:val="00FF64E9"/>
    <w:rsid w:val="00FF6D0A"/>
    <w:rsid w:val="00FF6E50"/>
    <w:rsid w:val="00FF6E89"/>
    <w:rsid w:val="00FF7965"/>
    <w:rsid w:val="00FF799E"/>
    <w:rsid w:val="00FF7AC5"/>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CE017"/>
  <w15:docId w15:val="{958419AC-E1D3-4081-855A-93506C9C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Footnote1,Footnote2,Footnote3,stile 1,Footnote4,Footnote5,Footnote6,Footnote7,Footnote8,Footnote9,Footnote10,Footnote11,Footnote21,Footnote31,Footnote41,Footnote51,Footnote61,Footnote71,Footnote81,Footnote91,single spa"/>
    <w:basedOn w:val="Normal"/>
    <w:link w:val="FootnoteTextChar"/>
    <w:uiPriority w:val="99"/>
    <w:qFormat/>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qFormat/>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Header Char2,Header Char1 Char1,Header Char Char1"/>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Footnote1 Char,Footnote2 Char,Footnote3 Char,stile 1 Char,Footnote4 Char,Footnote5 Char,Footnote6 Char,Footnote7 Char,Footnote8 Char,Footnote9 Char,Footnote10 Char,Footnote11 Char,Footnote21 Char"/>
    <w:link w:val="FootnoteText"/>
    <w:uiPriority w:val="99"/>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locked/>
    <w:rsid w:val="00207C9E"/>
    <w:rPr>
      <w:rFonts w:ascii="Arial" w:hAnsi="Arial"/>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146098401">
      <w:bodyDiv w:val="1"/>
      <w:marLeft w:val="0"/>
      <w:marRight w:val="0"/>
      <w:marTop w:val="0"/>
      <w:marBottom w:val="0"/>
      <w:divBdr>
        <w:top w:val="none" w:sz="0" w:space="0" w:color="auto"/>
        <w:left w:val="none" w:sz="0" w:space="0" w:color="auto"/>
        <w:bottom w:val="none" w:sz="0" w:space="0" w:color="auto"/>
        <w:right w:val="none" w:sz="0" w:space="0" w:color="auto"/>
      </w:divBdr>
    </w:div>
    <w:div w:id="2721281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490483776">
      <w:bodyDiv w:val="1"/>
      <w:marLeft w:val="0"/>
      <w:marRight w:val="0"/>
      <w:marTop w:val="0"/>
      <w:marBottom w:val="0"/>
      <w:divBdr>
        <w:top w:val="none" w:sz="0" w:space="0" w:color="auto"/>
        <w:left w:val="none" w:sz="0" w:space="0" w:color="auto"/>
        <w:bottom w:val="none" w:sz="0" w:space="0" w:color="auto"/>
        <w:right w:val="none" w:sz="0" w:space="0" w:color="auto"/>
      </w:divBdr>
    </w:div>
    <w:div w:id="50327938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669023205">
      <w:bodyDiv w:val="1"/>
      <w:marLeft w:val="0"/>
      <w:marRight w:val="0"/>
      <w:marTop w:val="0"/>
      <w:marBottom w:val="0"/>
      <w:divBdr>
        <w:top w:val="none" w:sz="0" w:space="0" w:color="auto"/>
        <w:left w:val="none" w:sz="0" w:space="0" w:color="auto"/>
        <w:bottom w:val="none" w:sz="0" w:space="0" w:color="auto"/>
        <w:right w:val="none" w:sz="0" w:space="0" w:color="auto"/>
      </w:divBdr>
    </w:div>
    <w:div w:id="721250821">
      <w:bodyDiv w:val="1"/>
      <w:marLeft w:val="0"/>
      <w:marRight w:val="0"/>
      <w:marTop w:val="0"/>
      <w:marBottom w:val="0"/>
      <w:divBdr>
        <w:top w:val="none" w:sz="0" w:space="0" w:color="auto"/>
        <w:left w:val="none" w:sz="0" w:space="0" w:color="auto"/>
        <w:bottom w:val="none" w:sz="0" w:space="0" w:color="auto"/>
        <w:right w:val="none" w:sz="0" w:space="0" w:color="auto"/>
      </w:divBdr>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059985730">
      <w:bodyDiv w:val="1"/>
      <w:marLeft w:val="0"/>
      <w:marRight w:val="0"/>
      <w:marTop w:val="0"/>
      <w:marBottom w:val="0"/>
      <w:divBdr>
        <w:top w:val="none" w:sz="0" w:space="0" w:color="auto"/>
        <w:left w:val="none" w:sz="0" w:space="0" w:color="auto"/>
        <w:bottom w:val="none" w:sz="0" w:space="0" w:color="auto"/>
        <w:right w:val="none" w:sz="0" w:space="0" w:color="auto"/>
      </w:divBdr>
    </w:div>
    <w:div w:id="1151099104">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4973808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52327598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36472099">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05039560">
      <w:bodyDiv w:val="1"/>
      <w:marLeft w:val="0"/>
      <w:marRight w:val="0"/>
      <w:marTop w:val="0"/>
      <w:marBottom w:val="0"/>
      <w:divBdr>
        <w:top w:val="none" w:sz="0" w:space="0" w:color="auto"/>
        <w:left w:val="none" w:sz="0" w:space="0" w:color="auto"/>
        <w:bottom w:val="none" w:sz="0" w:space="0" w:color="auto"/>
        <w:right w:val="none" w:sz="0" w:space="0" w:color="auto"/>
      </w:divBdr>
    </w:div>
    <w:div w:id="2062440967">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7A43-8918-41AB-8A59-515B8789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28</Pages>
  <Words>16123</Words>
  <Characters>84287</Characters>
  <Application>Microsoft Office Word</Application>
  <DocSecurity>0</DocSecurity>
  <Lines>702</Lines>
  <Paragraphs>200</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100210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КБПА ВД</cp:lastModifiedBy>
  <cp:revision>591</cp:revision>
  <cp:lastPrinted>2024-08-07T14:45:00Z</cp:lastPrinted>
  <dcterms:created xsi:type="dcterms:W3CDTF">2023-11-07T14:06:00Z</dcterms:created>
  <dcterms:modified xsi:type="dcterms:W3CDTF">2024-08-09T08:14:00Z</dcterms:modified>
</cp:coreProperties>
</file>