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829A9" w14:textId="77777777" w:rsidR="007A2C39" w:rsidRPr="00BA3E09" w:rsidRDefault="007A2C39" w:rsidP="007A2C39">
      <w:pPr>
        <w:rPr>
          <w:color w:val="0070C0"/>
          <w:lang w:val="en-US"/>
        </w:rPr>
      </w:pPr>
    </w:p>
    <w:p w14:paraId="77530D36" w14:textId="77777777" w:rsidR="007A2C39" w:rsidRPr="00E56679" w:rsidRDefault="007A2C39" w:rsidP="007A2C39">
      <w:pPr>
        <w:rPr>
          <w:color w:val="0070C0"/>
        </w:rPr>
      </w:pPr>
    </w:p>
    <w:p w14:paraId="482EC222" w14:textId="77777777" w:rsidR="007A2C39" w:rsidRPr="00E56679" w:rsidRDefault="007A2C39" w:rsidP="007A2C39">
      <w:pPr>
        <w:rPr>
          <w:color w:val="0070C0"/>
        </w:rPr>
      </w:pPr>
    </w:p>
    <w:p w14:paraId="44DA7362" w14:textId="77777777" w:rsidR="007A2C39" w:rsidRPr="00E56679" w:rsidRDefault="007A2C39" w:rsidP="007A2C39">
      <w:pPr>
        <w:ind w:hanging="284"/>
        <w:rPr>
          <w:color w:val="0070C0"/>
        </w:rPr>
      </w:pPr>
      <w:r w:rsidRPr="00E56679">
        <w:rPr>
          <w:noProof/>
          <w:color w:val="0070C0"/>
        </w:rPr>
        <w:drawing>
          <wp:inline distT="0" distB="0" distL="0" distR="0" wp14:anchorId="35A108DB" wp14:editId="7B0A2194">
            <wp:extent cx="6523892" cy="2960077"/>
            <wp:effectExtent l="0" t="76200" r="0" b="10731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B895910" w14:textId="77777777" w:rsidR="007A2C39" w:rsidRPr="00E56679" w:rsidRDefault="007A2C39" w:rsidP="007A2C39">
      <w:pPr>
        <w:rPr>
          <w:color w:val="0070C0"/>
        </w:rPr>
      </w:pPr>
    </w:p>
    <w:p w14:paraId="2F2A61DA" w14:textId="77777777" w:rsidR="007A2C39" w:rsidRPr="00E56679" w:rsidRDefault="007A2C39" w:rsidP="007A2C39">
      <w:pPr>
        <w:rPr>
          <w:color w:val="0070C0"/>
        </w:rPr>
      </w:pPr>
    </w:p>
    <w:p w14:paraId="07F8B407" w14:textId="77777777" w:rsidR="007A2C39" w:rsidRPr="00E56679" w:rsidRDefault="007A2C39" w:rsidP="007A2C39">
      <w:pPr>
        <w:rPr>
          <w:color w:val="0070C0"/>
        </w:rPr>
      </w:pPr>
    </w:p>
    <w:p w14:paraId="6B1F1D1F" w14:textId="77777777" w:rsidR="007A2C39" w:rsidRPr="00E56679" w:rsidRDefault="007A2C39" w:rsidP="007A2C39">
      <w:pPr>
        <w:jc w:val="center"/>
        <w:rPr>
          <w:color w:val="0070C0"/>
          <w:highlight w:val="yellow"/>
        </w:rPr>
      </w:pPr>
    </w:p>
    <w:p w14:paraId="23AD3163" w14:textId="77777777" w:rsidR="007A2C39" w:rsidRPr="00E56679" w:rsidRDefault="007A2C39" w:rsidP="007A2C39">
      <w:pPr>
        <w:jc w:val="center"/>
        <w:rPr>
          <w:color w:val="0070C0"/>
          <w:highlight w:val="yellow"/>
        </w:rPr>
      </w:pPr>
    </w:p>
    <w:p w14:paraId="464C7802" w14:textId="77777777" w:rsidR="007A2C39" w:rsidRPr="00E56679" w:rsidRDefault="007A2C39" w:rsidP="007A2C39">
      <w:pPr>
        <w:jc w:val="center"/>
        <w:rPr>
          <w:color w:val="0070C0"/>
          <w:highlight w:val="yellow"/>
        </w:rPr>
      </w:pPr>
    </w:p>
    <w:p w14:paraId="7EA4C4C8" w14:textId="77777777" w:rsidR="007A2C39" w:rsidRPr="00E56679" w:rsidRDefault="007A2C39" w:rsidP="007A2C39">
      <w:pPr>
        <w:jc w:val="center"/>
        <w:rPr>
          <w:color w:val="0070C0"/>
          <w:highlight w:val="yellow"/>
        </w:rPr>
      </w:pPr>
    </w:p>
    <w:p w14:paraId="121E279E" w14:textId="77777777" w:rsidR="007A2C39" w:rsidRPr="00E56679" w:rsidRDefault="007A2C39" w:rsidP="007A2C39">
      <w:pPr>
        <w:jc w:val="center"/>
        <w:rPr>
          <w:color w:val="0070C0"/>
          <w:highlight w:val="yellow"/>
        </w:rPr>
      </w:pPr>
    </w:p>
    <w:p w14:paraId="29E28EB9" w14:textId="77777777" w:rsidR="007A2C39" w:rsidRPr="00E56679" w:rsidRDefault="007A2C39" w:rsidP="007A2C39">
      <w:pPr>
        <w:jc w:val="center"/>
        <w:rPr>
          <w:b/>
          <w:color w:val="0070C0"/>
          <w:lang w:val="en-US"/>
        </w:rPr>
      </w:pPr>
    </w:p>
    <w:p w14:paraId="738A1D21" w14:textId="77777777" w:rsidR="007A2C39" w:rsidRPr="00E56679" w:rsidRDefault="007A2C39" w:rsidP="007A2C39">
      <w:pPr>
        <w:jc w:val="center"/>
        <w:rPr>
          <w:b/>
          <w:color w:val="0070C0"/>
          <w:lang w:val="en-US"/>
        </w:rPr>
      </w:pPr>
    </w:p>
    <w:p w14:paraId="148C7799" w14:textId="77777777" w:rsidR="007A2C39" w:rsidRPr="00E56679" w:rsidRDefault="007A2C39" w:rsidP="007A2C39">
      <w:pPr>
        <w:jc w:val="center"/>
        <w:rPr>
          <w:b/>
          <w:color w:val="0070C0"/>
          <w:lang w:val="en-US"/>
        </w:rPr>
      </w:pPr>
    </w:p>
    <w:p w14:paraId="6BD4DEC1" w14:textId="77777777" w:rsidR="007A2C39" w:rsidRPr="00E56679" w:rsidRDefault="007A2C39" w:rsidP="007A2C39">
      <w:pPr>
        <w:jc w:val="center"/>
        <w:rPr>
          <w:b/>
          <w:color w:val="0070C0"/>
          <w:lang w:val="en-US"/>
        </w:rPr>
      </w:pPr>
    </w:p>
    <w:p w14:paraId="60727877" w14:textId="77777777" w:rsidR="007A2C39" w:rsidRPr="00E56679" w:rsidRDefault="007A2C39" w:rsidP="007A2C39">
      <w:pPr>
        <w:jc w:val="center"/>
        <w:rPr>
          <w:b/>
          <w:color w:val="0070C0"/>
          <w:lang w:val="en-US"/>
        </w:rPr>
      </w:pPr>
    </w:p>
    <w:p w14:paraId="22844BDE" w14:textId="77777777" w:rsidR="007A2C39" w:rsidRPr="00E56679" w:rsidRDefault="007A2C39" w:rsidP="007A2C39">
      <w:pPr>
        <w:jc w:val="center"/>
        <w:rPr>
          <w:b/>
          <w:color w:val="0070C0"/>
          <w:lang w:val="en-US"/>
        </w:rPr>
      </w:pPr>
    </w:p>
    <w:p w14:paraId="485F46EF" w14:textId="77777777" w:rsidR="007A2C39" w:rsidRPr="00E56679" w:rsidRDefault="007A2C39" w:rsidP="007A2C39">
      <w:pPr>
        <w:jc w:val="center"/>
        <w:rPr>
          <w:b/>
          <w:color w:val="0070C0"/>
          <w:lang w:val="en-US"/>
        </w:rPr>
      </w:pPr>
    </w:p>
    <w:p w14:paraId="0A311D03" w14:textId="77777777" w:rsidR="007A2C39" w:rsidRPr="00E56679" w:rsidRDefault="007A2C39" w:rsidP="007A2C39">
      <w:pPr>
        <w:jc w:val="center"/>
        <w:rPr>
          <w:b/>
          <w:color w:val="0070C0"/>
          <w:lang w:val="en-US"/>
        </w:rPr>
      </w:pPr>
    </w:p>
    <w:p w14:paraId="1932BBEE" w14:textId="77777777" w:rsidR="007A2C39" w:rsidRPr="00E56679" w:rsidRDefault="007A2C39" w:rsidP="007A2C39">
      <w:pPr>
        <w:jc w:val="center"/>
        <w:rPr>
          <w:b/>
          <w:color w:val="0070C0"/>
          <w:lang w:val="en-US"/>
        </w:rPr>
      </w:pPr>
    </w:p>
    <w:p w14:paraId="4A606A02" w14:textId="77777777" w:rsidR="007A2C39" w:rsidRPr="00E56679" w:rsidRDefault="007A2C39" w:rsidP="007A2C39">
      <w:pPr>
        <w:jc w:val="center"/>
        <w:rPr>
          <w:b/>
          <w:color w:val="0070C0"/>
          <w:lang w:val="en-US"/>
        </w:rPr>
      </w:pPr>
    </w:p>
    <w:p w14:paraId="6FCFB2AE" w14:textId="77777777" w:rsidR="007A2C39" w:rsidRPr="00E56679" w:rsidRDefault="007A2C39" w:rsidP="007A2C39">
      <w:pPr>
        <w:jc w:val="center"/>
        <w:rPr>
          <w:b/>
          <w:color w:val="0070C0"/>
        </w:rPr>
      </w:pPr>
    </w:p>
    <w:p w14:paraId="0E06A2E4" w14:textId="77777777" w:rsidR="007A2C39" w:rsidRPr="00E56679" w:rsidRDefault="007A2C39" w:rsidP="007A2C39">
      <w:pPr>
        <w:jc w:val="center"/>
        <w:rPr>
          <w:b/>
          <w:color w:val="0070C0"/>
        </w:rPr>
      </w:pPr>
    </w:p>
    <w:p w14:paraId="2FA3CB0A" w14:textId="77777777" w:rsidR="007A2C39" w:rsidRPr="00E56679" w:rsidRDefault="007A2C39" w:rsidP="007A2C39">
      <w:pPr>
        <w:jc w:val="center"/>
        <w:rPr>
          <w:b/>
          <w:color w:val="0070C0"/>
        </w:rPr>
      </w:pPr>
    </w:p>
    <w:p w14:paraId="39B0F9AD" w14:textId="77777777" w:rsidR="007A2C39" w:rsidRPr="00E56679" w:rsidRDefault="007A2C39" w:rsidP="007A2C39">
      <w:pPr>
        <w:jc w:val="center"/>
        <w:rPr>
          <w:b/>
          <w:color w:val="0070C0"/>
        </w:rPr>
      </w:pPr>
    </w:p>
    <w:p w14:paraId="556740C8" w14:textId="77777777" w:rsidR="007A2C39" w:rsidRPr="00E56679" w:rsidRDefault="007A2C39" w:rsidP="007A2C39">
      <w:pPr>
        <w:jc w:val="center"/>
        <w:rPr>
          <w:b/>
          <w:color w:val="0070C0"/>
        </w:rPr>
      </w:pPr>
    </w:p>
    <w:p w14:paraId="752D17D0" w14:textId="77777777" w:rsidR="007A2C39" w:rsidRPr="00E56679" w:rsidRDefault="007A2C39" w:rsidP="007A2C39">
      <w:pPr>
        <w:jc w:val="center"/>
        <w:rPr>
          <w:b/>
          <w:color w:val="0070C0"/>
        </w:rPr>
      </w:pPr>
    </w:p>
    <w:p w14:paraId="5DF77AA0" w14:textId="77777777" w:rsidR="007A2C39" w:rsidRPr="00E56679" w:rsidRDefault="007A2C39" w:rsidP="007A2C39">
      <w:pPr>
        <w:jc w:val="center"/>
        <w:rPr>
          <w:b/>
          <w:color w:val="0070C0"/>
        </w:rPr>
      </w:pPr>
    </w:p>
    <w:p w14:paraId="7A2833E6" w14:textId="77777777" w:rsidR="007A2C39" w:rsidRPr="00E56679" w:rsidRDefault="007A2C39" w:rsidP="007A2C39">
      <w:pPr>
        <w:jc w:val="center"/>
        <w:rPr>
          <w:b/>
          <w:color w:val="0070C0"/>
        </w:rPr>
      </w:pPr>
    </w:p>
    <w:p w14:paraId="735BEE58" w14:textId="77777777" w:rsidR="007A2C39" w:rsidRPr="00E56679" w:rsidRDefault="007A2C39" w:rsidP="007A2C39">
      <w:pPr>
        <w:jc w:val="center"/>
        <w:rPr>
          <w:b/>
          <w:color w:val="0070C0"/>
        </w:rPr>
      </w:pPr>
    </w:p>
    <w:p w14:paraId="28D3A679" w14:textId="77777777" w:rsidR="007A2C39" w:rsidRPr="00E56679" w:rsidRDefault="007A2C39" w:rsidP="007A2C39">
      <w:pPr>
        <w:jc w:val="center"/>
        <w:rPr>
          <w:b/>
          <w:color w:val="0070C0"/>
        </w:rPr>
      </w:pPr>
    </w:p>
    <w:p w14:paraId="5AA63736" w14:textId="1EBDE192" w:rsidR="007A2C39" w:rsidRPr="009A4DAF" w:rsidRDefault="007A2C39" w:rsidP="007A2C39">
      <w:r w:rsidRPr="009A4DAF">
        <w:t>Септември 202</w:t>
      </w:r>
      <w:r w:rsidR="00E56679" w:rsidRPr="009A4DAF">
        <w:t>4</w:t>
      </w:r>
    </w:p>
    <w:p w14:paraId="04B2164F" w14:textId="3A690933" w:rsidR="000470AB" w:rsidRPr="00E56679" w:rsidRDefault="000470AB" w:rsidP="00DF4CDE">
      <w:pPr>
        <w:pStyle w:val="TOC1"/>
        <w:rPr>
          <w:color w:val="0070C0"/>
          <w:lang w:val="ru-RU"/>
        </w:rPr>
      </w:pPr>
    </w:p>
    <w:p w14:paraId="6A92C011" w14:textId="77777777" w:rsidR="00B9393B" w:rsidRPr="00E56679" w:rsidRDefault="00B9393B" w:rsidP="00B9393B">
      <w:pPr>
        <w:rPr>
          <w:color w:val="0070C0"/>
          <w:lang w:val="ru-RU"/>
        </w:rPr>
        <w:sectPr w:rsidR="00B9393B" w:rsidRPr="00E56679" w:rsidSect="0025042F">
          <w:footerReference w:type="even" r:id="rId13"/>
          <w:footerReference w:type="default" r:id="rId14"/>
          <w:footnotePr>
            <w:pos w:val="beneathText"/>
          </w:footnotePr>
          <w:pgSz w:w="11906" w:h="16838"/>
          <w:pgMar w:top="1417" w:right="1133" w:bottom="1258" w:left="1417" w:header="708" w:footer="708" w:gutter="0"/>
          <w:cols w:space="708"/>
          <w:titlePg/>
          <w:docGrid w:linePitch="360"/>
        </w:sectPr>
      </w:pPr>
    </w:p>
    <w:p w14:paraId="3F0E7A63" w14:textId="77777777" w:rsidR="000470AB" w:rsidRPr="00E56679" w:rsidRDefault="000470AB" w:rsidP="00DF4CDE">
      <w:pPr>
        <w:pStyle w:val="TOC1"/>
        <w:rPr>
          <w:color w:val="0070C0"/>
          <w:lang w:val="ru-RU"/>
        </w:rPr>
      </w:pPr>
    </w:p>
    <w:p w14:paraId="297A0FD1" w14:textId="77777777" w:rsidR="000470AB" w:rsidRPr="009A0FFA" w:rsidRDefault="000470AB" w:rsidP="00DF4CDE">
      <w:pPr>
        <w:pStyle w:val="TOC1"/>
        <w:jc w:val="center"/>
        <w:rPr>
          <w:lang w:val="bg-BG"/>
        </w:rPr>
      </w:pPr>
      <w:r w:rsidRPr="009A0FFA">
        <w:t>СЪДЪРЖАНИЕ</w:t>
      </w:r>
    </w:p>
    <w:p w14:paraId="4ABD9553" w14:textId="77777777" w:rsidR="000470AB" w:rsidRPr="00E56679" w:rsidRDefault="000470AB" w:rsidP="000C561B">
      <w:pPr>
        <w:rPr>
          <w:color w:val="0070C0"/>
          <w:lang w:val="en-US"/>
        </w:rPr>
      </w:pPr>
    </w:p>
    <w:p w14:paraId="6616672B" w14:textId="77777777" w:rsidR="000470AB" w:rsidRPr="00E56679" w:rsidRDefault="000470AB" w:rsidP="005D2143">
      <w:pPr>
        <w:rPr>
          <w:color w:val="0070C0"/>
          <w:lang w:val="en-US"/>
        </w:rPr>
      </w:pPr>
    </w:p>
    <w:p w14:paraId="65522770" w14:textId="31C2F8B9" w:rsidR="00696D8E" w:rsidRDefault="000470AB">
      <w:pPr>
        <w:pStyle w:val="TOC1"/>
        <w:rPr>
          <w:rFonts w:asciiTheme="minorHAnsi" w:eastAsiaTheme="minorEastAsia" w:hAnsiTheme="minorHAnsi" w:cstheme="minorBidi"/>
          <w:sz w:val="22"/>
          <w:szCs w:val="22"/>
          <w:lang w:val="bg-BG"/>
        </w:rPr>
      </w:pPr>
      <w:r w:rsidRPr="0082409C">
        <w:rPr>
          <w:rStyle w:val="Hyperlink"/>
          <w:color w:val="auto"/>
          <w:sz w:val="27"/>
          <w:szCs w:val="27"/>
        </w:rPr>
        <w:fldChar w:fldCharType="begin"/>
      </w:r>
      <w:r w:rsidRPr="0082409C">
        <w:rPr>
          <w:rStyle w:val="Hyperlink"/>
          <w:color w:val="auto"/>
        </w:rPr>
        <w:instrText xml:space="preserve"> TOC \o "1-3" \h \z \u </w:instrText>
      </w:r>
      <w:r w:rsidRPr="0082409C">
        <w:rPr>
          <w:rStyle w:val="Hyperlink"/>
          <w:color w:val="auto"/>
          <w:sz w:val="27"/>
          <w:szCs w:val="27"/>
        </w:rPr>
        <w:fldChar w:fldCharType="separate"/>
      </w:r>
      <w:hyperlink w:anchor="_Toc176351910" w:history="1">
        <w:r w:rsidR="00696D8E" w:rsidRPr="005967FA">
          <w:rPr>
            <w:rStyle w:val="Hyperlink"/>
          </w:rPr>
          <w:t>Използвани съкращения</w:t>
        </w:r>
        <w:r w:rsidR="00696D8E">
          <w:rPr>
            <w:webHidden/>
          </w:rPr>
          <w:tab/>
        </w:r>
        <w:r w:rsidR="00696D8E">
          <w:rPr>
            <w:webHidden/>
          </w:rPr>
          <w:fldChar w:fldCharType="begin"/>
        </w:r>
        <w:r w:rsidR="00696D8E">
          <w:rPr>
            <w:webHidden/>
          </w:rPr>
          <w:instrText xml:space="preserve"> PAGEREF _Toc176351910 \h </w:instrText>
        </w:r>
        <w:r w:rsidR="00696D8E">
          <w:rPr>
            <w:webHidden/>
          </w:rPr>
        </w:r>
        <w:r w:rsidR="00696D8E">
          <w:rPr>
            <w:webHidden/>
          </w:rPr>
          <w:fldChar w:fldCharType="separate"/>
        </w:r>
        <w:r w:rsidR="0053056D">
          <w:rPr>
            <w:webHidden/>
          </w:rPr>
          <w:t>4</w:t>
        </w:r>
        <w:r w:rsidR="00696D8E">
          <w:rPr>
            <w:webHidden/>
          </w:rPr>
          <w:fldChar w:fldCharType="end"/>
        </w:r>
      </w:hyperlink>
    </w:p>
    <w:p w14:paraId="1BBFDE3D" w14:textId="66377482" w:rsidR="00696D8E" w:rsidRDefault="0053056D">
      <w:pPr>
        <w:pStyle w:val="TOC1"/>
        <w:rPr>
          <w:rFonts w:asciiTheme="minorHAnsi" w:eastAsiaTheme="minorEastAsia" w:hAnsiTheme="minorHAnsi" w:cstheme="minorBidi"/>
          <w:sz w:val="22"/>
          <w:szCs w:val="22"/>
          <w:lang w:val="bg-BG"/>
        </w:rPr>
      </w:pPr>
      <w:hyperlink w:anchor="_Toc176351911" w:history="1">
        <w:r w:rsidR="00696D8E" w:rsidRPr="005967FA">
          <w:rPr>
            <w:rStyle w:val="Hyperlink"/>
          </w:rPr>
          <w:t>I. МАКРОИКОНОМИЧЕСКА СРЕДА</w:t>
        </w:r>
        <w:r w:rsidR="00696D8E">
          <w:rPr>
            <w:webHidden/>
          </w:rPr>
          <w:tab/>
        </w:r>
        <w:r w:rsidR="00696D8E">
          <w:rPr>
            <w:webHidden/>
          </w:rPr>
          <w:fldChar w:fldCharType="begin"/>
        </w:r>
        <w:r w:rsidR="00696D8E">
          <w:rPr>
            <w:webHidden/>
          </w:rPr>
          <w:instrText xml:space="preserve"> PAGEREF _Toc176351911 \h </w:instrText>
        </w:r>
        <w:r w:rsidR="00696D8E">
          <w:rPr>
            <w:webHidden/>
          </w:rPr>
        </w:r>
        <w:r w:rsidR="00696D8E">
          <w:rPr>
            <w:webHidden/>
          </w:rPr>
          <w:fldChar w:fldCharType="separate"/>
        </w:r>
        <w:r>
          <w:rPr>
            <w:webHidden/>
          </w:rPr>
          <w:t>5</w:t>
        </w:r>
        <w:r w:rsidR="00696D8E">
          <w:rPr>
            <w:webHidden/>
          </w:rPr>
          <w:fldChar w:fldCharType="end"/>
        </w:r>
      </w:hyperlink>
    </w:p>
    <w:p w14:paraId="2ABD88E0" w14:textId="01B1264F" w:rsidR="00696D8E" w:rsidRDefault="0053056D">
      <w:pPr>
        <w:pStyle w:val="TOC1"/>
        <w:rPr>
          <w:rFonts w:asciiTheme="minorHAnsi" w:eastAsiaTheme="minorEastAsia" w:hAnsiTheme="minorHAnsi" w:cstheme="minorBidi"/>
          <w:sz w:val="22"/>
          <w:szCs w:val="22"/>
          <w:lang w:val="bg-BG"/>
        </w:rPr>
      </w:pPr>
      <w:hyperlink w:anchor="_Toc176351912" w:history="1">
        <w:r w:rsidR="00696D8E" w:rsidRPr="005967FA">
          <w:rPr>
            <w:rStyle w:val="Hyperlink"/>
          </w:rPr>
          <w:t>II. ОСНОВНИ АКЦЕНТИ ПО ОТНОШЕНИЕ НА БЮДЖЕТНОТО ИЗПЪЛНЕНИЕ</w:t>
        </w:r>
        <w:r w:rsidR="00696D8E">
          <w:rPr>
            <w:webHidden/>
          </w:rPr>
          <w:tab/>
        </w:r>
        <w:r w:rsidR="00696D8E">
          <w:rPr>
            <w:webHidden/>
          </w:rPr>
          <w:fldChar w:fldCharType="begin"/>
        </w:r>
        <w:r w:rsidR="00696D8E">
          <w:rPr>
            <w:webHidden/>
          </w:rPr>
          <w:instrText xml:space="preserve"> PAGEREF _Toc176351912 \h </w:instrText>
        </w:r>
        <w:r w:rsidR="00696D8E">
          <w:rPr>
            <w:webHidden/>
          </w:rPr>
        </w:r>
        <w:r w:rsidR="00696D8E">
          <w:rPr>
            <w:webHidden/>
          </w:rPr>
          <w:fldChar w:fldCharType="separate"/>
        </w:r>
        <w:r>
          <w:rPr>
            <w:webHidden/>
          </w:rPr>
          <w:t>7</w:t>
        </w:r>
        <w:r w:rsidR="00696D8E">
          <w:rPr>
            <w:webHidden/>
          </w:rPr>
          <w:fldChar w:fldCharType="end"/>
        </w:r>
      </w:hyperlink>
    </w:p>
    <w:p w14:paraId="4438D47D" w14:textId="0C26247A" w:rsidR="00696D8E" w:rsidRDefault="0053056D">
      <w:pPr>
        <w:pStyle w:val="TOC2"/>
        <w:rPr>
          <w:rFonts w:asciiTheme="minorHAnsi" w:eastAsiaTheme="minorEastAsia" w:hAnsiTheme="minorHAnsi" w:cstheme="minorBidi"/>
          <w:bCs w:val="0"/>
          <w:sz w:val="22"/>
          <w:szCs w:val="22"/>
        </w:rPr>
      </w:pPr>
      <w:hyperlink w:anchor="_Toc176351913" w:history="1">
        <w:r w:rsidR="00696D8E" w:rsidRPr="005967FA">
          <w:rPr>
            <w:rStyle w:val="Hyperlink"/>
          </w:rPr>
          <w:t>1.</w:t>
        </w:r>
        <w:r w:rsidR="00696D8E">
          <w:rPr>
            <w:rFonts w:asciiTheme="minorHAnsi" w:eastAsiaTheme="minorEastAsia" w:hAnsiTheme="minorHAnsi" w:cstheme="minorBidi"/>
            <w:bCs w:val="0"/>
            <w:sz w:val="22"/>
            <w:szCs w:val="22"/>
          </w:rPr>
          <w:tab/>
        </w:r>
        <w:r w:rsidR="00696D8E" w:rsidRPr="005967FA">
          <w:rPr>
            <w:rStyle w:val="Hyperlink"/>
          </w:rPr>
          <w:t>Фискални развития през първото полугодие на 202</w:t>
        </w:r>
        <w:r w:rsidR="00696D8E" w:rsidRPr="005967FA">
          <w:rPr>
            <w:rStyle w:val="Hyperlink"/>
            <w:lang w:val="ru-RU"/>
          </w:rPr>
          <w:t>4</w:t>
        </w:r>
        <w:r w:rsidR="00696D8E" w:rsidRPr="005967FA">
          <w:rPr>
            <w:rStyle w:val="Hyperlink"/>
          </w:rPr>
          <w:t xml:space="preserve"> г.</w:t>
        </w:r>
        <w:r w:rsidR="00696D8E">
          <w:rPr>
            <w:webHidden/>
          </w:rPr>
          <w:tab/>
        </w:r>
        <w:r w:rsidR="00696D8E">
          <w:rPr>
            <w:webHidden/>
          </w:rPr>
          <w:fldChar w:fldCharType="begin"/>
        </w:r>
        <w:r w:rsidR="00696D8E">
          <w:rPr>
            <w:webHidden/>
          </w:rPr>
          <w:instrText xml:space="preserve"> PAGEREF _Toc176351913 \h </w:instrText>
        </w:r>
        <w:r w:rsidR="00696D8E">
          <w:rPr>
            <w:webHidden/>
          </w:rPr>
        </w:r>
        <w:r w:rsidR="00696D8E">
          <w:rPr>
            <w:webHidden/>
          </w:rPr>
          <w:fldChar w:fldCharType="separate"/>
        </w:r>
        <w:r>
          <w:rPr>
            <w:webHidden/>
          </w:rPr>
          <w:t>7</w:t>
        </w:r>
        <w:r w:rsidR="00696D8E">
          <w:rPr>
            <w:webHidden/>
          </w:rPr>
          <w:fldChar w:fldCharType="end"/>
        </w:r>
      </w:hyperlink>
    </w:p>
    <w:p w14:paraId="533C9474" w14:textId="1E794C30" w:rsidR="00696D8E" w:rsidRDefault="0053056D">
      <w:pPr>
        <w:pStyle w:val="TOC2"/>
        <w:rPr>
          <w:rFonts w:asciiTheme="minorHAnsi" w:eastAsiaTheme="minorEastAsia" w:hAnsiTheme="minorHAnsi" w:cstheme="minorBidi"/>
          <w:bCs w:val="0"/>
          <w:sz w:val="22"/>
          <w:szCs w:val="22"/>
        </w:rPr>
      </w:pPr>
      <w:hyperlink w:anchor="_Toc176351914" w:history="1">
        <w:r w:rsidR="00696D8E" w:rsidRPr="005967FA">
          <w:rPr>
            <w:rStyle w:val="Hyperlink"/>
          </w:rPr>
          <w:t>2.</w:t>
        </w:r>
        <w:r w:rsidR="00696D8E">
          <w:rPr>
            <w:rFonts w:asciiTheme="minorHAnsi" w:eastAsiaTheme="minorEastAsia" w:hAnsiTheme="minorHAnsi" w:cstheme="minorBidi"/>
            <w:bCs w:val="0"/>
            <w:sz w:val="22"/>
            <w:szCs w:val="22"/>
          </w:rPr>
          <w:tab/>
        </w:r>
        <w:r w:rsidR="00696D8E" w:rsidRPr="005967FA">
          <w:rPr>
            <w:rStyle w:val="Hyperlink"/>
          </w:rPr>
          <w:t>Предизвикателства при изпълнението на бюджета до края на годината</w:t>
        </w:r>
        <w:r w:rsidR="00696D8E">
          <w:rPr>
            <w:webHidden/>
          </w:rPr>
          <w:tab/>
        </w:r>
        <w:r w:rsidR="00696D8E">
          <w:rPr>
            <w:webHidden/>
          </w:rPr>
          <w:fldChar w:fldCharType="begin"/>
        </w:r>
        <w:r w:rsidR="00696D8E">
          <w:rPr>
            <w:webHidden/>
          </w:rPr>
          <w:instrText xml:space="preserve"> PAGEREF _Toc176351914 \h </w:instrText>
        </w:r>
        <w:r w:rsidR="00696D8E">
          <w:rPr>
            <w:webHidden/>
          </w:rPr>
        </w:r>
        <w:r w:rsidR="00696D8E">
          <w:rPr>
            <w:webHidden/>
          </w:rPr>
          <w:fldChar w:fldCharType="separate"/>
        </w:r>
        <w:r>
          <w:rPr>
            <w:webHidden/>
          </w:rPr>
          <w:t>9</w:t>
        </w:r>
        <w:r w:rsidR="00696D8E">
          <w:rPr>
            <w:webHidden/>
          </w:rPr>
          <w:fldChar w:fldCharType="end"/>
        </w:r>
      </w:hyperlink>
    </w:p>
    <w:p w14:paraId="56180633" w14:textId="13892375" w:rsidR="00696D8E" w:rsidRDefault="0053056D">
      <w:pPr>
        <w:pStyle w:val="TOC2"/>
        <w:rPr>
          <w:rFonts w:asciiTheme="minorHAnsi" w:eastAsiaTheme="minorEastAsia" w:hAnsiTheme="minorHAnsi" w:cstheme="minorBidi"/>
          <w:bCs w:val="0"/>
          <w:sz w:val="22"/>
          <w:szCs w:val="22"/>
        </w:rPr>
      </w:pPr>
      <w:hyperlink w:anchor="_Toc176351915" w:history="1">
        <w:r w:rsidR="00696D8E" w:rsidRPr="005967FA">
          <w:rPr>
            <w:rStyle w:val="Hyperlink"/>
          </w:rPr>
          <w:t>3.</w:t>
        </w:r>
        <w:r w:rsidR="00696D8E">
          <w:rPr>
            <w:rFonts w:asciiTheme="minorHAnsi" w:eastAsiaTheme="minorEastAsia" w:hAnsiTheme="minorHAnsi" w:cstheme="minorBidi"/>
            <w:bCs w:val="0"/>
            <w:sz w:val="22"/>
            <w:szCs w:val="22"/>
          </w:rPr>
          <w:tab/>
        </w:r>
        <w:r w:rsidR="00696D8E" w:rsidRPr="005967FA">
          <w:rPr>
            <w:rStyle w:val="Hyperlink"/>
          </w:rPr>
          <w:t>Информация</w:t>
        </w:r>
        <w:r w:rsidR="00696D8E" w:rsidRPr="005967FA">
          <w:rPr>
            <w:rStyle w:val="Hyperlink"/>
            <w:lang w:val="ru-RU"/>
          </w:rPr>
          <w:t xml:space="preserve"> за </w:t>
        </w:r>
        <w:r w:rsidR="00696D8E" w:rsidRPr="005967FA">
          <w:rPr>
            <w:rStyle w:val="Hyperlink"/>
          </w:rPr>
          <w:t>разходите за хуманитарна помощ, както и за справяне с последствията във връзка с военните действия в Украйна</w:t>
        </w:r>
        <w:r w:rsidR="00696D8E">
          <w:rPr>
            <w:webHidden/>
          </w:rPr>
          <w:tab/>
        </w:r>
        <w:r w:rsidR="00696D8E">
          <w:rPr>
            <w:webHidden/>
          </w:rPr>
          <w:fldChar w:fldCharType="begin"/>
        </w:r>
        <w:r w:rsidR="00696D8E">
          <w:rPr>
            <w:webHidden/>
          </w:rPr>
          <w:instrText xml:space="preserve"> PAGEREF _Toc176351915 \h </w:instrText>
        </w:r>
        <w:r w:rsidR="00696D8E">
          <w:rPr>
            <w:webHidden/>
          </w:rPr>
        </w:r>
        <w:r w:rsidR="00696D8E">
          <w:rPr>
            <w:webHidden/>
          </w:rPr>
          <w:fldChar w:fldCharType="separate"/>
        </w:r>
        <w:r>
          <w:rPr>
            <w:webHidden/>
          </w:rPr>
          <w:t>11</w:t>
        </w:r>
        <w:r w:rsidR="00696D8E">
          <w:rPr>
            <w:webHidden/>
          </w:rPr>
          <w:fldChar w:fldCharType="end"/>
        </w:r>
      </w:hyperlink>
    </w:p>
    <w:p w14:paraId="72B2A71E" w14:textId="2816AEF5" w:rsidR="00696D8E" w:rsidRDefault="0053056D">
      <w:pPr>
        <w:pStyle w:val="TOC2"/>
        <w:rPr>
          <w:rFonts w:asciiTheme="minorHAnsi" w:eastAsiaTheme="minorEastAsia" w:hAnsiTheme="minorHAnsi" w:cstheme="minorBidi"/>
          <w:bCs w:val="0"/>
          <w:sz w:val="22"/>
          <w:szCs w:val="22"/>
        </w:rPr>
      </w:pPr>
      <w:hyperlink w:anchor="_Toc176351916" w:history="1">
        <w:r w:rsidR="00696D8E" w:rsidRPr="005967FA">
          <w:rPr>
            <w:rStyle w:val="Hyperlink"/>
          </w:rPr>
          <w:t>4.</w:t>
        </w:r>
        <w:r w:rsidR="00696D8E">
          <w:rPr>
            <w:rFonts w:asciiTheme="minorHAnsi" w:eastAsiaTheme="minorEastAsia" w:hAnsiTheme="minorHAnsi" w:cstheme="minorBidi"/>
            <w:bCs w:val="0"/>
            <w:sz w:val="22"/>
            <w:szCs w:val="22"/>
          </w:rPr>
          <w:tab/>
        </w:r>
        <w:r w:rsidR="00696D8E" w:rsidRPr="005967FA">
          <w:rPr>
            <w:rStyle w:val="Hyperlink"/>
          </w:rPr>
          <w:t>Мерки за повишаване на събираемостта на приходите</w:t>
        </w:r>
        <w:r w:rsidR="00696D8E">
          <w:rPr>
            <w:webHidden/>
          </w:rPr>
          <w:tab/>
        </w:r>
        <w:r w:rsidR="00696D8E">
          <w:rPr>
            <w:webHidden/>
          </w:rPr>
          <w:fldChar w:fldCharType="begin"/>
        </w:r>
        <w:r w:rsidR="00696D8E">
          <w:rPr>
            <w:webHidden/>
          </w:rPr>
          <w:instrText xml:space="preserve"> PAGEREF _Toc176351916 \h </w:instrText>
        </w:r>
        <w:r w:rsidR="00696D8E">
          <w:rPr>
            <w:webHidden/>
          </w:rPr>
        </w:r>
        <w:r w:rsidR="00696D8E">
          <w:rPr>
            <w:webHidden/>
          </w:rPr>
          <w:fldChar w:fldCharType="separate"/>
        </w:r>
        <w:r>
          <w:rPr>
            <w:webHidden/>
          </w:rPr>
          <w:t>13</w:t>
        </w:r>
        <w:r w:rsidR="00696D8E">
          <w:rPr>
            <w:webHidden/>
          </w:rPr>
          <w:fldChar w:fldCharType="end"/>
        </w:r>
      </w:hyperlink>
    </w:p>
    <w:p w14:paraId="4AC22CDF" w14:textId="5D219433" w:rsidR="00696D8E" w:rsidRDefault="0053056D">
      <w:pPr>
        <w:pStyle w:val="TOC1"/>
        <w:rPr>
          <w:rFonts w:asciiTheme="minorHAnsi" w:eastAsiaTheme="minorEastAsia" w:hAnsiTheme="minorHAnsi" w:cstheme="minorBidi"/>
          <w:sz w:val="22"/>
          <w:szCs w:val="22"/>
          <w:lang w:val="bg-BG"/>
        </w:rPr>
      </w:pPr>
      <w:hyperlink w:anchor="_Toc176351917" w:history="1">
        <w:r w:rsidR="00696D8E" w:rsidRPr="005967FA">
          <w:rPr>
            <w:rStyle w:val="Hyperlink"/>
          </w:rPr>
          <w:t>III. ОСНОВНИ ПАРАМЕТРИ НА КОНСОЛИДИРАНАТА ФИСКАЛНА ПРОГРАМА ЗА ПЪРВОТО ПОЛУГОДИЕ НА 202</w:t>
        </w:r>
        <w:r w:rsidR="00696D8E" w:rsidRPr="005967FA">
          <w:rPr>
            <w:rStyle w:val="Hyperlink"/>
            <w:lang w:val="ru-RU"/>
          </w:rPr>
          <w:t>4</w:t>
        </w:r>
        <w:r w:rsidR="00696D8E" w:rsidRPr="005967FA">
          <w:rPr>
            <w:rStyle w:val="Hyperlink"/>
          </w:rPr>
          <w:t xml:space="preserve"> ГОДИНА</w:t>
        </w:r>
        <w:r w:rsidR="00696D8E">
          <w:rPr>
            <w:webHidden/>
          </w:rPr>
          <w:tab/>
        </w:r>
        <w:r w:rsidR="00696D8E">
          <w:rPr>
            <w:webHidden/>
          </w:rPr>
          <w:fldChar w:fldCharType="begin"/>
        </w:r>
        <w:r w:rsidR="00696D8E">
          <w:rPr>
            <w:webHidden/>
          </w:rPr>
          <w:instrText xml:space="preserve"> PAGEREF _Toc176351917 \h </w:instrText>
        </w:r>
        <w:r w:rsidR="00696D8E">
          <w:rPr>
            <w:webHidden/>
          </w:rPr>
        </w:r>
        <w:r w:rsidR="00696D8E">
          <w:rPr>
            <w:webHidden/>
          </w:rPr>
          <w:fldChar w:fldCharType="separate"/>
        </w:r>
        <w:r>
          <w:rPr>
            <w:webHidden/>
          </w:rPr>
          <w:t>16</w:t>
        </w:r>
        <w:r w:rsidR="00696D8E">
          <w:rPr>
            <w:webHidden/>
          </w:rPr>
          <w:fldChar w:fldCharType="end"/>
        </w:r>
      </w:hyperlink>
    </w:p>
    <w:p w14:paraId="16405456" w14:textId="5140E910" w:rsidR="00696D8E" w:rsidRDefault="0053056D">
      <w:pPr>
        <w:pStyle w:val="TOC2"/>
        <w:rPr>
          <w:rFonts w:asciiTheme="minorHAnsi" w:eastAsiaTheme="minorEastAsia" w:hAnsiTheme="minorHAnsi" w:cstheme="minorBidi"/>
          <w:bCs w:val="0"/>
          <w:sz w:val="22"/>
          <w:szCs w:val="22"/>
        </w:rPr>
      </w:pPr>
      <w:hyperlink w:anchor="_Toc176351918" w:history="1">
        <w:r w:rsidR="00696D8E" w:rsidRPr="005967FA">
          <w:rPr>
            <w:rStyle w:val="Hyperlink"/>
          </w:rPr>
          <w:t>1.</w:t>
        </w:r>
        <w:r w:rsidR="00696D8E">
          <w:rPr>
            <w:rFonts w:asciiTheme="minorHAnsi" w:eastAsiaTheme="minorEastAsia" w:hAnsiTheme="minorHAnsi" w:cstheme="minorBidi"/>
            <w:bCs w:val="0"/>
            <w:sz w:val="22"/>
            <w:szCs w:val="22"/>
          </w:rPr>
          <w:tab/>
        </w:r>
        <w:r w:rsidR="00696D8E" w:rsidRPr="005967FA">
          <w:rPr>
            <w:rStyle w:val="Hyperlink"/>
          </w:rPr>
          <w:t>Изпълнение на приходите по видове по консолидираната фискална програма</w:t>
        </w:r>
        <w:r w:rsidR="00696D8E">
          <w:rPr>
            <w:webHidden/>
          </w:rPr>
          <w:tab/>
        </w:r>
        <w:r w:rsidR="00696D8E">
          <w:rPr>
            <w:webHidden/>
          </w:rPr>
          <w:fldChar w:fldCharType="begin"/>
        </w:r>
        <w:r w:rsidR="00696D8E">
          <w:rPr>
            <w:webHidden/>
          </w:rPr>
          <w:instrText xml:space="preserve"> PAGEREF _Toc176351918 \h </w:instrText>
        </w:r>
        <w:r w:rsidR="00696D8E">
          <w:rPr>
            <w:webHidden/>
          </w:rPr>
        </w:r>
        <w:r w:rsidR="00696D8E">
          <w:rPr>
            <w:webHidden/>
          </w:rPr>
          <w:fldChar w:fldCharType="separate"/>
        </w:r>
        <w:r>
          <w:rPr>
            <w:webHidden/>
          </w:rPr>
          <w:t>25</w:t>
        </w:r>
        <w:r w:rsidR="00696D8E">
          <w:rPr>
            <w:webHidden/>
          </w:rPr>
          <w:fldChar w:fldCharType="end"/>
        </w:r>
      </w:hyperlink>
    </w:p>
    <w:p w14:paraId="3CF01B3E" w14:textId="42112BD3" w:rsidR="00696D8E" w:rsidRDefault="0053056D">
      <w:pPr>
        <w:pStyle w:val="TOC3"/>
        <w:rPr>
          <w:rFonts w:asciiTheme="minorHAnsi" w:eastAsiaTheme="minorEastAsia" w:hAnsiTheme="minorHAnsi" w:cstheme="minorBidi"/>
          <w:noProof/>
          <w:sz w:val="22"/>
          <w:szCs w:val="22"/>
        </w:rPr>
      </w:pPr>
      <w:hyperlink w:anchor="_Toc176351919" w:history="1">
        <w:r w:rsidR="00696D8E" w:rsidRPr="005967FA">
          <w:rPr>
            <w:rStyle w:val="Hyperlink"/>
            <w:noProof/>
          </w:rPr>
          <w:t>1.1</w:t>
        </w:r>
        <w:r w:rsidR="00696D8E">
          <w:rPr>
            <w:rFonts w:asciiTheme="minorHAnsi" w:eastAsiaTheme="minorEastAsia" w:hAnsiTheme="minorHAnsi" w:cstheme="minorBidi"/>
            <w:noProof/>
            <w:sz w:val="22"/>
            <w:szCs w:val="22"/>
          </w:rPr>
          <w:tab/>
        </w:r>
        <w:r w:rsidR="00696D8E" w:rsidRPr="005967FA">
          <w:rPr>
            <w:rStyle w:val="Hyperlink"/>
            <w:noProof/>
          </w:rPr>
          <w:t>Преки данъци</w:t>
        </w:r>
        <w:r w:rsidR="00696D8E">
          <w:rPr>
            <w:noProof/>
            <w:webHidden/>
          </w:rPr>
          <w:tab/>
        </w:r>
        <w:r w:rsidR="00696D8E">
          <w:rPr>
            <w:noProof/>
            <w:webHidden/>
          </w:rPr>
          <w:fldChar w:fldCharType="begin"/>
        </w:r>
        <w:r w:rsidR="00696D8E">
          <w:rPr>
            <w:noProof/>
            <w:webHidden/>
          </w:rPr>
          <w:instrText xml:space="preserve"> PAGEREF _Toc176351919 \h </w:instrText>
        </w:r>
        <w:r w:rsidR="00696D8E">
          <w:rPr>
            <w:noProof/>
            <w:webHidden/>
          </w:rPr>
        </w:r>
        <w:r w:rsidR="00696D8E">
          <w:rPr>
            <w:noProof/>
            <w:webHidden/>
          </w:rPr>
          <w:fldChar w:fldCharType="separate"/>
        </w:r>
        <w:r>
          <w:rPr>
            <w:noProof/>
            <w:webHidden/>
          </w:rPr>
          <w:t>27</w:t>
        </w:r>
        <w:r w:rsidR="00696D8E">
          <w:rPr>
            <w:noProof/>
            <w:webHidden/>
          </w:rPr>
          <w:fldChar w:fldCharType="end"/>
        </w:r>
      </w:hyperlink>
    </w:p>
    <w:p w14:paraId="6251F59C" w14:textId="32C76BAD" w:rsidR="00696D8E" w:rsidRDefault="0053056D">
      <w:pPr>
        <w:pStyle w:val="TOC3"/>
        <w:rPr>
          <w:rFonts w:asciiTheme="minorHAnsi" w:eastAsiaTheme="minorEastAsia" w:hAnsiTheme="minorHAnsi" w:cstheme="minorBidi"/>
          <w:noProof/>
          <w:sz w:val="22"/>
          <w:szCs w:val="22"/>
        </w:rPr>
      </w:pPr>
      <w:hyperlink w:anchor="_Toc176351920" w:history="1">
        <w:r w:rsidR="00696D8E" w:rsidRPr="005967FA">
          <w:rPr>
            <w:rStyle w:val="Hyperlink"/>
            <w:i/>
            <w:iCs/>
            <w:noProof/>
          </w:rPr>
          <w:t>1.1.1 Корпоративни данъци</w:t>
        </w:r>
        <w:r w:rsidR="00696D8E">
          <w:rPr>
            <w:noProof/>
            <w:webHidden/>
          </w:rPr>
          <w:tab/>
        </w:r>
        <w:r w:rsidR="00696D8E">
          <w:rPr>
            <w:noProof/>
            <w:webHidden/>
          </w:rPr>
          <w:fldChar w:fldCharType="begin"/>
        </w:r>
        <w:r w:rsidR="00696D8E">
          <w:rPr>
            <w:noProof/>
            <w:webHidden/>
          </w:rPr>
          <w:instrText xml:space="preserve"> PAGEREF _Toc176351920 \h </w:instrText>
        </w:r>
        <w:r w:rsidR="00696D8E">
          <w:rPr>
            <w:noProof/>
            <w:webHidden/>
          </w:rPr>
        </w:r>
        <w:r w:rsidR="00696D8E">
          <w:rPr>
            <w:noProof/>
            <w:webHidden/>
          </w:rPr>
          <w:fldChar w:fldCharType="separate"/>
        </w:r>
        <w:r>
          <w:rPr>
            <w:noProof/>
            <w:webHidden/>
          </w:rPr>
          <w:t>27</w:t>
        </w:r>
        <w:r w:rsidR="00696D8E">
          <w:rPr>
            <w:noProof/>
            <w:webHidden/>
          </w:rPr>
          <w:fldChar w:fldCharType="end"/>
        </w:r>
      </w:hyperlink>
    </w:p>
    <w:p w14:paraId="7D484493" w14:textId="22FA533D" w:rsidR="00696D8E" w:rsidRDefault="0053056D">
      <w:pPr>
        <w:pStyle w:val="TOC3"/>
        <w:rPr>
          <w:rFonts w:asciiTheme="minorHAnsi" w:eastAsiaTheme="minorEastAsia" w:hAnsiTheme="minorHAnsi" w:cstheme="minorBidi"/>
          <w:noProof/>
          <w:sz w:val="22"/>
          <w:szCs w:val="22"/>
        </w:rPr>
      </w:pPr>
      <w:hyperlink w:anchor="_Toc176351921" w:history="1">
        <w:r w:rsidR="00696D8E" w:rsidRPr="005967FA">
          <w:rPr>
            <w:rStyle w:val="Hyperlink"/>
            <w:i/>
            <w:iCs/>
            <w:noProof/>
          </w:rPr>
          <w:t>1.1.2 Данък върху доходите на физическите лица</w:t>
        </w:r>
        <w:r w:rsidR="00696D8E">
          <w:rPr>
            <w:noProof/>
            <w:webHidden/>
          </w:rPr>
          <w:tab/>
        </w:r>
        <w:r w:rsidR="00696D8E">
          <w:rPr>
            <w:noProof/>
            <w:webHidden/>
          </w:rPr>
          <w:fldChar w:fldCharType="begin"/>
        </w:r>
        <w:r w:rsidR="00696D8E">
          <w:rPr>
            <w:noProof/>
            <w:webHidden/>
          </w:rPr>
          <w:instrText xml:space="preserve"> PAGEREF _Toc176351921 \h </w:instrText>
        </w:r>
        <w:r w:rsidR="00696D8E">
          <w:rPr>
            <w:noProof/>
            <w:webHidden/>
          </w:rPr>
        </w:r>
        <w:r w:rsidR="00696D8E">
          <w:rPr>
            <w:noProof/>
            <w:webHidden/>
          </w:rPr>
          <w:fldChar w:fldCharType="separate"/>
        </w:r>
        <w:r>
          <w:rPr>
            <w:noProof/>
            <w:webHidden/>
          </w:rPr>
          <w:t>27</w:t>
        </w:r>
        <w:r w:rsidR="00696D8E">
          <w:rPr>
            <w:noProof/>
            <w:webHidden/>
          </w:rPr>
          <w:fldChar w:fldCharType="end"/>
        </w:r>
      </w:hyperlink>
    </w:p>
    <w:p w14:paraId="587BB29D" w14:textId="64FE2BCC" w:rsidR="00696D8E" w:rsidRDefault="0053056D">
      <w:pPr>
        <w:pStyle w:val="TOC3"/>
        <w:rPr>
          <w:rFonts w:asciiTheme="minorHAnsi" w:eastAsiaTheme="minorEastAsia" w:hAnsiTheme="minorHAnsi" w:cstheme="minorBidi"/>
          <w:noProof/>
          <w:sz w:val="22"/>
          <w:szCs w:val="22"/>
        </w:rPr>
      </w:pPr>
      <w:hyperlink w:anchor="_Toc176351922" w:history="1">
        <w:r w:rsidR="00696D8E" w:rsidRPr="005967FA">
          <w:rPr>
            <w:rStyle w:val="Hyperlink"/>
            <w:noProof/>
          </w:rPr>
          <w:t>1.2</w:t>
        </w:r>
        <w:r w:rsidR="00696D8E">
          <w:rPr>
            <w:rFonts w:asciiTheme="minorHAnsi" w:eastAsiaTheme="minorEastAsia" w:hAnsiTheme="minorHAnsi" w:cstheme="minorBidi"/>
            <w:noProof/>
            <w:sz w:val="22"/>
            <w:szCs w:val="22"/>
          </w:rPr>
          <w:tab/>
        </w:r>
        <w:r w:rsidR="00696D8E" w:rsidRPr="005967FA">
          <w:rPr>
            <w:rStyle w:val="Hyperlink"/>
            <w:noProof/>
          </w:rPr>
          <w:t>Други данъци</w:t>
        </w:r>
        <w:r w:rsidR="00696D8E">
          <w:rPr>
            <w:noProof/>
            <w:webHidden/>
          </w:rPr>
          <w:tab/>
        </w:r>
        <w:r w:rsidR="00696D8E">
          <w:rPr>
            <w:noProof/>
            <w:webHidden/>
          </w:rPr>
          <w:fldChar w:fldCharType="begin"/>
        </w:r>
        <w:r w:rsidR="00696D8E">
          <w:rPr>
            <w:noProof/>
            <w:webHidden/>
          </w:rPr>
          <w:instrText xml:space="preserve"> PAGEREF _Toc176351922 \h </w:instrText>
        </w:r>
        <w:r w:rsidR="00696D8E">
          <w:rPr>
            <w:noProof/>
            <w:webHidden/>
          </w:rPr>
        </w:r>
        <w:r w:rsidR="00696D8E">
          <w:rPr>
            <w:noProof/>
            <w:webHidden/>
          </w:rPr>
          <w:fldChar w:fldCharType="separate"/>
        </w:r>
        <w:r>
          <w:rPr>
            <w:noProof/>
            <w:webHidden/>
          </w:rPr>
          <w:t>28</w:t>
        </w:r>
        <w:r w:rsidR="00696D8E">
          <w:rPr>
            <w:noProof/>
            <w:webHidden/>
          </w:rPr>
          <w:fldChar w:fldCharType="end"/>
        </w:r>
      </w:hyperlink>
    </w:p>
    <w:p w14:paraId="1C800A94" w14:textId="7302541E" w:rsidR="00696D8E" w:rsidRDefault="0053056D">
      <w:pPr>
        <w:pStyle w:val="TOC3"/>
        <w:rPr>
          <w:rFonts w:asciiTheme="minorHAnsi" w:eastAsiaTheme="minorEastAsia" w:hAnsiTheme="minorHAnsi" w:cstheme="minorBidi"/>
          <w:noProof/>
          <w:sz w:val="22"/>
          <w:szCs w:val="22"/>
        </w:rPr>
      </w:pPr>
      <w:hyperlink w:anchor="_Toc176351923" w:history="1">
        <w:r w:rsidR="00696D8E" w:rsidRPr="005967FA">
          <w:rPr>
            <w:rStyle w:val="Hyperlink"/>
            <w:noProof/>
          </w:rPr>
          <w:t>1.3</w:t>
        </w:r>
        <w:r w:rsidR="00696D8E">
          <w:rPr>
            <w:rFonts w:asciiTheme="minorHAnsi" w:eastAsiaTheme="minorEastAsia" w:hAnsiTheme="minorHAnsi" w:cstheme="minorBidi"/>
            <w:noProof/>
            <w:sz w:val="22"/>
            <w:szCs w:val="22"/>
          </w:rPr>
          <w:tab/>
        </w:r>
        <w:r w:rsidR="00696D8E" w:rsidRPr="005967FA">
          <w:rPr>
            <w:rStyle w:val="Hyperlink"/>
            <w:noProof/>
          </w:rPr>
          <w:t>Приходи от социални и здравноосигурителни вноски</w:t>
        </w:r>
        <w:r w:rsidR="00696D8E">
          <w:rPr>
            <w:noProof/>
            <w:webHidden/>
          </w:rPr>
          <w:tab/>
        </w:r>
        <w:r w:rsidR="00696D8E">
          <w:rPr>
            <w:noProof/>
            <w:webHidden/>
          </w:rPr>
          <w:fldChar w:fldCharType="begin"/>
        </w:r>
        <w:r w:rsidR="00696D8E">
          <w:rPr>
            <w:noProof/>
            <w:webHidden/>
          </w:rPr>
          <w:instrText xml:space="preserve"> PAGEREF _Toc176351923 \h </w:instrText>
        </w:r>
        <w:r w:rsidR="00696D8E">
          <w:rPr>
            <w:noProof/>
            <w:webHidden/>
          </w:rPr>
        </w:r>
        <w:r w:rsidR="00696D8E">
          <w:rPr>
            <w:noProof/>
            <w:webHidden/>
          </w:rPr>
          <w:fldChar w:fldCharType="separate"/>
        </w:r>
        <w:r>
          <w:rPr>
            <w:noProof/>
            <w:webHidden/>
          </w:rPr>
          <w:t>29</w:t>
        </w:r>
        <w:r w:rsidR="00696D8E">
          <w:rPr>
            <w:noProof/>
            <w:webHidden/>
          </w:rPr>
          <w:fldChar w:fldCharType="end"/>
        </w:r>
      </w:hyperlink>
    </w:p>
    <w:p w14:paraId="77228590" w14:textId="391B19D5" w:rsidR="00696D8E" w:rsidRDefault="0053056D">
      <w:pPr>
        <w:pStyle w:val="TOC3"/>
        <w:rPr>
          <w:rFonts w:asciiTheme="minorHAnsi" w:eastAsiaTheme="minorEastAsia" w:hAnsiTheme="minorHAnsi" w:cstheme="minorBidi"/>
          <w:noProof/>
          <w:sz w:val="22"/>
          <w:szCs w:val="22"/>
        </w:rPr>
      </w:pPr>
      <w:hyperlink w:anchor="_Toc176351924" w:history="1">
        <w:r w:rsidR="00696D8E" w:rsidRPr="005967FA">
          <w:rPr>
            <w:rStyle w:val="Hyperlink"/>
            <w:noProof/>
          </w:rPr>
          <w:t>1.4</w:t>
        </w:r>
        <w:r w:rsidR="00696D8E">
          <w:rPr>
            <w:rFonts w:asciiTheme="minorHAnsi" w:eastAsiaTheme="minorEastAsia" w:hAnsiTheme="minorHAnsi" w:cstheme="minorBidi"/>
            <w:noProof/>
            <w:sz w:val="22"/>
            <w:szCs w:val="22"/>
          </w:rPr>
          <w:tab/>
        </w:r>
        <w:r w:rsidR="00696D8E" w:rsidRPr="005967FA">
          <w:rPr>
            <w:rStyle w:val="Hyperlink"/>
            <w:noProof/>
          </w:rPr>
          <w:t>Косвени данъци</w:t>
        </w:r>
        <w:r w:rsidR="00696D8E">
          <w:rPr>
            <w:noProof/>
            <w:webHidden/>
          </w:rPr>
          <w:tab/>
        </w:r>
        <w:r w:rsidR="00696D8E">
          <w:rPr>
            <w:noProof/>
            <w:webHidden/>
          </w:rPr>
          <w:fldChar w:fldCharType="begin"/>
        </w:r>
        <w:r w:rsidR="00696D8E">
          <w:rPr>
            <w:noProof/>
            <w:webHidden/>
          </w:rPr>
          <w:instrText xml:space="preserve"> PAGEREF _Toc176351924 \h </w:instrText>
        </w:r>
        <w:r w:rsidR="00696D8E">
          <w:rPr>
            <w:noProof/>
            <w:webHidden/>
          </w:rPr>
        </w:r>
        <w:r w:rsidR="00696D8E">
          <w:rPr>
            <w:noProof/>
            <w:webHidden/>
          </w:rPr>
          <w:fldChar w:fldCharType="separate"/>
        </w:r>
        <w:r>
          <w:rPr>
            <w:noProof/>
            <w:webHidden/>
          </w:rPr>
          <w:t>29</w:t>
        </w:r>
        <w:r w:rsidR="00696D8E">
          <w:rPr>
            <w:noProof/>
            <w:webHidden/>
          </w:rPr>
          <w:fldChar w:fldCharType="end"/>
        </w:r>
      </w:hyperlink>
    </w:p>
    <w:p w14:paraId="026ACF31" w14:textId="1D63D2C1" w:rsidR="00696D8E" w:rsidRDefault="0053056D">
      <w:pPr>
        <w:pStyle w:val="TOC3"/>
        <w:rPr>
          <w:rFonts w:asciiTheme="minorHAnsi" w:eastAsiaTheme="minorEastAsia" w:hAnsiTheme="minorHAnsi" w:cstheme="minorBidi"/>
          <w:noProof/>
          <w:sz w:val="22"/>
          <w:szCs w:val="22"/>
        </w:rPr>
      </w:pPr>
      <w:hyperlink w:anchor="_Toc176351925" w:history="1">
        <w:r w:rsidR="00696D8E" w:rsidRPr="005967FA">
          <w:rPr>
            <w:rStyle w:val="Hyperlink"/>
            <w:i/>
            <w:iCs/>
            <w:noProof/>
          </w:rPr>
          <w:t>1.4.1 Данък върху добавената стойност</w:t>
        </w:r>
        <w:r w:rsidR="00696D8E">
          <w:rPr>
            <w:noProof/>
            <w:webHidden/>
          </w:rPr>
          <w:tab/>
        </w:r>
        <w:r w:rsidR="00696D8E">
          <w:rPr>
            <w:noProof/>
            <w:webHidden/>
          </w:rPr>
          <w:fldChar w:fldCharType="begin"/>
        </w:r>
        <w:r w:rsidR="00696D8E">
          <w:rPr>
            <w:noProof/>
            <w:webHidden/>
          </w:rPr>
          <w:instrText xml:space="preserve"> PAGEREF _Toc176351925 \h </w:instrText>
        </w:r>
        <w:r w:rsidR="00696D8E">
          <w:rPr>
            <w:noProof/>
            <w:webHidden/>
          </w:rPr>
        </w:r>
        <w:r w:rsidR="00696D8E">
          <w:rPr>
            <w:noProof/>
            <w:webHidden/>
          </w:rPr>
          <w:fldChar w:fldCharType="separate"/>
        </w:r>
        <w:r>
          <w:rPr>
            <w:noProof/>
            <w:webHidden/>
          </w:rPr>
          <w:t>29</w:t>
        </w:r>
        <w:r w:rsidR="00696D8E">
          <w:rPr>
            <w:noProof/>
            <w:webHidden/>
          </w:rPr>
          <w:fldChar w:fldCharType="end"/>
        </w:r>
      </w:hyperlink>
    </w:p>
    <w:p w14:paraId="569B313D" w14:textId="19B93DDE" w:rsidR="00696D8E" w:rsidRDefault="0053056D">
      <w:pPr>
        <w:pStyle w:val="TOC3"/>
        <w:rPr>
          <w:rFonts w:asciiTheme="minorHAnsi" w:eastAsiaTheme="minorEastAsia" w:hAnsiTheme="minorHAnsi" w:cstheme="minorBidi"/>
          <w:noProof/>
          <w:sz w:val="22"/>
          <w:szCs w:val="22"/>
        </w:rPr>
      </w:pPr>
      <w:hyperlink w:anchor="_Toc176351926" w:history="1">
        <w:r w:rsidR="00696D8E" w:rsidRPr="005967FA">
          <w:rPr>
            <w:rStyle w:val="Hyperlink"/>
            <w:i/>
            <w:iCs/>
            <w:noProof/>
          </w:rPr>
          <w:t>1.4.2 Акцизи</w:t>
        </w:r>
        <w:r w:rsidR="00696D8E">
          <w:rPr>
            <w:noProof/>
            <w:webHidden/>
          </w:rPr>
          <w:tab/>
        </w:r>
        <w:r w:rsidR="00696D8E">
          <w:rPr>
            <w:noProof/>
            <w:webHidden/>
          </w:rPr>
          <w:fldChar w:fldCharType="begin"/>
        </w:r>
        <w:r w:rsidR="00696D8E">
          <w:rPr>
            <w:noProof/>
            <w:webHidden/>
          </w:rPr>
          <w:instrText xml:space="preserve"> PAGEREF _Toc176351926 \h </w:instrText>
        </w:r>
        <w:r w:rsidR="00696D8E">
          <w:rPr>
            <w:noProof/>
            <w:webHidden/>
          </w:rPr>
        </w:r>
        <w:r w:rsidR="00696D8E">
          <w:rPr>
            <w:noProof/>
            <w:webHidden/>
          </w:rPr>
          <w:fldChar w:fldCharType="separate"/>
        </w:r>
        <w:r>
          <w:rPr>
            <w:noProof/>
            <w:webHidden/>
          </w:rPr>
          <w:t>31</w:t>
        </w:r>
        <w:r w:rsidR="00696D8E">
          <w:rPr>
            <w:noProof/>
            <w:webHidden/>
          </w:rPr>
          <w:fldChar w:fldCharType="end"/>
        </w:r>
      </w:hyperlink>
    </w:p>
    <w:p w14:paraId="1ABCD1F9" w14:textId="4681699D" w:rsidR="00696D8E" w:rsidRDefault="0053056D">
      <w:pPr>
        <w:pStyle w:val="TOC3"/>
        <w:rPr>
          <w:rFonts w:asciiTheme="minorHAnsi" w:eastAsiaTheme="minorEastAsia" w:hAnsiTheme="minorHAnsi" w:cstheme="minorBidi"/>
          <w:noProof/>
          <w:sz w:val="22"/>
          <w:szCs w:val="22"/>
        </w:rPr>
      </w:pPr>
      <w:hyperlink w:anchor="_Toc176351927" w:history="1">
        <w:r w:rsidR="00696D8E" w:rsidRPr="005967FA">
          <w:rPr>
            <w:rStyle w:val="Hyperlink"/>
            <w:i/>
            <w:iCs/>
            <w:noProof/>
          </w:rPr>
          <w:t>1.4.3 Данък върху застрахователните премии</w:t>
        </w:r>
        <w:r w:rsidR="00696D8E">
          <w:rPr>
            <w:noProof/>
            <w:webHidden/>
          </w:rPr>
          <w:tab/>
        </w:r>
        <w:r w:rsidR="00696D8E">
          <w:rPr>
            <w:noProof/>
            <w:webHidden/>
          </w:rPr>
          <w:fldChar w:fldCharType="begin"/>
        </w:r>
        <w:r w:rsidR="00696D8E">
          <w:rPr>
            <w:noProof/>
            <w:webHidden/>
          </w:rPr>
          <w:instrText xml:space="preserve"> PAGEREF _Toc176351927 \h </w:instrText>
        </w:r>
        <w:r w:rsidR="00696D8E">
          <w:rPr>
            <w:noProof/>
            <w:webHidden/>
          </w:rPr>
        </w:r>
        <w:r w:rsidR="00696D8E">
          <w:rPr>
            <w:noProof/>
            <w:webHidden/>
          </w:rPr>
          <w:fldChar w:fldCharType="separate"/>
        </w:r>
        <w:r>
          <w:rPr>
            <w:noProof/>
            <w:webHidden/>
          </w:rPr>
          <w:t>31</w:t>
        </w:r>
        <w:r w:rsidR="00696D8E">
          <w:rPr>
            <w:noProof/>
            <w:webHidden/>
          </w:rPr>
          <w:fldChar w:fldCharType="end"/>
        </w:r>
      </w:hyperlink>
    </w:p>
    <w:p w14:paraId="58CFFBA5" w14:textId="1B892B41" w:rsidR="00696D8E" w:rsidRDefault="0053056D">
      <w:pPr>
        <w:pStyle w:val="TOC3"/>
        <w:rPr>
          <w:rFonts w:asciiTheme="minorHAnsi" w:eastAsiaTheme="minorEastAsia" w:hAnsiTheme="minorHAnsi" w:cstheme="minorBidi"/>
          <w:noProof/>
          <w:sz w:val="22"/>
          <w:szCs w:val="22"/>
        </w:rPr>
      </w:pPr>
      <w:hyperlink w:anchor="_Toc176351928" w:history="1">
        <w:r w:rsidR="00696D8E" w:rsidRPr="005967FA">
          <w:rPr>
            <w:rStyle w:val="Hyperlink"/>
            <w:i/>
            <w:iCs/>
            <w:noProof/>
          </w:rPr>
          <w:t>1.4.4 Мита</w:t>
        </w:r>
        <w:r w:rsidR="00696D8E">
          <w:rPr>
            <w:noProof/>
            <w:webHidden/>
          </w:rPr>
          <w:tab/>
        </w:r>
        <w:r w:rsidR="00696D8E">
          <w:rPr>
            <w:noProof/>
            <w:webHidden/>
          </w:rPr>
          <w:fldChar w:fldCharType="begin"/>
        </w:r>
        <w:r w:rsidR="00696D8E">
          <w:rPr>
            <w:noProof/>
            <w:webHidden/>
          </w:rPr>
          <w:instrText xml:space="preserve"> PAGEREF _Toc176351928 \h </w:instrText>
        </w:r>
        <w:r w:rsidR="00696D8E">
          <w:rPr>
            <w:noProof/>
            <w:webHidden/>
          </w:rPr>
        </w:r>
        <w:r w:rsidR="00696D8E">
          <w:rPr>
            <w:noProof/>
            <w:webHidden/>
          </w:rPr>
          <w:fldChar w:fldCharType="separate"/>
        </w:r>
        <w:r>
          <w:rPr>
            <w:noProof/>
            <w:webHidden/>
          </w:rPr>
          <w:t>31</w:t>
        </w:r>
        <w:r w:rsidR="00696D8E">
          <w:rPr>
            <w:noProof/>
            <w:webHidden/>
          </w:rPr>
          <w:fldChar w:fldCharType="end"/>
        </w:r>
      </w:hyperlink>
    </w:p>
    <w:p w14:paraId="3DF5E001" w14:textId="4362E681" w:rsidR="00696D8E" w:rsidRDefault="0053056D">
      <w:pPr>
        <w:pStyle w:val="TOC3"/>
        <w:rPr>
          <w:rFonts w:asciiTheme="minorHAnsi" w:eastAsiaTheme="minorEastAsia" w:hAnsiTheme="minorHAnsi" w:cstheme="minorBidi"/>
          <w:noProof/>
          <w:sz w:val="22"/>
          <w:szCs w:val="22"/>
        </w:rPr>
      </w:pPr>
      <w:hyperlink w:anchor="_Toc176351929" w:history="1">
        <w:r w:rsidR="00696D8E" w:rsidRPr="005967FA">
          <w:rPr>
            <w:rStyle w:val="Hyperlink"/>
            <w:noProof/>
          </w:rPr>
          <w:t>1.5</w:t>
        </w:r>
        <w:r w:rsidR="00696D8E">
          <w:rPr>
            <w:rFonts w:asciiTheme="minorHAnsi" w:eastAsiaTheme="minorEastAsia" w:hAnsiTheme="minorHAnsi" w:cstheme="minorBidi"/>
            <w:noProof/>
            <w:sz w:val="22"/>
            <w:szCs w:val="22"/>
          </w:rPr>
          <w:tab/>
        </w:r>
        <w:r w:rsidR="00696D8E" w:rsidRPr="005967FA">
          <w:rPr>
            <w:rStyle w:val="Hyperlink"/>
            <w:noProof/>
          </w:rPr>
          <w:t>Неданъчни приходи</w:t>
        </w:r>
        <w:r w:rsidR="00696D8E">
          <w:rPr>
            <w:noProof/>
            <w:webHidden/>
          </w:rPr>
          <w:tab/>
        </w:r>
        <w:r w:rsidR="00696D8E">
          <w:rPr>
            <w:noProof/>
            <w:webHidden/>
          </w:rPr>
          <w:fldChar w:fldCharType="begin"/>
        </w:r>
        <w:r w:rsidR="00696D8E">
          <w:rPr>
            <w:noProof/>
            <w:webHidden/>
          </w:rPr>
          <w:instrText xml:space="preserve"> PAGEREF _Toc176351929 \h </w:instrText>
        </w:r>
        <w:r w:rsidR="00696D8E">
          <w:rPr>
            <w:noProof/>
            <w:webHidden/>
          </w:rPr>
        </w:r>
        <w:r w:rsidR="00696D8E">
          <w:rPr>
            <w:noProof/>
            <w:webHidden/>
          </w:rPr>
          <w:fldChar w:fldCharType="separate"/>
        </w:r>
        <w:r>
          <w:rPr>
            <w:noProof/>
            <w:webHidden/>
          </w:rPr>
          <w:t>32</w:t>
        </w:r>
        <w:r w:rsidR="00696D8E">
          <w:rPr>
            <w:noProof/>
            <w:webHidden/>
          </w:rPr>
          <w:fldChar w:fldCharType="end"/>
        </w:r>
      </w:hyperlink>
    </w:p>
    <w:p w14:paraId="1C9F51E5" w14:textId="44298B2A" w:rsidR="00696D8E" w:rsidRDefault="0053056D">
      <w:pPr>
        <w:pStyle w:val="TOC3"/>
        <w:rPr>
          <w:rFonts w:asciiTheme="minorHAnsi" w:eastAsiaTheme="minorEastAsia" w:hAnsiTheme="minorHAnsi" w:cstheme="minorBidi"/>
          <w:noProof/>
          <w:sz w:val="22"/>
          <w:szCs w:val="22"/>
        </w:rPr>
      </w:pPr>
      <w:hyperlink w:anchor="_Toc176351930" w:history="1">
        <w:r w:rsidR="00696D8E" w:rsidRPr="005967FA">
          <w:rPr>
            <w:rStyle w:val="Hyperlink"/>
            <w:noProof/>
          </w:rPr>
          <w:t>1.6</w:t>
        </w:r>
        <w:r w:rsidR="00696D8E">
          <w:rPr>
            <w:rFonts w:asciiTheme="minorHAnsi" w:eastAsiaTheme="minorEastAsia" w:hAnsiTheme="minorHAnsi" w:cstheme="minorBidi"/>
            <w:noProof/>
            <w:sz w:val="22"/>
            <w:szCs w:val="22"/>
          </w:rPr>
          <w:tab/>
        </w:r>
        <w:r w:rsidR="00696D8E" w:rsidRPr="005967FA">
          <w:rPr>
            <w:rStyle w:val="Hyperlink"/>
            <w:noProof/>
          </w:rPr>
          <w:t>Помощи и дарения</w:t>
        </w:r>
        <w:r w:rsidR="00696D8E">
          <w:rPr>
            <w:noProof/>
            <w:webHidden/>
          </w:rPr>
          <w:tab/>
        </w:r>
        <w:r w:rsidR="00696D8E">
          <w:rPr>
            <w:noProof/>
            <w:webHidden/>
          </w:rPr>
          <w:fldChar w:fldCharType="begin"/>
        </w:r>
        <w:r w:rsidR="00696D8E">
          <w:rPr>
            <w:noProof/>
            <w:webHidden/>
          </w:rPr>
          <w:instrText xml:space="preserve"> PAGEREF _Toc176351930 \h </w:instrText>
        </w:r>
        <w:r w:rsidR="00696D8E">
          <w:rPr>
            <w:noProof/>
            <w:webHidden/>
          </w:rPr>
        </w:r>
        <w:r w:rsidR="00696D8E">
          <w:rPr>
            <w:noProof/>
            <w:webHidden/>
          </w:rPr>
          <w:fldChar w:fldCharType="separate"/>
        </w:r>
        <w:r>
          <w:rPr>
            <w:noProof/>
            <w:webHidden/>
          </w:rPr>
          <w:t>32</w:t>
        </w:r>
        <w:r w:rsidR="00696D8E">
          <w:rPr>
            <w:noProof/>
            <w:webHidden/>
          </w:rPr>
          <w:fldChar w:fldCharType="end"/>
        </w:r>
      </w:hyperlink>
    </w:p>
    <w:p w14:paraId="27157544" w14:textId="2E5B5DC6" w:rsidR="00696D8E" w:rsidRDefault="0053056D">
      <w:pPr>
        <w:pStyle w:val="TOC2"/>
        <w:rPr>
          <w:rFonts w:asciiTheme="minorHAnsi" w:eastAsiaTheme="minorEastAsia" w:hAnsiTheme="minorHAnsi" w:cstheme="minorBidi"/>
          <w:bCs w:val="0"/>
          <w:sz w:val="22"/>
          <w:szCs w:val="22"/>
        </w:rPr>
      </w:pPr>
      <w:hyperlink w:anchor="_Toc176351931" w:history="1">
        <w:r w:rsidR="00696D8E" w:rsidRPr="005967FA">
          <w:rPr>
            <w:rStyle w:val="Hyperlink"/>
          </w:rPr>
          <w:t>2.</w:t>
        </w:r>
        <w:r w:rsidR="00696D8E">
          <w:rPr>
            <w:rFonts w:asciiTheme="minorHAnsi" w:eastAsiaTheme="minorEastAsia" w:hAnsiTheme="minorHAnsi" w:cstheme="minorBidi"/>
            <w:bCs w:val="0"/>
            <w:sz w:val="22"/>
            <w:szCs w:val="22"/>
          </w:rPr>
          <w:tab/>
        </w:r>
        <w:r w:rsidR="00696D8E" w:rsidRPr="005967FA">
          <w:rPr>
            <w:rStyle w:val="Hyperlink"/>
          </w:rPr>
          <w:t>Изпълнение на разходите по икономически елементи</w:t>
        </w:r>
        <w:r w:rsidR="00696D8E">
          <w:rPr>
            <w:webHidden/>
          </w:rPr>
          <w:tab/>
        </w:r>
        <w:r w:rsidR="00696D8E">
          <w:rPr>
            <w:webHidden/>
          </w:rPr>
          <w:fldChar w:fldCharType="begin"/>
        </w:r>
        <w:r w:rsidR="00696D8E">
          <w:rPr>
            <w:webHidden/>
          </w:rPr>
          <w:instrText xml:space="preserve"> PAGEREF _Toc176351931 \h </w:instrText>
        </w:r>
        <w:r w:rsidR="00696D8E">
          <w:rPr>
            <w:webHidden/>
          </w:rPr>
        </w:r>
        <w:r w:rsidR="00696D8E">
          <w:rPr>
            <w:webHidden/>
          </w:rPr>
          <w:fldChar w:fldCharType="separate"/>
        </w:r>
        <w:r>
          <w:rPr>
            <w:webHidden/>
          </w:rPr>
          <w:t>32</w:t>
        </w:r>
        <w:r w:rsidR="00696D8E">
          <w:rPr>
            <w:webHidden/>
          </w:rPr>
          <w:fldChar w:fldCharType="end"/>
        </w:r>
      </w:hyperlink>
    </w:p>
    <w:p w14:paraId="7D407895" w14:textId="0113E30B" w:rsidR="00696D8E" w:rsidRDefault="0053056D">
      <w:pPr>
        <w:pStyle w:val="TOC3"/>
        <w:rPr>
          <w:rFonts w:asciiTheme="minorHAnsi" w:eastAsiaTheme="minorEastAsia" w:hAnsiTheme="minorHAnsi" w:cstheme="minorBidi"/>
          <w:noProof/>
          <w:sz w:val="22"/>
          <w:szCs w:val="22"/>
        </w:rPr>
      </w:pPr>
      <w:hyperlink w:anchor="_Toc176351932" w:history="1">
        <w:r w:rsidR="00696D8E" w:rsidRPr="005967FA">
          <w:rPr>
            <w:rStyle w:val="Hyperlink"/>
            <w:noProof/>
          </w:rPr>
          <w:t>2.1</w:t>
        </w:r>
        <w:r w:rsidR="00696D8E">
          <w:rPr>
            <w:rFonts w:asciiTheme="minorHAnsi" w:eastAsiaTheme="minorEastAsia" w:hAnsiTheme="minorHAnsi" w:cstheme="minorBidi"/>
            <w:noProof/>
            <w:sz w:val="22"/>
            <w:szCs w:val="22"/>
          </w:rPr>
          <w:tab/>
        </w:r>
        <w:r w:rsidR="00696D8E" w:rsidRPr="005967FA">
          <w:rPr>
            <w:rStyle w:val="Hyperlink"/>
            <w:noProof/>
          </w:rPr>
          <w:t>Текущи нелихвени разходи</w:t>
        </w:r>
        <w:r w:rsidR="00696D8E">
          <w:rPr>
            <w:noProof/>
            <w:webHidden/>
          </w:rPr>
          <w:tab/>
        </w:r>
        <w:r w:rsidR="00696D8E">
          <w:rPr>
            <w:noProof/>
            <w:webHidden/>
          </w:rPr>
          <w:fldChar w:fldCharType="begin"/>
        </w:r>
        <w:r w:rsidR="00696D8E">
          <w:rPr>
            <w:noProof/>
            <w:webHidden/>
          </w:rPr>
          <w:instrText xml:space="preserve"> PAGEREF _Toc176351932 \h </w:instrText>
        </w:r>
        <w:r w:rsidR="00696D8E">
          <w:rPr>
            <w:noProof/>
            <w:webHidden/>
          </w:rPr>
        </w:r>
        <w:r w:rsidR="00696D8E">
          <w:rPr>
            <w:noProof/>
            <w:webHidden/>
          </w:rPr>
          <w:fldChar w:fldCharType="separate"/>
        </w:r>
        <w:r>
          <w:rPr>
            <w:noProof/>
            <w:webHidden/>
          </w:rPr>
          <w:t>33</w:t>
        </w:r>
        <w:r w:rsidR="00696D8E">
          <w:rPr>
            <w:noProof/>
            <w:webHidden/>
          </w:rPr>
          <w:fldChar w:fldCharType="end"/>
        </w:r>
      </w:hyperlink>
    </w:p>
    <w:p w14:paraId="2D5EE5E4" w14:textId="72E27017" w:rsidR="00696D8E" w:rsidRDefault="0053056D">
      <w:pPr>
        <w:pStyle w:val="TOC3"/>
        <w:rPr>
          <w:rFonts w:asciiTheme="minorHAnsi" w:eastAsiaTheme="minorEastAsia" w:hAnsiTheme="minorHAnsi" w:cstheme="minorBidi"/>
          <w:noProof/>
          <w:sz w:val="22"/>
          <w:szCs w:val="22"/>
        </w:rPr>
      </w:pPr>
      <w:hyperlink w:anchor="_Toc176351933" w:history="1">
        <w:r w:rsidR="00696D8E" w:rsidRPr="005967FA">
          <w:rPr>
            <w:rStyle w:val="Hyperlink"/>
            <w:i/>
            <w:noProof/>
          </w:rPr>
          <w:t>2.1.1</w:t>
        </w:r>
        <w:r w:rsidR="00696D8E">
          <w:rPr>
            <w:rFonts w:asciiTheme="minorHAnsi" w:eastAsiaTheme="minorEastAsia" w:hAnsiTheme="minorHAnsi" w:cstheme="minorBidi"/>
            <w:noProof/>
            <w:sz w:val="22"/>
            <w:szCs w:val="22"/>
          </w:rPr>
          <w:tab/>
        </w:r>
        <w:r w:rsidR="00696D8E" w:rsidRPr="005967FA">
          <w:rPr>
            <w:rStyle w:val="Hyperlink"/>
            <w:i/>
            <w:noProof/>
          </w:rPr>
          <w:t>Разходи за персонал</w:t>
        </w:r>
        <w:r w:rsidR="00696D8E">
          <w:rPr>
            <w:noProof/>
            <w:webHidden/>
          </w:rPr>
          <w:tab/>
        </w:r>
        <w:r w:rsidR="00696D8E">
          <w:rPr>
            <w:noProof/>
            <w:webHidden/>
          </w:rPr>
          <w:fldChar w:fldCharType="begin"/>
        </w:r>
        <w:r w:rsidR="00696D8E">
          <w:rPr>
            <w:noProof/>
            <w:webHidden/>
          </w:rPr>
          <w:instrText xml:space="preserve"> PAGEREF _Toc176351933 \h </w:instrText>
        </w:r>
        <w:r w:rsidR="00696D8E">
          <w:rPr>
            <w:noProof/>
            <w:webHidden/>
          </w:rPr>
        </w:r>
        <w:r w:rsidR="00696D8E">
          <w:rPr>
            <w:noProof/>
            <w:webHidden/>
          </w:rPr>
          <w:fldChar w:fldCharType="separate"/>
        </w:r>
        <w:r>
          <w:rPr>
            <w:noProof/>
            <w:webHidden/>
          </w:rPr>
          <w:t>33</w:t>
        </w:r>
        <w:r w:rsidR="00696D8E">
          <w:rPr>
            <w:noProof/>
            <w:webHidden/>
          </w:rPr>
          <w:fldChar w:fldCharType="end"/>
        </w:r>
      </w:hyperlink>
    </w:p>
    <w:p w14:paraId="2CA615C0" w14:textId="52001401" w:rsidR="00696D8E" w:rsidRDefault="0053056D">
      <w:pPr>
        <w:pStyle w:val="TOC3"/>
        <w:rPr>
          <w:rFonts w:asciiTheme="minorHAnsi" w:eastAsiaTheme="minorEastAsia" w:hAnsiTheme="minorHAnsi" w:cstheme="minorBidi"/>
          <w:noProof/>
          <w:sz w:val="22"/>
          <w:szCs w:val="22"/>
        </w:rPr>
      </w:pPr>
      <w:hyperlink w:anchor="_Toc176351934" w:history="1">
        <w:r w:rsidR="00696D8E" w:rsidRPr="005967FA">
          <w:rPr>
            <w:rStyle w:val="Hyperlink"/>
            <w:i/>
            <w:noProof/>
          </w:rPr>
          <w:t>2.1.2</w:t>
        </w:r>
        <w:r w:rsidR="00696D8E">
          <w:rPr>
            <w:rFonts w:asciiTheme="minorHAnsi" w:eastAsiaTheme="minorEastAsia" w:hAnsiTheme="minorHAnsi" w:cstheme="minorBidi"/>
            <w:noProof/>
            <w:sz w:val="22"/>
            <w:szCs w:val="22"/>
          </w:rPr>
          <w:tab/>
        </w:r>
        <w:r w:rsidR="00696D8E" w:rsidRPr="005967FA">
          <w:rPr>
            <w:rStyle w:val="Hyperlink"/>
            <w:i/>
            <w:noProof/>
          </w:rPr>
          <w:t>Издръжка</w:t>
        </w:r>
        <w:r w:rsidR="00696D8E">
          <w:rPr>
            <w:noProof/>
            <w:webHidden/>
          </w:rPr>
          <w:tab/>
        </w:r>
        <w:r w:rsidR="00696D8E">
          <w:rPr>
            <w:noProof/>
            <w:webHidden/>
          </w:rPr>
          <w:fldChar w:fldCharType="begin"/>
        </w:r>
        <w:r w:rsidR="00696D8E">
          <w:rPr>
            <w:noProof/>
            <w:webHidden/>
          </w:rPr>
          <w:instrText xml:space="preserve"> PAGEREF _Toc176351934 \h </w:instrText>
        </w:r>
        <w:r w:rsidR="00696D8E">
          <w:rPr>
            <w:noProof/>
            <w:webHidden/>
          </w:rPr>
        </w:r>
        <w:r w:rsidR="00696D8E">
          <w:rPr>
            <w:noProof/>
            <w:webHidden/>
          </w:rPr>
          <w:fldChar w:fldCharType="separate"/>
        </w:r>
        <w:r>
          <w:rPr>
            <w:noProof/>
            <w:webHidden/>
          </w:rPr>
          <w:t>34</w:t>
        </w:r>
        <w:r w:rsidR="00696D8E">
          <w:rPr>
            <w:noProof/>
            <w:webHidden/>
          </w:rPr>
          <w:fldChar w:fldCharType="end"/>
        </w:r>
      </w:hyperlink>
    </w:p>
    <w:p w14:paraId="7A9D29E2" w14:textId="3C30B314" w:rsidR="00696D8E" w:rsidRDefault="0053056D">
      <w:pPr>
        <w:pStyle w:val="TOC3"/>
        <w:rPr>
          <w:rFonts w:asciiTheme="minorHAnsi" w:eastAsiaTheme="minorEastAsia" w:hAnsiTheme="minorHAnsi" w:cstheme="minorBidi"/>
          <w:noProof/>
          <w:sz w:val="22"/>
          <w:szCs w:val="22"/>
        </w:rPr>
      </w:pPr>
      <w:hyperlink w:anchor="_Toc176351935" w:history="1">
        <w:r w:rsidR="00696D8E" w:rsidRPr="005967FA">
          <w:rPr>
            <w:rStyle w:val="Hyperlink"/>
            <w:i/>
            <w:noProof/>
          </w:rPr>
          <w:t>2.1.3</w:t>
        </w:r>
        <w:r w:rsidR="00696D8E">
          <w:rPr>
            <w:rFonts w:asciiTheme="minorHAnsi" w:eastAsiaTheme="minorEastAsia" w:hAnsiTheme="minorHAnsi" w:cstheme="minorBidi"/>
            <w:noProof/>
            <w:sz w:val="22"/>
            <w:szCs w:val="22"/>
          </w:rPr>
          <w:tab/>
        </w:r>
        <w:r w:rsidR="00696D8E" w:rsidRPr="005967FA">
          <w:rPr>
            <w:rStyle w:val="Hyperlink"/>
            <w:i/>
            <w:noProof/>
          </w:rPr>
          <w:t>Субсидии</w:t>
        </w:r>
        <w:r w:rsidR="00696D8E">
          <w:rPr>
            <w:noProof/>
            <w:webHidden/>
          </w:rPr>
          <w:tab/>
        </w:r>
        <w:r w:rsidR="00696D8E">
          <w:rPr>
            <w:noProof/>
            <w:webHidden/>
          </w:rPr>
          <w:fldChar w:fldCharType="begin"/>
        </w:r>
        <w:r w:rsidR="00696D8E">
          <w:rPr>
            <w:noProof/>
            <w:webHidden/>
          </w:rPr>
          <w:instrText xml:space="preserve"> PAGEREF _Toc176351935 \h </w:instrText>
        </w:r>
        <w:r w:rsidR="00696D8E">
          <w:rPr>
            <w:noProof/>
            <w:webHidden/>
          </w:rPr>
        </w:r>
        <w:r w:rsidR="00696D8E">
          <w:rPr>
            <w:noProof/>
            <w:webHidden/>
          </w:rPr>
          <w:fldChar w:fldCharType="separate"/>
        </w:r>
        <w:r>
          <w:rPr>
            <w:noProof/>
            <w:webHidden/>
          </w:rPr>
          <w:t>34</w:t>
        </w:r>
        <w:r w:rsidR="00696D8E">
          <w:rPr>
            <w:noProof/>
            <w:webHidden/>
          </w:rPr>
          <w:fldChar w:fldCharType="end"/>
        </w:r>
      </w:hyperlink>
    </w:p>
    <w:p w14:paraId="7A5CB9B6" w14:textId="0A869EDA" w:rsidR="00696D8E" w:rsidRDefault="0053056D">
      <w:pPr>
        <w:pStyle w:val="TOC3"/>
        <w:rPr>
          <w:rFonts w:asciiTheme="minorHAnsi" w:eastAsiaTheme="minorEastAsia" w:hAnsiTheme="minorHAnsi" w:cstheme="minorBidi"/>
          <w:noProof/>
          <w:sz w:val="22"/>
          <w:szCs w:val="22"/>
        </w:rPr>
      </w:pPr>
      <w:hyperlink w:anchor="_Toc176351936" w:history="1">
        <w:r w:rsidR="00696D8E" w:rsidRPr="005967FA">
          <w:rPr>
            <w:rStyle w:val="Hyperlink"/>
            <w:i/>
            <w:noProof/>
          </w:rPr>
          <w:t>2.1.4</w:t>
        </w:r>
        <w:r w:rsidR="00696D8E">
          <w:rPr>
            <w:rFonts w:asciiTheme="minorHAnsi" w:eastAsiaTheme="minorEastAsia" w:hAnsiTheme="minorHAnsi" w:cstheme="minorBidi"/>
            <w:noProof/>
            <w:sz w:val="22"/>
            <w:szCs w:val="22"/>
          </w:rPr>
          <w:tab/>
        </w:r>
        <w:r w:rsidR="00696D8E" w:rsidRPr="005967FA">
          <w:rPr>
            <w:rStyle w:val="Hyperlink"/>
            <w:i/>
            <w:noProof/>
          </w:rPr>
          <w:t>Социални и здравноосигурителни плащания</w:t>
        </w:r>
        <w:r w:rsidR="00696D8E">
          <w:rPr>
            <w:noProof/>
            <w:webHidden/>
          </w:rPr>
          <w:tab/>
        </w:r>
        <w:r w:rsidR="00696D8E">
          <w:rPr>
            <w:noProof/>
            <w:webHidden/>
          </w:rPr>
          <w:fldChar w:fldCharType="begin"/>
        </w:r>
        <w:r w:rsidR="00696D8E">
          <w:rPr>
            <w:noProof/>
            <w:webHidden/>
          </w:rPr>
          <w:instrText xml:space="preserve"> PAGEREF _Toc176351936 \h </w:instrText>
        </w:r>
        <w:r w:rsidR="00696D8E">
          <w:rPr>
            <w:noProof/>
            <w:webHidden/>
          </w:rPr>
        </w:r>
        <w:r w:rsidR="00696D8E">
          <w:rPr>
            <w:noProof/>
            <w:webHidden/>
          </w:rPr>
          <w:fldChar w:fldCharType="separate"/>
        </w:r>
        <w:r>
          <w:rPr>
            <w:noProof/>
            <w:webHidden/>
          </w:rPr>
          <w:t>36</w:t>
        </w:r>
        <w:r w:rsidR="00696D8E">
          <w:rPr>
            <w:noProof/>
            <w:webHidden/>
          </w:rPr>
          <w:fldChar w:fldCharType="end"/>
        </w:r>
      </w:hyperlink>
    </w:p>
    <w:p w14:paraId="524D69A3" w14:textId="3D38DFD0" w:rsidR="00696D8E" w:rsidRDefault="0053056D">
      <w:pPr>
        <w:pStyle w:val="TOC3"/>
        <w:rPr>
          <w:rFonts w:asciiTheme="minorHAnsi" w:eastAsiaTheme="minorEastAsia" w:hAnsiTheme="minorHAnsi" w:cstheme="minorBidi"/>
          <w:noProof/>
          <w:sz w:val="22"/>
          <w:szCs w:val="22"/>
        </w:rPr>
      </w:pPr>
      <w:hyperlink w:anchor="_Toc176351937" w:history="1">
        <w:r w:rsidR="00696D8E" w:rsidRPr="005967FA">
          <w:rPr>
            <w:rStyle w:val="Hyperlink"/>
            <w:noProof/>
          </w:rPr>
          <w:t>2.1</w:t>
        </w:r>
        <w:r w:rsidR="00696D8E">
          <w:rPr>
            <w:rFonts w:asciiTheme="minorHAnsi" w:eastAsiaTheme="minorEastAsia" w:hAnsiTheme="minorHAnsi" w:cstheme="minorBidi"/>
            <w:noProof/>
            <w:sz w:val="22"/>
            <w:szCs w:val="22"/>
          </w:rPr>
          <w:tab/>
        </w:r>
        <w:r w:rsidR="00696D8E" w:rsidRPr="005967FA">
          <w:rPr>
            <w:rStyle w:val="Hyperlink"/>
            <w:noProof/>
          </w:rPr>
          <w:t>Капиталови разходи</w:t>
        </w:r>
        <w:r w:rsidR="00696D8E">
          <w:rPr>
            <w:noProof/>
            <w:webHidden/>
          </w:rPr>
          <w:tab/>
        </w:r>
        <w:r w:rsidR="00696D8E">
          <w:rPr>
            <w:noProof/>
            <w:webHidden/>
          </w:rPr>
          <w:fldChar w:fldCharType="begin"/>
        </w:r>
        <w:r w:rsidR="00696D8E">
          <w:rPr>
            <w:noProof/>
            <w:webHidden/>
          </w:rPr>
          <w:instrText xml:space="preserve"> PAGEREF _Toc176351937 \h </w:instrText>
        </w:r>
        <w:r w:rsidR="00696D8E">
          <w:rPr>
            <w:noProof/>
            <w:webHidden/>
          </w:rPr>
        </w:r>
        <w:r w:rsidR="00696D8E">
          <w:rPr>
            <w:noProof/>
            <w:webHidden/>
          </w:rPr>
          <w:fldChar w:fldCharType="separate"/>
        </w:r>
        <w:r>
          <w:rPr>
            <w:noProof/>
            <w:webHidden/>
          </w:rPr>
          <w:t>37</w:t>
        </w:r>
        <w:r w:rsidR="00696D8E">
          <w:rPr>
            <w:noProof/>
            <w:webHidden/>
          </w:rPr>
          <w:fldChar w:fldCharType="end"/>
        </w:r>
      </w:hyperlink>
    </w:p>
    <w:p w14:paraId="7EDA690E" w14:textId="73F3D423" w:rsidR="00696D8E" w:rsidRDefault="0053056D">
      <w:pPr>
        <w:pStyle w:val="TOC3"/>
        <w:rPr>
          <w:rFonts w:asciiTheme="minorHAnsi" w:eastAsiaTheme="minorEastAsia" w:hAnsiTheme="minorHAnsi" w:cstheme="minorBidi"/>
          <w:noProof/>
          <w:sz w:val="22"/>
          <w:szCs w:val="22"/>
        </w:rPr>
      </w:pPr>
      <w:hyperlink w:anchor="_Toc176351938" w:history="1">
        <w:r w:rsidR="00696D8E" w:rsidRPr="005967FA">
          <w:rPr>
            <w:rStyle w:val="Hyperlink"/>
            <w:noProof/>
          </w:rPr>
          <w:t>2.2</w:t>
        </w:r>
        <w:r w:rsidR="00696D8E">
          <w:rPr>
            <w:rFonts w:asciiTheme="minorHAnsi" w:eastAsiaTheme="minorEastAsia" w:hAnsiTheme="minorHAnsi" w:cstheme="minorBidi"/>
            <w:noProof/>
            <w:sz w:val="22"/>
            <w:szCs w:val="22"/>
          </w:rPr>
          <w:tab/>
        </w:r>
        <w:r w:rsidR="00696D8E" w:rsidRPr="005967FA">
          <w:rPr>
            <w:rStyle w:val="Hyperlink"/>
            <w:noProof/>
          </w:rPr>
          <w:t>Предоставени текущи и капиталови трансфери за чужбина</w:t>
        </w:r>
        <w:r w:rsidR="00696D8E">
          <w:rPr>
            <w:noProof/>
            <w:webHidden/>
          </w:rPr>
          <w:tab/>
        </w:r>
        <w:r w:rsidR="00696D8E">
          <w:rPr>
            <w:noProof/>
            <w:webHidden/>
          </w:rPr>
          <w:fldChar w:fldCharType="begin"/>
        </w:r>
        <w:r w:rsidR="00696D8E">
          <w:rPr>
            <w:noProof/>
            <w:webHidden/>
          </w:rPr>
          <w:instrText xml:space="preserve"> PAGEREF _Toc176351938 \h </w:instrText>
        </w:r>
        <w:r w:rsidR="00696D8E">
          <w:rPr>
            <w:noProof/>
            <w:webHidden/>
          </w:rPr>
        </w:r>
        <w:r w:rsidR="00696D8E">
          <w:rPr>
            <w:noProof/>
            <w:webHidden/>
          </w:rPr>
          <w:fldChar w:fldCharType="separate"/>
        </w:r>
        <w:r>
          <w:rPr>
            <w:noProof/>
            <w:webHidden/>
          </w:rPr>
          <w:t>38</w:t>
        </w:r>
        <w:r w:rsidR="00696D8E">
          <w:rPr>
            <w:noProof/>
            <w:webHidden/>
          </w:rPr>
          <w:fldChar w:fldCharType="end"/>
        </w:r>
      </w:hyperlink>
    </w:p>
    <w:p w14:paraId="1BFD2BEF" w14:textId="5D989E89" w:rsidR="00696D8E" w:rsidRDefault="0053056D">
      <w:pPr>
        <w:pStyle w:val="TOC3"/>
        <w:rPr>
          <w:rFonts w:asciiTheme="minorHAnsi" w:eastAsiaTheme="minorEastAsia" w:hAnsiTheme="minorHAnsi" w:cstheme="minorBidi"/>
          <w:noProof/>
          <w:sz w:val="22"/>
          <w:szCs w:val="22"/>
        </w:rPr>
      </w:pPr>
      <w:hyperlink w:anchor="_Toc176351939" w:history="1">
        <w:r w:rsidR="00696D8E" w:rsidRPr="005967FA">
          <w:rPr>
            <w:rStyle w:val="Hyperlink"/>
            <w:noProof/>
          </w:rPr>
          <w:t>2.3</w:t>
        </w:r>
        <w:r w:rsidR="00696D8E">
          <w:rPr>
            <w:rFonts w:asciiTheme="minorHAnsi" w:eastAsiaTheme="minorEastAsia" w:hAnsiTheme="minorHAnsi" w:cstheme="minorBidi"/>
            <w:noProof/>
            <w:sz w:val="22"/>
            <w:szCs w:val="22"/>
          </w:rPr>
          <w:tab/>
        </w:r>
        <w:r w:rsidR="00696D8E" w:rsidRPr="005967FA">
          <w:rPr>
            <w:rStyle w:val="Hyperlink"/>
            <w:noProof/>
          </w:rPr>
          <w:t>Лихвени разходи</w:t>
        </w:r>
        <w:r w:rsidR="00696D8E">
          <w:rPr>
            <w:noProof/>
            <w:webHidden/>
          </w:rPr>
          <w:tab/>
        </w:r>
        <w:r w:rsidR="00696D8E">
          <w:rPr>
            <w:noProof/>
            <w:webHidden/>
          </w:rPr>
          <w:fldChar w:fldCharType="begin"/>
        </w:r>
        <w:r w:rsidR="00696D8E">
          <w:rPr>
            <w:noProof/>
            <w:webHidden/>
          </w:rPr>
          <w:instrText xml:space="preserve"> PAGEREF _Toc176351939 \h </w:instrText>
        </w:r>
        <w:r w:rsidR="00696D8E">
          <w:rPr>
            <w:noProof/>
            <w:webHidden/>
          </w:rPr>
        </w:r>
        <w:r w:rsidR="00696D8E">
          <w:rPr>
            <w:noProof/>
            <w:webHidden/>
          </w:rPr>
          <w:fldChar w:fldCharType="separate"/>
        </w:r>
        <w:r>
          <w:rPr>
            <w:noProof/>
            <w:webHidden/>
          </w:rPr>
          <w:t>38</w:t>
        </w:r>
        <w:r w:rsidR="00696D8E">
          <w:rPr>
            <w:noProof/>
            <w:webHidden/>
          </w:rPr>
          <w:fldChar w:fldCharType="end"/>
        </w:r>
      </w:hyperlink>
    </w:p>
    <w:p w14:paraId="5A8B2E63" w14:textId="75D400F6" w:rsidR="00696D8E" w:rsidRDefault="0053056D">
      <w:pPr>
        <w:pStyle w:val="TOC3"/>
        <w:rPr>
          <w:rFonts w:asciiTheme="minorHAnsi" w:eastAsiaTheme="minorEastAsia" w:hAnsiTheme="minorHAnsi" w:cstheme="minorBidi"/>
          <w:noProof/>
          <w:sz w:val="22"/>
          <w:szCs w:val="22"/>
        </w:rPr>
      </w:pPr>
      <w:hyperlink w:anchor="_Toc176351940" w:history="1">
        <w:r w:rsidR="00696D8E" w:rsidRPr="005967FA">
          <w:rPr>
            <w:rStyle w:val="Hyperlink"/>
            <w:noProof/>
          </w:rPr>
          <w:t>2.4</w:t>
        </w:r>
        <w:r w:rsidR="00696D8E">
          <w:rPr>
            <w:rFonts w:asciiTheme="minorHAnsi" w:eastAsiaTheme="minorEastAsia" w:hAnsiTheme="minorHAnsi" w:cstheme="minorBidi"/>
            <w:noProof/>
            <w:sz w:val="22"/>
            <w:szCs w:val="22"/>
          </w:rPr>
          <w:tab/>
        </w:r>
        <w:r w:rsidR="00696D8E" w:rsidRPr="005967FA">
          <w:rPr>
            <w:rStyle w:val="Hyperlink"/>
            <w:noProof/>
          </w:rPr>
          <w:t>Вноска на България в бюджета на Европейския съюз</w:t>
        </w:r>
        <w:r w:rsidR="00696D8E">
          <w:rPr>
            <w:noProof/>
            <w:webHidden/>
          </w:rPr>
          <w:tab/>
        </w:r>
        <w:r w:rsidR="00696D8E">
          <w:rPr>
            <w:noProof/>
            <w:webHidden/>
          </w:rPr>
          <w:fldChar w:fldCharType="begin"/>
        </w:r>
        <w:r w:rsidR="00696D8E">
          <w:rPr>
            <w:noProof/>
            <w:webHidden/>
          </w:rPr>
          <w:instrText xml:space="preserve"> PAGEREF _Toc176351940 \h </w:instrText>
        </w:r>
        <w:r w:rsidR="00696D8E">
          <w:rPr>
            <w:noProof/>
            <w:webHidden/>
          </w:rPr>
        </w:r>
        <w:r w:rsidR="00696D8E">
          <w:rPr>
            <w:noProof/>
            <w:webHidden/>
          </w:rPr>
          <w:fldChar w:fldCharType="separate"/>
        </w:r>
        <w:r>
          <w:rPr>
            <w:noProof/>
            <w:webHidden/>
          </w:rPr>
          <w:t>38</w:t>
        </w:r>
        <w:r w:rsidR="00696D8E">
          <w:rPr>
            <w:noProof/>
            <w:webHidden/>
          </w:rPr>
          <w:fldChar w:fldCharType="end"/>
        </w:r>
      </w:hyperlink>
    </w:p>
    <w:p w14:paraId="287F7F82" w14:textId="6A7C3C0B" w:rsidR="00696D8E" w:rsidRDefault="0053056D">
      <w:pPr>
        <w:pStyle w:val="TOC2"/>
        <w:rPr>
          <w:rFonts w:asciiTheme="minorHAnsi" w:eastAsiaTheme="minorEastAsia" w:hAnsiTheme="minorHAnsi" w:cstheme="minorBidi"/>
          <w:bCs w:val="0"/>
          <w:sz w:val="22"/>
          <w:szCs w:val="22"/>
        </w:rPr>
      </w:pPr>
      <w:hyperlink w:anchor="_Toc176351941" w:history="1">
        <w:r w:rsidR="00696D8E" w:rsidRPr="005967FA">
          <w:rPr>
            <w:rStyle w:val="Hyperlink"/>
          </w:rPr>
          <w:t>3.</w:t>
        </w:r>
        <w:r w:rsidR="00696D8E">
          <w:rPr>
            <w:rFonts w:asciiTheme="minorHAnsi" w:eastAsiaTheme="minorEastAsia" w:hAnsiTheme="minorHAnsi" w:cstheme="minorBidi"/>
            <w:bCs w:val="0"/>
            <w:sz w:val="22"/>
            <w:szCs w:val="22"/>
          </w:rPr>
          <w:tab/>
        </w:r>
        <w:r w:rsidR="00696D8E" w:rsidRPr="005967FA">
          <w:rPr>
            <w:rStyle w:val="Hyperlink"/>
          </w:rPr>
          <w:t>Просрочени задължения и вземания към 30.06.2024 г.</w:t>
        </w:r>
        <w:r w:rsidR="00696D8E">
          <w:rPr>
            <w:webHidden/>
          </w:rPr>
          <w:tab/>
        </w:r>
        <w:r w:rsidR="00696D8E">
          <w:rPr>
            <w:webHidden/>
          </w:rPr>
          <w:fldChar w:fldCharType="begin"/>
        </w:r>
        <w:r w:rsidR="00696D8E">
          <w:rPr>
            <w:webHidden/>
          </w:rPr>
          <w:instrText xml:space="preserve"> PAGEREF _Toc176351941 \h </w:instrText>
        </w:r>
        <w:r w:rsidR="00696D8E">
          <w:rPr>
            <w:webHidden/>
          </w:rPr>
        </w:r>
        <w:r w:rsidR="00696D8E">
          <w:rPr>
            <w:webHidden/>
          </w:rPr>
          <w:fldChar w:fldCharType="separate"/>
        </w:r>
        <w:r>
          <w:rPr>
            <w:webHidden/>
          </w:rPr>
          <w:t>39</w:t>
        </w:r>
        <w:r w:rsidR="00696D8E">
          <w:rPr>
            <w:webHidden/>
          </w:rPr>
          <w:fldChar w:fldCharType="end"/>
        </w:r>
      </w:hyperlink>
    </w:p>
    <w:p w14:paraId="3E4B5526" w14:textId="305868F0" w:rsidR="00696D8E" w:rsidRDefault="0053056D">
      <w:pPr>
        <w:pStyle w:val="TOC3"/>
        <w:rPr>
          <w:rFonts w:asciiTheme="minorHAnsi" w:eastAsiaTheme="minorEastAsia" w:hAnsiTheme="minorHAnsi" w:cstheme="minorBidi"/>
          <w:noProof/>
          <w:sz w:val="22"/>
          <w:szCs w:val="22"/>
        </w:rPr>
      </w:pPr>
      <w:hyperlink w:anchor="_Toc176351942" w:history="1">
        <w:r w:rsidR="00696D8E" w:rsidRPr="005967FA">
          <w:rPr>
            <w:rStyle w:val="Hyperlink"/>
            <w:noProof/>
          </w:rPr>
          <w:t>3.1</w:t>
        </w:r>
        <w:r w:rsidR="00696D8E">
          <w:rPr>
            <w:rFonts w:asciiTheme="minorHAnsi" w:eastAsiaTheme="minorEastAsia" w:hAnsiTheme="minorHAnsi" w:cstheme="minorBidi"/>
            <w:noProof/>
            <w:sz w:val="22"/>
            <w:szCs w:val="22"/>
          </w:rPr>
          <w:tab/>
        </w:r>
        <w:r w:rsidR="00696D8E" w:rsidRPr="005967FA">
          <w:rPr>
            <w:rStyle w:val="Hyperlink"/>
            <w:noProof/>
          </w:rPr>
          <w:t>Просрочени задължения</w:t>
        </w:r>
        <w:r w:rsidR="00696D8E">
          <w:rPr>
            <w:noProof/>
            <w:webHidden/>
          </w:rPr>
          <w:tab/>
        </w:r>
        <w:r w:rsidR="00696D8E">
          <w:rPr>
            <w:noProof/>
            <w:webHidden/>
          </w:rPr>
          <w:fldChar w:fldCharType="begin"/>
        </w:r>
        <w:r w:rsidR="00696D8E">
          <w:rPr>
            <w:noProof/>
            <w:webHidden/>
          </w:rPr>
          <w:instrText xml:space="preserve"> PAGEREF _Toc176351942 \h </w:instrText>
        </w:r>
        <w:r w:rsidR="00696D8E">
          <w:rPr>
            <w:noProof/>
            <w:webHidden/>
          </w:rPr>
        </w:r>
        <w:r w:rsidR="00696D8E">
          <w:rPr>
            <w:noProof/>
            <w:webHidden/>
          </w:rPr>
          <w:fldChar w:fldCharType="separate"/>
        </w:r>
        <w:r>
          <w:rPr>
            <w:noProof/>
            <w:webHidden/>
          </w:rPr>
          <w:t>39</w:t>
        </w:r>
        <w:r w:rsidR="00696D8E">
          <w:rPr>
            <w:noProof/>
            <w:webHidden/>
          </w:rPr>
          <w:fldChar w:fldCharType="end"/>
        </w:r>
      </w:hyperlink>
    </w:p>
    <w:p w14:paraId="6B0E721C" w14:textId="0C019EBA" w:rsidR="00696D8E" w:rsidRDefault="0053056D">
      <w:pPr>
        <w:pStyle w:val="TOC3"/>
        <w:rPr>
          <w:rFonts w:asciiTheme="minorHAnsi" w:eastAsiaTheme="minorEastAsia" w:hAnsiTheme="minorHAnsi" w:cstheme="minorBidi"/>
          <w:noProof/>
          <w:sz w:val="22"/>
          <w:szCs w:val="22"/>
        </w:rPr>
      </w:pPr>
      <w:hyperlink w:anchor="_Toc176351943" w:history="1">
        <w:r w:rsidR="00696D8E" w:rsidRPr="005967FA">
          <w:rPr>
            <w:rStyle w:val="Hyperlink"/>
            <w:noProof/>
          </w:rPr>
          <w:t>3.2</w:t>
        </w:r>
        <w:r w:rsidR="00696D8E">
          <w:rPr>
            <w:rFonts w:asciiTheme="minorHAnsi" w:eastAsiaTheme="minorEastAsia" w:hAnsiTheme="minorHAnsi" w:cstheme="minorBidi"/>
            <w:noProof/>
            <w:sz w:val="22"/>
            <w:szCs w:val="22"/>
          </w:rPr>
          <w:tab/>
        </w:r>
        <w:r w:rsidR="00696D8E" w:rsidRPr="005967FA">
          <w:rPr>
            <w:rStyle w:val="Hyperlink"/>
            <w:noProof/>
          </w:rPr>
          <w:t>Просрочени вземания</w:t>
        </w:r>
        <w:r w:rsidR="00696D8E">
          <w:rPr>
            <w:noProof/>
            <w:webHidden/>
          </w:rPr>
          <w:tab/>
        </w:r>
        <w:r w:rsidR="00696D8E">
          <w:rPr>
            <w:noProof/>
            <w:webHidden/>
          </w:rPr>
          <w:fldChar w:fldCharType="begin"/>
        </w:r>
        <w:r w:rsidR="00696D8E">
          <w:rPr>
            <w:noProof/>
            <w:webHidden/>
          </w:rPr>
          <w:instrText xml:space="preserve"> PAGEREF _Toc176351943 \h </w:instrText>
        </w:r>
        <w:r w:rsidR="00696D8E">
          <w:rPr>
            <w:noProof/>
            <w:webHidden/>
          </w:rPr>
        </w:r>
        <w:r w:rsidR="00696D8E">
          <w:rPr>
            <w:noProof/>
            <w:webHidden/>
          </w:rPr>
          <w:fldChar w:fldCharType="separate"/>
        </w:r>
        <w:r>
          <w:rPr>
            <w:noProof/>
            <w:webHidden/>
          </w:rPr>
          <w:t>39</w:t>
        </w:r>
        <w:r w:rsidR="00696D8E">
          <w:rPr>
            <w:noProof/>
            <w:webHidden/>
          </w:rPr>
          <w:fldChar w:fldCharType="end"/>
        </w:r>
      </w:hyperlink>
    </w:p>
    <w:p w14:paraId="243C9E2D" w14:textId="02B0CEB2" w:rsidR="00696D8E" w:rsidRDefault="0053056D">
      <w:pPr>
        <w:pStyle w:val="TOC2"/>
        <w:rPr>
          <w:rFonts w:asciiTheme="minorHAnsi" w:eastAsiaTheme="minorEastAsia" w:hAnsiTheme="minorHAnsi" w:cstheme="minorBidi"/>
          <w:bCs w:val="0"/>
          <w:sz w:val="22"/>
          <w:szCs w:val="22"/>
        </w:rPr>
      </w:pPr>
      <w:hyperlink w:anchor="_Toc176351944" w:history="1">
        <w:r w:rsidR="00696D8E" w:rsidRPr="005967FA">
          <w:rPr>
            <w:rStyle w:val="Hyperlink"/>
          </w:rPr>
          <w:t>4.</w:t>
        </w:r>
        <w:r w:rsidR="00696D8E">
          <w:rPr>
            <w:rFonts w:asciiTheme="minorHAnsi" w:eastAsiaTheme="minorEastAsia" w:hAnsiTheme="minorHAnsi" w:cstheme="minorBidi"/>
            <w:bCs w:val="0"/>
            <w:sz w:val="22"/>
            <w:szCs w:val="22"/>
          </w:rPr>
          <w:tab/>
        </w:r>
        <w:r w:rsidR="00696D8E" w:rsidRPr="005967FA">
          <w:rPr>
            <w:rStyle w:val="Hyperlink"/>
          </w:rPr>
          <w:t>Изпълнение на показателите в частта на финансирането по консолидираната фискална програма към 30.06.2024 година</w:t>
        </w:r>
        <w:r w:rsidR="00696D8E">
          <w:rPr>
            <w:webHidden/>
          </w:rPr>
          <w:tab/>
        </w:r>
        <w:r w:rsidR="00696D8E">
          <w:rPr>
            <w:webHidden/>
          </w:rPr>
          <w:fldChar w:fldCharType="begin"/>
        </w:r>
        <w:r w:rsidR="00696D8E">
          <w:rPr>
            <w:webHidden/>
          </w:rPr>
          <w:instrText xml:space="preserve"> PAGEREF _Toc176351944 \h </w:instrText>
        </w:r>
        <w:r w:rsidR="00696D8E">
          <w:rPr>
            <w:webHidden/>
          </w:rPr>
        </w:r>
        <w:r w:rsidR="00696D8E">
          <w:rPr>
            <w:webHidden/>
          </w:rPr>
          <w:fldChar w:fldCharType="separate"/>
        </w:r>
        <w:r>
          <w:rPr>
            <w:webHidden/>
          </w:rPr>
          <w:t>41</w:t>
        </w:r>
        <w:r w:rsidR="00696D8E">
          <w:rPr>
            <w:webHidden/>
          </w:rPr>
          <w:fldChar w:fldCharType="end"/>
        </w:r>
      </w:hyperlink>
    </w:p>
    <w:p w14:paraId="448CDD85" w14:textId="266581D1" w:rsidR="00696D8E" w:rsidRDefault="0053056D">
      <w:pPr>
        <w:pStyle w:val="TOC3"/>
        <w:rPr>
          <w:rFonts w:asciiTheme="minorHAnsi" w:eastAsiaTheme="minorEastAsia" w:hAnsiTheme="minorHAnsi" w:cstheme="minorBidi"/>
          <w:noProof/>
          <w:sz w:val="22"/>
          <w:szCs w:val="22"/>
        </w:rPr>
      </w:pPr>
      <w:hyperlink w:anchor="_Toc176351945" w:history="1">
        <w:r w:rsidR="00696D8E" w:rsidRPr="005967FA">
          <w:rPr>
            <w:rStyle w:val="Hyperlink"/>
            <w:noProof/>
          </w:rPr>
          <w:t>4.1</w:t>
        </w:r>
        <w:r w:rsidR="00696D8E">
          <w:rPr>
            <w:rFonts w:asciiTheme="minorHAnsi" w:eastAsiaTheme="minorEastAsia" w:hAnsiTheme="minorHAnsi" w:cstheme="minorBidi"/>
            <w:noProof/>
            <w:sz w:val="22"/>
            <w:szCs w:val="22"/>
          </w:rPr>
          <w:tab/>
        </w:r>
        <w:r w:rsidR="00696D8E" w:rsidRPr="005967FA">
          <w:rPr>
            <w:rStyle w:val="Hyperlink"/>
            <w:noProof/>
          </w:rPr>
          <w:t>Външно финансиране</w:t>
        </w:r>
        <w:r w:rsidR="00696D8E">
          <w:rPr>
            <w:noProof/>
            <w:webHidden/>
          </w:rPr>
          <w:tab/>
        </w:r>
        <w:r w:rsidR="00696D8E">
          <w:rPr>
            <w:noProof/>
            <w:webHidden/>
          </w:rPr>
          <w:fldChar w:fldCharType="begin"/>
        </w:r>
        <w:r w:rsidR="00696D8E">
          <w:rPr>
            <w:noProof/>
            <w:webHidden/>
          </w:rPr>
          <w:instrText xml:space="preserve"> PAGEREF _Toc176351945 \h </w:instrText>
        </w:r>
        <w:r w:rsidR="00696D8E">
          <w:rPr>
            <w:noProof/>
            <w:webHidden/>
          </w:rPr>
        </w:r>
        <w:r w:rsidR="00696D8E">
          <w:rPr>
            <w:noProof/>
            <w:webHidden/>
          </w:rPr>
          <w:fldChar w:fldCharType="separate"/>
        </w:r>
        <w:r>
          <w:rPr>
            <w:noProof/>
            <w:webHidden/>
          </w:rPr>
          <w:t>41</w:t>
        </w:r>
        <w:r w:rsidR="00696D8E">
          <w:rPr>
            <w:noProof/>
            <w:webHidden/>
          </w:rPr>
          <w:fldChar w:fldCharType="end"/>
        </w:r>
      </w:hyperlink>
    </w:p>
    <w:p w14:paraId="6B1B017E" w14:textId="5A4B3E1F" w:rsidR="00696D8E" w:rsidRDefault="0053056D">
      <w:pPr>
        <w:pStyle w:val="TOC3"/>
        <w:rPr>
          <w:rFonts w:asciiTheme="minorHAnsi" w:eastAsiaTheme="minorEastAsia" w:hAnsiTheme="minorHAnsi" w:cstheme="minorBidi"/>
          <w:noProof/>
          <w:sz w:val="22"/>
          <w:szCs w:val="22"/>
        </w:rPr>
      </w:pPr>
      <w:hyperlink w:anchor="_Toc176351946" w:history="1">
        <w:r w:rsidR="00696D8E" w:rsidRPr="005967FA">
          <w:rPr>
            <w:rStyle w:val="Hyperlink"/>
            <w:noProof/>
          </w:rPr>
          <w:t>4.2</w:t>
        </w:r>
        <w:r w:rsidR="00696D8E">
          <w:rPr>
            <w:rFonts w:asciiTheme="minorHAnsi" w:eastAsiaTheme="minorEastAsia" w:hAnsiTheme="minorHAnsi" w:cstheme="minorBidi"/>
            <w:noProof/>
            <w:sz w:val="22"/>
            <w:szCs w:val="22"/>
          </w:rPr>
          <w:tab/>
        </w:r>
        <w:r w:rsidR="00696D8E" w:rsidRPr="005967FA">
          <w:rPr>
            <w:rStyle w:val="Hyperlink"/>
            <w:noProof/>
          </w:rPr>
          <w:t>Вътрешно финансиране</w:t>
        </w:r>
        <w:r w:rsidR="00696D8E">
          <w:rPr>
            <w:noProof/>
            <w:webHidden/>
          </w:rPr>
          <w:tab/>
        </w:r>
        <w:r w:rsidR="00696D8E">
          <w:rPr>
            <w:noProof/>
            <w:webHidden/>
          </w:rPr>
          <w:fldChar w:fldCharType="begin"/>
        </w:r>
        <w:r w:rsidR="00696D8E">
          <w:rPr>
            <w:noProof/>
            <w:webHidden/>
          </w:rPr>
          <w:instrText xml:space="preserve"> PAGEREF _Toc176351946 \h </w:instrText>
        </w:r>
        <w:r w:rsidR="00696D8E">
          <w:rPr>
            <w:noProof/>
            <w:webHidden/>
          </w:rPr>
        </w:r>
        <w:r w:rsidR="00696D8E">
          <w:rPr>
            <w:noProof/>
            <w:webHidden/>
          </w:rPr>
          <w:fldChar w:fldCharType="separate"/>
        </w:r>
        <w:r>
          <w:rPr>
            <w:noProof/>
            <w:webHidden/>
          </w:rPr>
          <w:t>42</w:t>
        </w:r>
        <w:r w:rsidR="00696D8E">
          <w:rPr>
            <w:noProof/>
            <w:webHidden/>
          </w:rPr>
          <w:fldChar w:fldCharType="end"/>
        </w:r>
      </w:hyperlink>
    </w:p>
    <w:p w14:paraId="0615383C" w14:textId="3CB24D08" w:rsidR="00696D8E" w:rsidRDefault="0053056D">
      <w:pPr>
        <w:pStyle w:val="TOC3"/>
        <w:rPr>
          <w:rFonts w:asciiTheme="minorHAnsi" w:eastAsiaTheme="minorEastAsia" w:hAnsiTheme="minorHAnsi" w:cstheme="minorBidi"/>
          <w:noProof/>
          <w:sz w:val="22"/>
          <w:szCs w:val="22"/>
        </w:rPr>
      </w:pPr>
      <w:hyperlink w:anchor="_Toc176351947" w:history="1">
        <w:r w:rsidR="00696D8E" w:rsidRPr="005967FA">
          <w:rPr>
            <w:rStyle w:val="Hyperlink"/>
            <w:noProof/>
          </w:rPr>
          <w:t>4.3</w:t>
        </w:r>
        <w:r w:rsidR="00696D8E">
          <w:rPr>
            <w:rFonts w:asciiTheme="minorHAnsi" w:eastAsiaTheme="minorEastAsia" w:hAnsiTheme="minorHAnsi" w:cstheme="minorBidi"/>
            <w:noProof/>
            <w:sz w:val="22"/>
            <w:szCs w:val="22"/>
          </w:rPr>
          <w:tab/>
        </w:r>
        <w:r w:rsidR="00696D8E" w:rsidRPr="005967FA">
          <w:rPr>
            <w:rStyle w:val="Hyperlink"/>
            <w:noProof/>
          </w:rPr>
          <w:t>Приватизация на дялове, акции и участия</w:t>
        </w:r>
        <w:r w:rsidR="00696D8E">
          <w:rPr>
            <w:noProof/>
            <w:webHidden/>
          </w:rPr>
          <w:tab/>
        </w:r>
        <w:r w:rsidR="00696D8E">
          <w:rPr>
            <w:noProof/>
            <w:webHidden/>
          </w:rPr>
          <w:fldChar w:fldCharType="begin"/>
        </w:r>
        <w:r w:rsidR="00696D8E">
          <w:rPr>
            <w:noProof/>
            <w:webHidden/>
          </w:rPr>
          <w:instrText xml:space="preserve"> PAGEREF _Toc176351947 \h </w:instrText>
        </w:r>
        <w:r w:rsidR="00696D8E">
          <w:rPr>
            <w:noProof/>
            <w:webHidden/>
          </w:rPr>
        </w:r>
        <w:r w:rsidR="00696D8E">
          <w:rPr>
            <w:noProof/>
            <w:webHidden/>
          </w:rPr>
          <w:fldChar w:fldCharType="separate"/>
        </w:r>
        <w:r>
          <w:rPr>
            <w:noProof/>
            <w:webHidden/>
          </w:rPr>
          <w:t>43</w:t>
        </w:r>
        <w:r w:rsidR="00696D8E">
          <w:rPr>
            <w:noProof/>
            <w:webHidden/>
          </w:rPr>
          <w:fldChar w:fldCharType="end"/>
        </w:r>
      </w:hyperlink>
    </w:p>
    <w:p w14:paraId="771B1A34" w14:textId="434ABD67" w:rsidR="00696D8E" w:rsidRDefault="0053056D">
      <w:pPr>
        <w:pStyle w:val="TOC1"/>
        <w:rPr>
          <w:rFonts w:asciiTheme="minorHAnsi" w:eastAsiaTheme="minorEastAsia" w:hAnsiTheme="minorHAnsi" w:cstheme="minorBidi"/>
          <w:sz w:val="22"/>
          <w:szCs w:val="22"/>
          <w:lang w:val="bg-BG"/>
        </w:rPr>
      </w:pPr>
      <w:hyperlink w:anchor="_Toc176351948" w:history="1">
        <w:r w:rsidR="00696D8E" w:rsidRPr="005967FA">
          <w:rPr>
            <w:rStyle w:val="Hyperlink"/>
          </w:rPr>
          <w:t>IV</w:t>
        </w:r>
        <w:r w:rsidR="00696D8E" w:rsidRPr="005967FA">
          <w:rPr>
            <w:rStyle w:val="Hyperlink"/>
            <w:lang w:val="ru-RU"/>
          </w:rPr>
          <w:t>. ДЪРЖАВЕН БЮДЖЕТ, БЮДЖЕТИ НА ОБЩИНИТЕ, НА СОЦИАЛНООСИГУРИТЕЛНИТЕ ФОНДОВЕ И БЮДЖЕТИ ПО ЧЛ.13, АЛ.3 И АЛ.4 ОТ ЗАКОНА ЗА ПУБЛИЧНИТЕ ФИНАНСИ</w:t>
        </w:r>
        <w:r w:rsidR="00696D8E">
          <w:rPr>
            <w:webHidden/>
          </w:rPr>
          <w:tab/>
        </w:r>
        <w:r w:rsidR="00696D8E">
          <w:rPr>
            <w:webHidden/>
          </w:rPr>
          <w:fldChar w:fldCharType="begin"/>
        </w:r>
        <w:r w:rsidR="00696D8E">
          <w:rPr>
            <w:webHidden/>
          </w:rPr>
          <w:instrText xml:space="preserve"> PAGEREF _Toc176351948 \h </w:instrText>
        </w:r>
        <w:r w:rsidR="00696D8E">
          <w:rPr>
            <w:webHidden/>
          </w:rPr>
        </w:r>
        <w:r w:rsidR="00696D8E">
          <w:rPr>
            <w:webHidden/>
          </w:rPr>
          <w:fldChar w:fldCharType="separate"/>
        </w:r>
        <w:r>
          <w:rPr>
            <w:webHidden/>
          </w:rPr>
          <w:t>44</w:t>
        </w:r>
        <w:r w:rsidR="00696D8E">
          <w:rPr>
            <w:webHidden/>
          </w:rPr>
          <w:fldChar w:fldCharType="end"/>
        </w:r>
      </w:hyperlink>
    </w:p>
    <w:p w14:paraId="65C936DF" w14:textId="2E1CD7A2" w:rsidR="00696D8E" w:rsidRDefault="0053056D">
      <w:pPr>
        <w:pStyle w:val="TOC2"/>
        <w:rPr>
          <w:rFonts w:asciiTheme="minorHAnsi" w:eastAsiaTheme="minorEastAsia" w:hAnsiTheme="minorHAnsi" w:cstheme="minorBidi"/>
          <w:bCs w:val="0"/>
          <w:sz w:val="22"/>
          <w:szCs w:val="22"/>
        </w:rPr>
      </w:pPr>
      <w:hyperlink w:anchor="_Toc176351949" w:history="1">
        <w:r w:rsidR="00696D8E" w:rsidRPr="005967FA">
          <w:rPr>
            <w:rStyle w:val="Hyperlink"/>
          </w:rPr>
          <w:t>1.</w:t>
        </w:r>
        <w:r w:rsidR="00696D8E">
          <w:rPr>
            <w:rFonts w:asciiTheme="minorHAnsi" w:eastAsiaTheme="minorEastAsia" w:hAnsiTheme="minorHAnsi" w:cstheme="minorBidi"/>
            <w:bCs w:val="0"/>
            <w:sz w:val="22"/>
            <w:szCs w:val="22"/>
          </w:rPr>
          <w:tab/>
        </w:r>
        <w:r w:rsidR="00696D8E" w:rsidRPr="005967FA">
          <w:rPr>
            <w:rStyle w:val="Hyperlink"/>
          </w:rPr>
          <w:t>Държавен бюджет</w:t>
        </w:r>
        <w:r w:rsidR="00696D8E">
          <w:rPr>
            <w:webHidden/>
          </w:rPr>
          <w:tab/>
        </w:r>
        <w:r w:rsidR="00696D8E">
          <w:rPr>
            <w:webHidden/>
          </w:rPr>
          <w:fldChar w:fldCharType="begin"/>
        </w:r>
        <w:r w:rsidR="00696D8E">
          <w:rPr>
            <w:webHidden/>
          </w:rPr>
          <w:instrText xml:space="preserve"> PAGEREF _Toc176351949 \h </w:instrText>
        </w:r>
        <w:r w:rsidR="00696D8E">
          <w:rPr>
            <w:webHidden/>
          </w:rPr>
        </w:r>
        <w:r w:rsidR="00696D8E">
          <w:rPr>
            <w:webHidden/>
          </w:rPr>
          <w:fldChar w:fldCharType="separate"/>
        </w:r>
        <w:r>
          <w:rPr>
            <w:webHidden/>
          </w:rPr>
          <w:t>44</w:t>
        </w:r>
        <w:r w:rsidR="00696D8E">
          <w:rPr>
            <w:webHidden/>
          </w:rPr>
          <w:fldChar w:fldCharType="end"/>
        </w:r>
      </w:hyperlink>
    </w:p>
    <w:p w14:paraId="734AFE1F" w14:textId="5EE6F376" w:rsidR="00696D8E" w:rsidRDefault="0053056D">
      <w:pPr>
        <w:pStyle w:val="TOC3"/>
        <w:rPr>
          <w:rFonts w:asciiTheme="minorHAnsi" w:eastAsiaTheme="minorEastAsia" w:hAnsiTheme="minorHAnsi" w:cstheme="minorBidi"/>
          <w:noProof/>
          <w:sz w:val="22"/>
          <w:szCs w:val="22"/>
        </w:rPr>
      </w:pPr>
      <w:hyperlink w:anchor="_Toc176351950" w:history="1">
        <w:r w:rsidR="00696D8E" w:rsidRPr="005967FA">
          <w:rPr>
            <w:rStyle w:val="Hyperlink"/>
            <w:noProof/>
          </w:rPr>
          <w:t>1.1</w:t>
        </w:r>
        <w:r w:rsidR="00696D8E">
          <w:rPr>
            <w:rFonts w:asciiTheme="minorHAnsi" w:eastAsiaTheme="minorEastAsia" w:hAnsiTheme="minorHAnsi" w:cstheme="minorBidi"/>
            <w:noProof/>
            <w:sz w:val="22"/>
            <w:szCs w:val="22"/>
          </w:rPr>
          <w:tab/>
        </w:r>
        <w:r w:rsidR="00696D8E" w:rsidRPr="005967FA">
          <w:rPr>
            <w:rStyle w:val="Hyperlink"/>
            <w:noProof/>
          </w:rPr>
          <w:t>Бюджет на Народното събрание</w:t>
        </w:r>
        <w:r w:rsidR="00696D8E">
          <w:rPr>
            <w:noProof/>
            <w:webHidden/>
          </w:rPr>
          <w:tab/>
        </w:r>
        <w:r w:rsidR="00696D8E">
          <w:rPr>
            <w:noProof/>
            <w:webHidden/>
          </w:rPr>
          <w:fldChar w:fldCharType="begin"/>
        </w:r>
        <w:r w:rsidR="00696D8E">
          <w:rPr>
            <w:noProof/>
            <w:webHidden/>
          </w:rPr>
          <w:instrText xml:space="preserve"> PAGEREF _Toc176351950 \h </w:instrText>
        </w:r>
        <w:r w:rsidR="00696D8E">
          <w:rPr>
            <w:noProof/>
            <w:webHidden/>
          </w:rPr>
        </w:r>
        <w:r w:rsidR="00696D8E">
          <w:rPr>
            <w:noProof/>
            <w:webHidden/>
          </w:rPr>
          <w:fldChar w:fldCharType="separate"/>
        </w:r>
        <w:r>
          <w:rPr>
            <w:noProof/>
            <w:webHidden/>
          </w:rPr>
          <w:t>47</w:t>
        </w:r>
        <w:r w:rsidR="00696D8E">
          <w:rPr>
            <w:noProof/>
            <w:webHidden/>
          </w:rPr>
          <w:fldChar w:fldCharType="end"/>
        </w:r>
      </w:hyperlink>
    </w:p>
    <w:p w14:paraId="1F03E7CB" w14:textId="4ED4E84E" w:rsidR="00696D8E" w:rsidRDefault="0053056D">
      <w:pPr>
        <w:pStyle w:val="TOC3"/>
        <w:rPr>
          <w:rFonts w:asciiTheme="minorHAnsi" w:eastAsiaTheme="minorEastAsia" w:hAnsiTheme="minorHAnsi" w:cstheme="minorBidi"/>
          <w:noProof/>
          <w:sz w:val="22"/>
          <w:szCs w:val="22"/>
        </w:rPr>
      </w:pPr>
      <w:hyperlink w:anchor="_Toc176351951" w:history="1">
        <w:r w:rsidR="00696D8E" w:rsidRPr="005967FA">
          <w:rPr>
            <w:rStyle w:val="Hyperlink"/>
            <w:noProof/>
          </w:rPr>
          <w:t>1.2</w:t>
        </w:r>
        <w:r w:rsidR="00696D8E">
          <w:rPr>
            <w:rFonts w:asciiTheme="minorHAnsi" w:eastAsiaTheme="minorEastAsia" w:hAnsiTheme="minorHAnsi" w:cstheme="minorBidi"/>
            <w:noProof/>
            <w:sz w:val="22"/>
            <w:szCs w:val="22"/>
          </w:rPr>
          <w:tab/>
        </w:r>
        <w:r w:rsidR="00696D8E" w:rsidRPr="005967FA">
          <w:rPr>
            <w:rStyle w:val="Hyperlink"/>
            <w:noProof/>
          </w:rPr>
          <w:t>Бюджет на съдебната  власт</w:t>
        </w:r>
        <w:r w:rsidR="00696D8E">
          <w:rPr>
            <w:noProof/>
            <w:webHidden/>
          </w:rPr>
          <w:tab/>
        </w:r>
        <w:r w:rsidR="00696D8E">
          <w:rPr>
            <w:noProof/>
            <w:webHidden/>
          </w:rPr>
          <w:fldChar w:fldCharType="begin"/>
        </w:r>
        <w:r w:rsidR="00696D8E">
          <w:rPr>
            <w:noProof/>
            <w:webHidden/>
          </w:rPr>
          <w:instrText xml:space="preserve"> PAGEREF _Toc176351951 \h </w:instrText>
        </w:r>
        <w:r w:rsidR="00696D8E">
          <w:rPr>
            <w:noProof/>
            <w:webHidden/>
          </w:rPr>
        </w:r>
        <w:r w:rsidR="00696D8E">
          <w:rPr>
            <w:noProof/>
            <w:webHidden/>
          </w:rPr>
          <w:fldChar w:fldCharType="separate"/>
        </w:r>
        <w:r>
          <w:rPr>
            <w:noProof/>
            <w:webHidden/>
          </w:rPr>
          <w:t>47</w:t>
        </w:r>
        <w:r w:rsidR="00696D8E">
          <w:rPr>
            <w:noProof/>
            <w:webHidden/>
          </w:rPr>
          <w:fldChar w:fldCharType="end"/>
        </w:r>
      </w:hyperlink>
    </w:p>
    <w:p w14:paraId="73E02C63" w14:textId="45224C0D" w:rsidR="00696D8E" w:rsidRDefault="0053056D">
      <w:pPr>
        <w:pStyle w:val="TOC2"/>
        <w:rPr>
          <w:rFonts w:asciiTheme="minorHAnsi" w:eastAsiaTheme="minorEastAsia" w:hAnsiTheme="minorHAnsi" w:cstheme="minorBidi"/>
          <w:bCs w:val="0"/>
          <w:sz w:val="22"/>
          <w:szCs w:val="22"/>
        </w:rPr>
      </w:pPr>
      <w:hyperlink w:anchor="_Toc176351952" w:history="1">
        <w:r w:rsidR="00696D8E" w:rsidRPr="005967FA">
          <w:rPr>
            <w:rStyle w:val="Hyperlink"/>
          </w:rPr>
          <w:t>2.</w:t>
        </w:r>
        <w:r w:rsidR="00696D8E">
          <w:rPr>
            <w:rFonts w:asciiTheme="minorHAnsi" w:eastAsiaTheme="minorEastAsia" w:hAnsiTheme="minorHAnsi" w:cstheme="minorBidi"/>
            <w:bCs w:val="0"/>
            <w:sz w:val="22"/>
            <w:szCs w:val="22"/>
          </w:rPr>
          <w:tab/>
        </w:r>
        <w:r w:rsidR="00696D8E" w:rsidRPr="005967FA">
          <w:rPr>
            <w:rStyle w:val="Hyperlink"/>
          </w:rPr>
          <w:t>Бюджети на общините</w:t>
        </w:r>
        <w:r w:rsidR="00696D8E">
          <w:rPr>
            <w:webHidden/>
          </w:rPr>
          <w:tab/>
        </w:r>
        <w:r w:rsidR="00696D8E">
          <w:rPr>
            <w:webHidden/>
          </w:rPr>
          <w:fldChar w:fldCharType="begin"/>
        </w:r>
        <w:r w:rsidR="00696D8E">
          <w:rPr>
            <w:webHidden/>
          </w:rPr>
          <w:instrText xml:space="preserve"> PAGEREF _Toc176351952 \h </w:instrText>
        </w:r>
        <w:r w:rsidR="00696D8E">
          <w:rPr>
            <w:webHidden/>
          </w:rPr>
        </w:r>
        <w:r w:rsidR="00696D8E">
          <w:rPr>
            <w:webHidden/>
          </w:rPr>
          <w:fldChar w:fldCharType="separate"/>
        </w:r>
        <w:r>
          <w:rPr>
            <w:webHidden/>
          </w:rPr>
          <w:t>47</w:t>
        </w:r>
        <w:r w:rsidR="00696D8E">
          <w:rPr>
            <w:webHidden/>
          </w:rPr>
          <w:fldChar w:fldCharType="end"/>
        </w:r>
      </w:hyperlink>
    </w:p>
    <w:p w14:paraId="7A13C367" w14:textId="720D5460" w:rsidR="00696D8E" w:rsidRDefault="0053056D">
      <w:pPr>
        <w:pStyle w:val="TOC2"/>
        <w:rPr>
          <w:rFonts w:asciiTheme="minorHAnsi" w:eastAsiaTheme="minorEastAsia" w:hAnsiTheme="minorHAnsi" w:cstheme="minorBidi"/>
          <w:bCs w:val="0"/>
          <w:sz w:val="22"/>
          <w:szCs w:val="22"/>
        </w:rPr>
      </w:pPr>
      <w:hyperlink w:anchor="_Toc176351953" w:history="1">
        <w:r w:rsidR="00696D8E" w:rsidRPr="005967FA">
          <w:rPr>
            <w:rStyle w:val="Hyperlink"/>
          </w:rPr>
          <w:t>3.</w:t>
        </w:r>
        <w:r w:rsidR="00696D8E">
          <w:rPr>
            <w:rFonts w:asciiTheme="minorHAnsi" w:eastAsiaTheme="minorEastAsia" w:hAnsiTheme="minorHAnsi" w:cstheme="minorBidi"/>
            <w:bCs w:val="0"/>
            <w:sz w:val="22"/>
            <w:szCs w:val="22"/>
          </w:rPr>
          <w:tab/>
        </w:r>
        <w:r w:rsidR="00696D8E" w:rsidRPr="005967FA">
          <w:rPr>
            <w:rStyle w:val="Hyperlink"/>
          </w:rPr>
          <w:t>Социалноосигурителни фондове</w:t>
        </w:r>
        <w:r w:rsidR="00696D8E">
          <w:rPr>
            <w:webHidden/>
          </w:rPr>
          <w:tab/>
        </w:r>
        <w:r w:rsidR="00696D8E">
          <w:rPr>
            <w:webHidden/>
          </w:rPr>
          <w:fldChar w:fldCharType="begin"/>
        </w:r>
        <w:r w:rsidR="00696D8E">
          <w:rPr>
            <w:webHidden/>
          </w:rPr>
          <w:instrText xml:space="preserve"> PAGEREF _Toc176351953 \h </w:instrText>
        </w:r>
        <w:r w:rsidR="00696D8E">
          <w:rPr>
            <w:webHidden/>
          </w:rPr>
        </w:r>
        <w:r w:rsidR="00696D8E">
          <w:rPr>
            <w:webHidden/>
          </w:rPr>
          <w:fldChar w:fldCharType="separate"/>
        </w:r>
        <w:r>
          <w:rPr>
            <w:webHidden/>
          </w:rPr>
          <w:t>49</w:t>
        </w:r>
        <w:r w:rsidR="00696D8E">
          <w:rPr>
            <w:webHidden/>
          </w:rPr>
          <w:fldChar w:fldCharType="end"/>
        </w:r>
      </w:hyperlink>
    </w:p>
    <w:p w14:paraId="633C46EB" w14:textId="1291CEA3" w:rsidR="00696D8E" w:rsidRDefault="0053056D">
      <w:pPr>
        <w:pStyle w:val="TOC3"/>
        <w:rPr>
          <w:rFonts w:asciiTheme="minorHAnsi" w:eastAsiaTheme="minorEastAsia" w:hAnsiTheme="minorHAnsi" w:cstheme="minorBidi"/>
          <w:noProof/>
          <w:sz w:val="22"/>
          <w:szCs w:val="22"/>
        </w:rPr>
      </w:pPr>
      <w:hyperlink w:anchor="_Toc176351954" w:history="1">
        <w:r w:rsidR="00696D8E" w:rsidRPr="005967FA">
          <w:rPr>
            <w:rStyle w:val="Hyperlink"/>
            <w:noProof/>
          </w:rPr>
          <w:t>3.1</w:t>
        </w:r>
        <w:r w:rsidR="00696D8E">
          <w:rPr>
            <w:rFonts w:asciiTheme="minorHAnsi" w:eastAsiaTheme="minorEastAsia" w:hAnsiTheme="minorHAnsi" w:cstheme="minorBidi"/>
            <w:noProof/>
            <w:sz w:val="22"/>
            <w:szCs w:val="22"/>
          </w:rPr>
          <w:tab/>
        </w:r>
        <w:r w:rsidR="00696D8E" w:rsidRPr="005967FA">
          <w:rPr>
            <w:rStyle w:val="Hyperlink"/>
            <w:noProof/>
          </w:rPr>
          <w:t>Държавно обществено осигуряване</w:t>
        </w:r>
        <w:r w:rsidR="00696D8E">
          <w:rPr>
            <w:noProof/>
            <w:webHidden/>
          </w:rPr>
          <w:tab/>
        </w:r>
        <w:r w:rsidR="00696D8E">
          <w:rPr>
            <w:noProof/>
            <w:webHidden/>
          </w:rPr>
          <w:fldChar w:fldCharType="begin"/>
        </w:r>
        <w:r w:rsidR="00696D8E">
          <w:rPr>
            <w:noProof/>
            <w:webHidden/>
          </w:rPr>
          <w:instrText xml:space="preserve"> PAGEREF _Toc176351954 \h </w:instrText>
        </w:r>
        <w:r w:rsidR="00696D8E">
          <w:rPr>
            <w:noProof/>
            <w:webHidden/>
          </w:rPr>
        </w:r>
        <w:r w:rsidR="00696D8E">
          <w:rPr>
            <w:noProof/>
            <w:webHidden/>
          </w:rPr>
          <w:fldChar w:fldCharType="separate"/>
        </w:r>
        <w:r>
          <w:rPr>
            <w:noProof/>
            <w:webHidden/>
          </w:rPr>
          <w:t>49</w:t>
        </w:r>
        <w:r w:rsidR="00696D8E">
          <w:rPr>
            <w:noProof/>
            <w:webHidden/>
          </w:rPr>
          <w:fldChar w:fldCharType="end"/>
        </w:r>
      </w:hyperlink>
    </w:p>
    <w:p w14:paraId="1A7992FE" w14:textId="69A0ABAE" w:rsidR="00696D8E" w:rsidRDefault="0053056D">
      <w:pPr>
        <w:pStyle w:val="TOC3"/>
        <w:rPr>
          <w:rFonts w:asciiTheme="minorHAnsi" w:eastAsiaTheme="minorEastAsia" w:hAnsiTheme="minorHAnsi" w:cstheme="minorBidi"/>
          <w:noProof/>
          <w:sz w:val="22"/>
          <w:szCs w:val="22"/>
        </w:rPr>
      </w:pPr>
      <w:hyperlink w:anchor="_Toc176351955" w:history="1">
        <w:r w:rsidR="00696D8E" w:rsidRPr="005967FA">
          <w:rPr>
            <w:rStyle w:val="Hyperlink"/>
            <w:noProof/>
          </w:rPr>
          <w:t>3.2</w:t>
        </w:r>
        <w:r w:rsidR="00696D8E">
          <w:rPr>
            <w:rFonts w:asciiTheme="minorHAnsi" w:eastAsiaTheme="minorEastAsia" w:hAnsiTheme="minorHAnsi" w:cstheme="minorBidi"/>
            <w:noProof/>
            <w:sz w:val="22"/>
            <w:szCs w:val="22"/>
          </w:rPr>
          <w:tab/>
        </w:r>
        <w:r w:rsidR="00696D8E" w:rsidRPr="005967FA">
          <w:rPr>
            <w:rStyle w:val="Hyperlink"/>
            <w:noProof/>
          </w:rPr>
          <w:t>Национална здравноосигурителна каса</w:t>
        </w:r>
        <w:r w:rsidR="00696D8E">
          <w:rPr>
            <w:noProof/>
            <w:webHidden/>
          </w:rPr>
          <w:tab/>
        </w:r>
        <w:r w:rsidR="00696D8E">
          <w:rPr>
            <w:noProof/>
            <w:webHidden/>
          </w:rPr>
          <w:fldChar w:fldCharType="begin"/>
        </w:r>
        <w:r w:rsidR="00696D8E">
          <w:rPr>
            <w:noProof/>
            <w:webHidden/>
          </w:rPr>
          <w:instrText xml:space="preserve"> PAGEREF _Toc176351955 \h </w:instrText>
        </w:r>
        <w:r w:rsidR="00696D8E">
          <w:rPr>
            <w:noProof/>
            <w:webHidden/>
          </w:rPr>
        </w:r>
        <w:r w:rsidR="00696D8E">
          <w:rPr>
            <w:noProof/>
            <w:webHidden/>
          </w:rPr>
          <w:fldChar w:fldCharType="separate"/>
        </w:r>
        <w:r>
          <w:rPr>
            <w:noProof/>
            <w:webHidden/>
          </w:rPr>
          <w:t>50</w:t>
        </w:r>
        <w:r w:rsidR="00696D8E">
          <w:rPr>
            <w:noProof/>
            <w:webHidden/>
          </w:rPr>
          <w:fldChar w:fldCharType="end"/>
        </w:r>
      </w:hyperlink>
    </w:p>
    <w:p w14:paraId="4508EA26" w14:textId="66BCA73B" w:rsidR="00696D8E" w:rsidRDefault="0053056D">
      <w:pPr>
        <w:pStyle w:val="TOC2"/>
        <w:rPr>
          <w:rFonts w:asciiTheme="minorHAnsi" w:eastAsiaTheme="minorEastAsia" w:hAnsiTheme="minorHAnsi" w:cstheme="minorBidi"/>
          <w:bCs w:val="0"/>
          <w:sz w:val="22"/>
          <w:szCs w:val="22"/>
        </w:rPr>
      </w:pPr>
      <w:hyperlink w:anchor="_Toc176351956" w:history="1">
        <w:r w:rsidR="00696D8E" w:rsidRPr="005967FA">
          <w:rPr>
            <w:rStyle w:val="Hyperlink"/>
          </w:rPr>
          <w:t>4.</w:t>
        </w:r>
        <w:r w:rsidR="00696D8E">
          <w:rPr>
            <w:rFonts w:asciiTheme="minorHAnsi" w:eastAsiaTheme="minorEastAsia" w:hAnsiTheme="minorHAnsi" w:cstheme="minorBidi"/>
            <w:bCs w:val="0"/>
            <w:sz w:val="22"/>
            <w:szCs w:val="22"/>
          </w:rPr>
          <w:tab/>
        </w:r>
        <w:r w:rsidR="00696D8E" w:rsidRPr="005967FA">
          <w:rPr>
            <w:rStyle w:val="Hyperlink"/>
          </w:rPr>
          <w:t>Бюджети по чл. 13, ал. 3 на Закона за публичните финанси и бюджет на  Селскостопанска академия</w:t>
        </w:r>
        <w:r w:rsidR="00696D8E">
          <w:rPr>
            <w:webHidden/>
          </w:rPr>
          <w:tab/>
        </w:r>
        <w:r w:rsidR="00696D8E">
          <w:rPr>
            <w:webHidden/>
          </w:rPr>
          <w:fldChar w:fldCharType="begin"/>
        </w:r>
        <w:r w:rsidR="00696D8E">
          <w:rPr>
            <w:webHidden/>
          </w:rPr>
          <w:instrText xml:space="preserve"> PAGEREF _Toc176351956 \h </w:instrText>
        </w:r>
        <w:r w:rsidR="00696D8E">
          <w:rPr>
            <w:webHidden/>
          </w:rPr>
        </w:r>
        <w:r w:rsidR="00696D8E">
          <w:rPr>
            <w:webHidden/>
          </w:rPr>
          <w:fldChar w:fldCharType="separate"/>
        </w:r>
        <w:r>
          <w:rPr>
            <w:webHidden/>
          </w:rPr>
          <w:t>51</w:t>
        </w:r>
        <w:r w:rsidR="00696D8E">
          <w:rPr>
            <w:webHidden/>
          </w:rPr>
          <w:fldChar w:fldCharType="end"/>
        </w:r>
      </w:hyperlink>
    </w:p>
    <w:p w14:paraId="020B7F69" w14:textId="3794197A" w:rsidR="00696D8E" w:rsidRDefault="0053056D">
      <w:pPr>
        <w:pStyle w:val="TOC3"/>
        <w:rPr>
          <w:rFonts w:asciiTheme="minorHAnsi" w:eastAsiaTheme="minorEastAsia" w:hAnsiTheme="minorHAnsi" w:cstheme="minorBidi"/>
          <w:noProof/>
          <w:sz w:val="22"/>
          <w:szCs w:val="22"/>
        </w:rPr>
      </w:pPr>
      <w:hyperlink w:anchor="_Toc176351957" w:history="1">
        <w:r w:rsidR="00696D8E" w:rsidRPr="005967FA">
          <w:rPr>
            <w:rStyle w:val="Hyperlink"/>
            <w:noProof/>
          </w:rPr>
          <w:t>4.1</w:t>
        </w:r>
        <w:r w:rsidR="00696D8E">
          <w:rPr>
            <w:rFonts w:asciiTheme="minorHAnsi" w:eastAsiaTheme="minorEastAsia" w:hAnsiTheme="minorHAnsi" w:cstheme="minorBidi"/>
            <w:noProof/>
            <w:sz w:val="22"/>
            <w:szCs w:val="22"/>
          </w:rPr>
          <w:tab/>
        </w:r>
        <w:r w:rsidR="00696D8E" w:rsidRPr="005967FA">
          <w:rPr>
            <w:rStyle w:val="Hyperlink"/>
            <w:noProof/>
          </w:rPr>
          <w:t>Държавни висши училища</w:t>
        </w:r>
        <w:r w:rsidR="00696D8E">
          <w:rPr>
            <w:noProof/>
            <w:webHidden/>
          </w:rPr>
          <w:tab/>
        </w:r>
        <w:r w:rsidR="00696D8E">
          <w:rPr>
            <w:noProof/>
            <w:webHidden/>
          </w:rPr>
          <w:fldChar w:fldCharType="begin"/>
        </w:r>
        <w:r w:rsidR="00696D8E">
          <w:rPr>
            <w:noProof/>
            <w:webHidden/>
          </w:rPr>
          <w:instrText xml:space="preserve"> PAGEREF _Toc176351957 \h </w:instrText>
        </w:r>
        <w:r w:rsidR="00696D8E">
          <w:rPr>
            <w:noProof/>
            <w:webHidden/>
          </w:rPr>
        </w:r>
        <w:r w:rsidR="00696D8E">
          <w:rPr>
            <w:noProof/>
            <w:webHidden/>
          </w:rPr>
          <w:fldChar w:fldCharType="separate"/>
        </w:r>
        <w:r>
          <w:rPr>
            <w:noProof/>
            <w:webHidden/>
          </w:rPr>
          <w:t>51</w:t>
        </w:r>
        <w:r w:rsidR="00696D8E">
          <w:rPr>
            <w:noProof/>
            <w:webHidden/>
          </w:rPr>
          <w:fldChar w:fldCharType="end"/>
        </w:r>
      </w:hyperlink>
    </w:p>
    <w:p w14:paraId="0E239D30" w14:textId="3586ED6E" w:rsidR="00696D8E" w:rsidRDefault="0053056D">
      <w:pPr>
        <w:pStyle w:val="TOC3"/>
        <w:rPr>
          <w:rFonts w:asciiTheme="minorHAnsi" w:eastAsiaTheme="minorEastAsia" w:hAnsiTheme="minorHAnsi" w:cstheme="minorBidi"/>
          <w:noProof/>
          <w:sz w:val="22"/>
          <w:szCs w:val="22"/>
        </w:rPr>
      </w:pPr>
      <w:hyperlink w:anchor="_Toc176351958" w:history="1">
        <w:r w:rsidR="00696D8E" w:rsidRPr="005967FA">
          <w:rPr>
            <w:rStyle w:val="Hyperlink"/>
            <w:noProof/>
          </w:rPr>
          <w:t>4.2</w:t>
        </w:r>
        <w:r w:rsidR="00696D8E">
          <w:rPr>
            <w:rFonts w:asciiTheme="minorHAnsi" w:eastAsiaTheme="minorEastAsia" w:hAnsiTheme="minorHAnsi" w:cstheme="minorBidi"/>
            <w:noProof/>
            <w:sz w:val="22"/>
            <w:szCs w:val="22"/>
          </w:rPr>
          <w:tab/>
        </w:r>
        <w:r w:rsidR="00696D8E" w:rsidRPr="005967FA">
          <w:rPr>
            <w:rStyle w:val="Hyperlink"/>
            <w:noProof/>
          </w:rPr>
          <w:t>Българска академия на науките</w:t>
        </w:r>
        <w:r w:rsidR="00696D8E">
          <w:rPr>
            <w:noProof/>
            <w:webHidden/>
          </w:rPr>
          <w:tab/>
        </w:r>
        <w:r w:rsidR="00696D8E">
          <w:rPr>
            <w:noProof/>
            <w:webHidden/>
          </w:rPr>
          <w:fldChar w:fldCharType="begin"/>
        </w:r>
        <w:r w:rsidR="00696D8E">
          <w:rPr>
            <w:noProof/>
            <w:webHidden/>
          </w:rPr>
          <w:instrText xml:space="preserve"> PAGEREF _Toc176351958 \h </w:instrText>
        </w:r>
        <w:r w:rsidR="00696D8E">
          <w:rPr>
            <w:noProof/>
            <w:webHidden/>
          </w:rPr>
        </w:r>
        <w:r w:rsidR="00696D8E">
          <w:rPr>
            <w:noProof/>
            <w:webHidden/>
          </w:rPr>
          <w:fldChar w:fldCharType="separate"/>
        </w:r>
        <w:r>
          <w:rPr>
            <w:noProof/>
            <w:webHidden/>
          </w:rPr>
          <w:t>52</w:t>
        </w:r>
        <w:r w:rsidR="00696D8E">
          <w:rPr>
            <w:noProof/>
            <w:webHidden/>
          </w:rPr>
          <w:fldChar w:fldCharType="end"/>
        </w:r>
      </w:hyperlink>
    </w:p>
    <w:p w14:paraId="0751FD34" w14:textId="43C55DE4" w:rsidR="00696D8E" w:rsidRDefault="0053056D">
      <w:pPr>
        <w:pStyle w:val="TOC3"/>
        <w:rPr>
          <w:rFonts w:asciiTheme="minorHAnsi" w:eastAsiaTheme="minorEastAsia" w:hAnsiTheme="minorHAnsi" w:cstheme="minorBidi"/>
          <w:noProof/>
          <w:sz w:val="22"/>
          <w:szCs w:val="22"/>
        </w:rPr>
      </w:pPr>
      <w:hyperlink w:anchor="_Toc176351959" w:history="1">
        <w:r w:rsidR="00696D8E" w:rsidRPr="005967FA">
          <w:rPr>
            <w:rStyle w:val="Hyperlink"/>
            <w:noProof/>
          </w:rPr>
          <w:t>4.3</w:t>
        </w:r>
        <w:r w:rsidR="00696D8E">
          <w:rPr>
            <w:rFonts w:asciiTheme="minorHAnsi" w:eastAsiaTheme="minorEastAsia" w:hAnsiTheme="minorHAnsi" w:cstheme="minorBidi"/>
            <w:noProof/>
            <w:sz w:val="22"/>
            <w:szCs w:val="22"/>
          </w:rPr>
          <w:tab/>
        </w:r>
        <w:r w:rsidR="00696D8E" w:rsidRPr="005967FA">
          <w:rPr>
            <w:rStyle w:val="Hyperlink"/>
            <w:noProof/>
          </w:rPr>
          <w:t>Селскостопанска академия</w:t>
        </w:r>
        <w:r w:rsidR="00696D8E">
          <w:rPr>
            <w:noProof/>
            <w:webHidden/>
          </w:rPr>
          <w:tab/>
        </w:r>
        <w:r w:rsidR="00696D8E">
          <w:rPr>
            <w:noProof/>
            <w:webHidden/>
          </w:rPr>
          <w:fldChar w:fldCharType="begin"/>
        </w:r>
        <w:r w:rsidR="00696D8E">
          <w:rPr>
            <w:noProof/>
            <w:webHidden/>
          </w:rPr>
          <w:instrText xml:space="preserve"> PAGEREF _Toc176351959 \h </w:instrText>
        </w:r>
        <w:r w:rsidR="00696D8E">
          <w:rPr>
            <w:noProof/>
            <w:webHidden/>
          </w:rPr>
        </w:r>
        <w:r w:rsidR="00696D8E">
          <w:rPr>
            <w:noProof/>
            <w:webHidden/>
          </w:rPr>
          <w:fldChar w:fldCharType="separate"/>
        </w:r>
        <w:r>
          <w:rPr>
            <w:noProof/>
            <w:webHidden/>
          </w:rPr>
          <w:t>52</w:t>
        </w:r>
        <w:r w:rsidR="00696D8E">
          <w:rPr>
            <w:noProof/>
            <w:webHidden/>
          </w:rPr>
          <w:fldChar w:fldCharType="end"/>
        </w:r>
      </w:hyperlink>
    </w:p>
    <w:p w14:paraId="6F6B784C" w14:textId="42B17EF8" w:rsidR="00696D8E" w:rsidRDefault="0053056D">
      <w:pPr>
        <w:pStyle w:val="TOC3"/>
        <w:rPr>
          <w:rFonts w:asciiTheme="minorHAnsi" w:eastAsiaTheme="minorEastAsia" w:hAnsiTheme="minorHAnsi" w:cstheme="minorBidi"/>
          <w:noProof/>
          <w:sz w:val="22"/>
          <w:szCs w:val="22"/>
        </w:rPr>
      </w:pPr>
      <w:hyperlink w:anchor="_Toc176351960" w:history="1">
        <w:r w:rsidR="00696D8E" w:rsidRPr="005967FA">
          <w:rPr>
            <w:rStyle w:val="Hyperlink"/>
            <w:noProof/>
          </w:rPr>
          <w:t>4.4</w:t>
        </w:r>
        <w:r w:rsidR="00696D8E">
          <w:rPr>
            <w:rFonts w:asciiTheme="minorHAnsi" w:eastAsiaTheme="minorEastAsia" w:hAnsiTheme="minorHAnsi" w:cstheme="minorBidi"/>
            <w:noProof/>
            <w:sz w:val="22"/>
            <w:szCs w:val="22"/>
          </w:rPr>
          <w:tab/>
        </w:r>
        <w:r w:rsidR="00696D8E" w:rsidRPr="005967FA">
          <w:rPr>
            <w:rStyle w:val="Hyperlink"/>
            <w:noProof/>
          </w:rPr>
          <w:t>Българско национално радио</w:t>
        </w:r>
        <w:r w:rsidR="00696D8E">
          <w:rPr>
            <w:noProof/>
            <w:webHidden/>
          </w:rPr>
          <w:tab/>
        </w:r>
        <w:r w:rsidR="00696D8E">
          <w:rPr>
            <w:noProof/>
            <w:webHidden/>
          </w:rPr>
          <w:fldChar w:fldCharType="begin"/>
        </w:r>
        <w:r w:rsidR="00696D8E">
          <w:rPr>
            <w:noProof/>
            <w:webHidden/>
          </w:rPr>
          <w:instrText xml:space="preserve"> PAGEREF _Toc176351960 \h </w:instrText>
        </w:r>
        <w:r w:rsidR="00696D8E">
          <w:rPr>
            <w:noProof/>
            <w:webHidden/>
          </w:rPr>
        </w:r>
        <w:r w:rsidR="00696D8E">
          <w:rPr>
            <w:noProof/>
            <w:webHidden/>
          </w:rPr>
          <w:fldChar w:fldCharType="separate"/>
        </w:r>
        <w:r>
          <w:rPr>
            <w:noProof/>
            <w:webHidden/>
          </w:rPr>
          <w:t>52</w:t>
        </w:r>
        <w:r w:rsidR="00696D8E">
          <w:rPr>
            <w:noProof/>
            <w:webHidden/>
          </w:rPr>
          <w:fldChar w:fldCharType="end"/>
        </w:r>
      </w:hyperlink>
    </w:p>
    <w:p w14:paraId="08F2F599" w14:textId="50B9F84F" w:rsidR="00696D8E" w:rsidRDefault="0053056D">
      <w:pPr>
        <w:pStyle w:val="TOC3"/>
        <w:rPr>
          <w:rFonts w:asciiTheme="minorHAnsi" w:eastAsiaTheme="minorEastAsia" w:hAnsiTheme="minorHAnsi" w:cstheme="minorBidi"/>
          <w:noProof/>
          <w:sz w:val="22"/>
          <w:szCs w:val="22"/>
        </w:rPr>
      </w:pPr>
      <w:hyperlink w:anchor="_Toc176351961" w:history="1">
        <w:r w:rsidR="00696D8E" w:rsidRPr="005967FA">
          <w:rPr>
            <w:rStyle w:val="Hyperlink"/>
            <w:noProof/>
          </w:rPr>
          <w:t>4.5</w:t>
        </w:r>
        <w:r w:rsidR="00696D8E">
          <w:rPr>
            <w:rFonts w:asciiTheme="minorHAnsi" w:eastAsiaTheme="minorEastAsia" w:hAnsiTheme="minorHAnsi" w:cstheme="minorBidi"/>
            <w:noProof/>
            <w:sz w:val="22"/>
            <w:szCs w:val="22"/>
          </w:rPr>
          <w:tab/>
        </w:r>
        <w:r w:rsidR="00696D8E" w:rsidRPr="005967FA">
          <w:rPr>
            <w:rStyle w:val="Hyperlink"/>
            <w:noProof/>
          </w:rPr>
          <w:t>Българска национална телевизия</w:t>
        </w:r>
        <w:r w:rsidR="00696D8E">
          <w:rPr>
            <w:noProof/>
            <w:webHidden/>
          </w:rPr>
          <w:tab/>
        </w:r>
        <w:r w:rsidR="00696D8E">
          <w:rPr>
            <w:noProof/>
            <w:webHidden/>
          </w:rPr>
          <w:fldChar w:fldCharType="begin"/>
        </w:r>
        <w:r w:rsidR="00696D8E">
          <w:rPr>
            <w:noProof/>
            <w:webHidden/>
          </w:rPr>
          <w:instrText xml:space="preserve"> PAGEREF _Toc176351961 \h </w:instrText>
        </w:r>
        <w:r w:rsidR="00696D8E">
          <w:rPr>
            <w:noProof/>
            <w:webHidden/>
          </w:rPr>
        </w:r>
        <w:r w:rsidR="00696D8E">
          <w:rPr>
            <w:noProof/>
            <w:webHidden/>
          </w:rPr>
          <w:fldChar w:fldCharType="separate"/>
        </w:r>
        <w:r>
          <w:rPr>
            <w:noProof/>
            <w:webHidden/>
          </w:rPr>
          <w:t>52</w:t>
        </w:r>
        <w:r w:rsidR="00696D8E">
          <w:rPr>
            <w:noProof/>
            <w:webHidden/>
          </w:rPr>
          <w:fldChar w:fldCharType="end"/>
        </w:r>
      </w:hyperlink>
    </w:p>
    <w:p w14:paraId="6BC496F7" w14:textId="53102AE8" w:rsidR="00696D8E" w:rsidRDefault="0053056D">
      <w:pPr>
        <w:pStyle w:val="TOC3"/>
        <w:rPr>
          <w:rFonts w:asciiTheme="minorHAnsi" w:eastAsiaTheme="minorEastAsia" w:hAnsiTheme="minorHAnsi" w:cstheme="minorBidi"/>
          <w:noProof/>
          <w:sz w:val="22"/>
          <w:szCs w:val="22"/>
        </w:rPr>
      </w:pPr>
      <w:hyperlink w:anchor="_Toc176351962" w:history="1">
        <w:r w:rsidR="00696D8E" w:rsidRPr="005967FA">
          <w:rPr>
            <w:rStyle w:val="Hyperlink"/>
            <w:noProof/>
          </w:rPr>
          <w:t>4.6</w:t>
        </w:r>
        <w:r w:rsidR="00696D8E">
          <w:rPr>
            <w:rFonts w:asciiTheme="minorHAnsi" w:eastAsiaTheme="minorEastAsia" w:hAnsiTheme="minorHAnsi" w:cstheme="minorBidi"/>
            <w:noProof/>
            <w:sz w:val="22"/>
            <w:szCs w:val="22"/>
          </w:rPr>
          <w:tab/>
        </w:r>
        <w:r w:rsidR="00696D8E" w:rsidRPr="005967FA">
          <w:rPr>
            <w:rStyle w:val="Hyperlink"/>
            <w:noProof/>
          </w:rPr>
          <w:t>Българска телеграфна агенция</w:t>
        </w:r>
        <w:r w:rsidR="00696D8E">
          <w:rPr>
            <w:noProof/>
            <w:webHidden/>
          </w:rPr>
          <w:tab/>
        </w:r>
        <w:r w:rsidR="00696D8E">
          <w:rPr>
            <w:noProof/>
            <w:webHidden/>
          </w:rPr>
          <w:fldChar w:fldCharType="begin"/>
        </w:r>
        <w:r w:rsidR="00696D8E">
          <w:rPr>
            <w:noProof/>
            <w:webHidden/>
          </w:rPr>
          <w:instrText xml:space="preserve"> PAGEREF _Toc176351962 \h </w:instrText>
        </w:r>
        <w:r w:rsidR="00696D8E">
          <w:rPr>
            <w:noProof/>
            <w:webHidden/>
          </w:rPr>
        </w:r>
        <w:r w:rsidR="00696D8E">
          <w:rPr>
            <w:noProof/>
            <w:webHidden/>
          </w:rPr>
          <w:fldChar w:fldCharType="separate"/>
        </w:r>
        <w:r>
          <w:rPr>
            <w:noProof/>
            <w:webHidden/>
          </w:rPr>
          <w:t>53</w:t>
        </w:r>
        <w:r w:rsidR="00696D8E">
          <w:rPr>
            <w:noProof/>
            <w:webHidden/>
          </w:rPr>
          <w:fldChar w:fldCharType="end"/>
        </w:r>
      </w:hyperlink>
    </w:p>
    <w:p w14:paraId="6FE07E42" w14:textId="0CC6716F" w:rsidR="00696D8E" w:rsidRDefault="0053056D">
      <w:pPr>
        <w:pStyle w:val="TOC2"/>
        <w:rPr>
          <w:rFonts w:asciiTheme="minorHAnsi" w:eastAsiaTheme="minorEastAsia" w:hAnsiTheme="minorHAnsi" w:cstheme="minorBidi"/>
          <w:bCs w:val="0"/>
          <w:sz w:val="22"/>
          <w:szCs w:val="22"/>
        </w:rPr>
      </w:pPr>
      <w:hyperlink w:anchor="_Toc176351963" w:history="1">
        <w:r w:rsidR="00696D8E" w:rsidRPr="005967FA">
          <w:rPr>
            <w:rStyle w:val="Hyperlink"/>
          </w:rPr>
          <w:t>5.</w:t>
        </w:r>
        <w:r w:rsidR="00696D8E">
          <w:rPr>
            <w:rFonts w:asciiTheme="minorHAnsi" w:eastAsiaTheme="minorEastAsia" w:hAnsiTheme="minorHAnsi" w:cstheme="minorBidi"/>
            <w:bCs w:val="0"/>
            <w:sz w:val="22"/>
            <w:szCs w:val="22"/>
          </w:rPr>
          <w:tab/>
        </w:r>
        <w:r w:rsidR="00696D8E" w:rsidRPr="005967FA">
          <w:rPr>
            <w:rStyle w:val="Hyperlink"/>
          </w:rPr>
          <w:t>Сметки за средствата от Европейския съюз на бюджетни организации</w:t>
        </w:r>
        <w:r w:rsidR="00696D8E">
          <w:rPr>
            <w:webHidden/>
          </w:rPr>
          <w:tab/>
        </w:r>
        <w:r w:rsidR="00696D8E">
          <w:rPr>
            <w:webHidden/>
          </w:rPr>
          <w:fldChar w:fldCharType="begin"/>
        </w:r>
        <w:r w:rsidR="00696D8E">
          <w:rPr>
            <w:webHidden/>
          </w:rPr>
          <w:instrText xml:space="preserve"> PAGEREF _Toc176351963 \h </w:instrText>
        </w:r>
        <w:r w:rsidR="00696D8E">
          <w:rPr>
            <w:webHidden/>
          </w:rPr>
        </w:r>
        <w:r w:rsidR="00696D8E">
          <w:rPr>
            <w:webHidden/>
          </w:rPr>
          <w:fldChar w:fldCharType="separate"/>
        </w:r>
        <w:r>
          <w:rPr>
            <w:webHidden/>
          </w:rPr>
          <w:t>53</w:t>
        </w:r>
        <w:r w:rsidR="00696D8E">
          <w:rPr>
            <w:webHidden/>
          </w:rPr>
          <w:fldChar w:fldCharType="end"/>
        </w:r>
      </w:hyperlink>
    </w:p>
    <w:p w14:paraId="1258A5FC" w14:textId="26BBAF02" w:rsidR="00696D8E" w:rsidRDefault="0053056D">
      <w:pPr>
        <w:pStyle w:val="TOC3"/>
        <w:rPr>
          <w:rFonts w:asciiTheme="minorHAnsi" w:eastAsiaTheme="minorEastAsia" w:hAnsiTheme="minorHAnsi" w:cstheme="minorBidi"/>
          <w:noProof/>
          <w:sz w:val="22"/>
          <w:szCs w:val="22"/>
        </w:rPr>
      </w:pPr>
      <w:hyperlink w:anchor="_Toc176351964" w:history="1">
        <w:r w:rsidR="00696D8E" w:rsidRPr="005967FA">
          <w:rPr>
            <w:rStyle w:val="Hyperlink"/>
            <w:noProof/>
          </w:rPr>
          <w:t>5.1</w:t>
        </w:r>
        <w:r w:rsidR="00696D8E">
          <w:rPr>
            <w:rFonts w:asciiTheme="minorHAnsi" w:eastAsiaTheme="minorEastAsia" w:hAnsiTheme="minorHAnsi" w:cstheme="minorBidi"/>
            <w:noProof/>
            <w:sz w:val="22"/>
            <w:szCs w:val="22"/>
          </w:rPr>
          <w:tab/>
        </w:r>
        <w:r w:rsidR="00696D8E" w:rsidRPr="005967FA">
          <w:rPr>
            <w:rStyle w:val="Hyperlink"/>
            <w:noProof/>
          </w:rPr>
          <w:t>Сметка за средствата от Европейския съюз на Национален фонд към Министерство на финансите</w:t>
        </w:r>
        <w:r w:rsidR="00696D8E">
          <w:rPr>
            <w:noProof/>
            <w:webHidden/>
          </w:rPr>
          <w:tab/>
        </w:r>
        <w:r w:rsidR="00696D8E">
          <w:rPr>
            <w:noProof/>
            <w:webHidden/>
          </w:rPr>
          <w:fldChar w:fldCharType="begin"/>
        </w:r>
        <w:r w:rsidR="00696D8E">
          <w:rPr>
            <w:noProof/>
            <w:webHidden/>
          </w:rPr>
          <w:instrText xml:space="preserve"> PAGEREF _Toc176351964 \h </w:instrText>
        </w:r>
        <w:r w:rsidR="00696D8E">
          <w:rPr>
            <w:noProof/>
            <w:webHidden/>
          </w:rPr>
        </w:r>
        <w:r w:rsidR="00696D8E">
          <w:rPr>
            <w:noProof/>
            <w:webHidden/>
          </w:rPr>
          <w:fldChar w:fldCharType="separate"/>
        </w:r>
        <w:r>
          <w:rPr>
            <w:noProof/>
            <w:webHidden/>
          </w:rPr>
          <w:t>53</w:t>
        </w:r>
        <w:r w:rsidR="00696D8E">
          <w:rPr>
            <w:noProof/>
            <w:webHidden/>
          </w:rPr>
          <w:fldChar w:fldCharType="end"/>
        </w:r>
      </w:hyperlink>
    </w:p>
    <w:p w14:paraId="6DE47FB3" w14:textId="6D2E0092" w:rsidR="00696D8E" w:rsidRDefault="0053056D">
      <w:pPr>
        <w:pStyle w:val="TOC3"/>
        <w:rPr>
          <w:rFonts w:asciiTheme="minorHAnsi" w:eastAsiaTheme="minorEastAsia" w:hAnsiTheme="minorHAnsi" w:cstheme="minorBidi"/>
          <w:noProof/>
          <w:sz w:val="22"/>
          <w:szCs w:val="22"/>
        </w:rPr>
      </w:pPr>
      <w:hyperlink w:anchor="_Toc176351965" w:history="1">
        <w:r w:rsidR="00696D8E" w:rsidRPr="005967FA">
          <w:rPr>
            <w:rStyle w:val="Hyperlink"/>
            <w:noProof/>
          </w:rPr>
          <w:t>5.2</w:t>
        </w:r>
        <w:r w:rsidR="00696D8E">
          <w:rPr>
            <w:rFonts w:asciiTheme="minorHAnsi" w:eastAsiaTheme="minorEastAsia" w:hAnsiTheme="minorHAnsi" w:cstheme="minorBidi"/>
            <w:noProof/>
            <w:sz w:val="22"/>
            <w:szCs w:val="22"/>
          </w:rPr>
          <w:tab/>
        </w:r>
        <w:r w:rsidR="00696D8E" w:rsidRPr="005967FA">
          <w:rPr>
            <w:rStyle w:val="Hyperlink"/>
            <w:noProof/>
          </w:rPr>
          <w:t>Сметки за средствата от Европейския съюз, администрирани от Разплащателната агенция към Държавен фонд “Земеделие”</w:t>
        </w:r>
        <w:r w:rsidR="00696D8E">
          <w:rPr>
            <w:noProof/>
            <w:webHidden/>
          </w:rPr>
          <w:tab/>
        </w:r>
        <w:r w:rsidR="00696D8E">
          <w:rPr>
            <w:noProof/>
            <w:webHidden/>
          </w:rPr>
          <w:fldChar w:fldCharType="begin"/>
        </w:r>
        <w:r w:rsidR="00696D8E">
          <w:rPr>
            <w:noProof/>
            <w:webHidden/>
          </w:rPr>
          <w:instrText xml:space="preserve"> PAGEREF _Toc176351965 \h </w:instrText>
        </w:r>
        <w:r w:rsidR="00696D8E">
          <w:rPr>
            <w:noProof/>
            <w:webHidden/>
          </w:rPr>
        </w:r>
        <w:r w:rsidR="00696D8E">
          <w:rPr>
            <w:noProof/>
            <w:webHidden/>
          </w:rPr>
          <w:fldChar w:fldCharType="separate"/>
        </w:r>
        <w:r>
          <w:rPr>
            <w:noProof/>
            <w:webHidden/>
          </w:rPr>
          <w:t>56</w:t>
        </w:r>
        <w:r w:rsidR="00696D8E">
          <w:rPr>
            <w:noProof/>
            <w:webHidden/>
          </w:rPr>
          <w:fldChar w:fldCharType="end"/>
        </w:r>
      </w:hyperlink>
    </w:p>
    <w:p w14:paraId="7203D6FB" w14:textId="4F8004B9" w:rsidR="00696D8E" w:rsidRDefault="0053056D">
      <w:pPr>
        <w:pStyle w:val="TOC2"/>
        <w:rPr>
          <w:rFonts w:asciiTheme="minorHAnsi" w:eastAsiaTheme="minorEastAsia" w:hAnsiTheme="minorHAnsi" w:cstheme="minorBidi"/>
          <w:bCs w:val="0"/>
          <w:sz w:val="22"/>
          <w:szCs w:val="22"/>
        </w:rPr>
      </w:pPr>
      <w:hyperlink w:anchor="_Toc176351966" w:history="1">
        <w:r w:rsidR="00696D8E" w:rsidRPr="005967FA">
          <w:rPr>
            <w:rStyle w:val="Hyperlink"/>
          </w:rPr>
          <w:t>6.</w:t>
        </w:r>
        <w:r w:rsidR="00696D8E">
          <w:rPr>
            <w:rFonts w:asciiTheme="minorHAnsi" w:eastAsiaTheme="minorEastAsia" w:hAnsiTheme="minorHAnsi" w:cstheme="minorBidi"/>
            <w:bCs w:val="0"/>
            <w:sz w:val="22"/>
            <w:szCs w:val="22"/>
          </w:rPr>
          <w:tab/>
        </w:r>
        <w:r w:rsidR="00696D8E" w:rsidRPr="005967FA">
          <w:rPr>
            <w:rStyle w:val="Hyperlink"/>
          </w:rPr>
          <w:t>Бюджети по чл. 13, ал. 4 на Закона за публичните финанси</w:t>
        </w:r>
        <w:r w:rsidR="00696D8E">
          <w:rPr>
            <w:webHidden/>
          </w:rPr>
          <w:tab/>
        </w:r>
        <w:r w:rsidR="00696D8E">
          <w:rPr>
            <w:webHidden/>
          </w:rPr>
          <w:fldChar w:fldCharType="begin"/>
        </w:r>
        <w:r w:rsidR="00696D8E">
          <w:rPr>
            <w:webHidden/>
          </w:rPr>
          <w:instrText xml:space="preserve"> PAGEREF _Toc176351966 \h </w:instrText>
        </w:r>
        <w:r w:rsidR="00696D8E">
          <w:rPr>
            <w:webHidden/>
          </w:rPr>
        </w:r>
        <w:r w:rsidR="00696D8E">
          <w:rPr>
            <w:webHidden/>
          </w:rPr>
          <w:fldChar w:fldCharType="separate"/>
        </w:r>
        <w:r>
          <w:rPr>
            <w:webHidden/>
          </w:rPr>
          <w:t>59</w:t>
        </w:r>
        <w:r w:rsidR="00696D8E">
          <w:rPr>
            <w:webHidden/>
          </w:rPr>
          <w:fldChar w:fldCharType="end"/>
        </w:r>
      </w:hyperlink>
    </w:p>
    <w:p w14:paraId="185B5D30" w14:textId="6A993792" w:rsidR="00696D8E" w:rsidRDefault="0053056D">
      <w:pPr>
        <w:pStyle w:val="TOC3"/>
        <w:rPr>
          <w:rFonts w:asciiTheme="minorHAnsi" w:eastAsiaTheme="minorEastAsia" w:hAnsiTheme="minorHAnsi" w:cstheme="minorBidi"/>
          <w:noProof/>
          <w:sz w:val="22"/>
          <w:szCs w:val="22"/>
        </w:rPr>
      </w:pPr>
      <w:hyperlink w:anchor="_Toc176351967" w:history="1">
        <w:r w:rsidR="00696D8E" w:rsidRPr="005967FA">
          <w:rPr>
            <w:rStyle w:val="Hyperlink"/>
            <w:noProof/>
          </w:rPr>
          <w:t>6.1</w:t>
        </w:r>
        <w:r w:rsidR="00696D8E">
          <w:rPr>
            <w:rFonts w:asciiTheme="minorHAnsi" w:eastAsiaTheme="minorEastAsia" w:hAnsiTheme="minorHAnsi" w:cstheme="minorBidi"/>
            <w:noProof/>
            <w:sz w:val="22"/>
            <w:szCs w:val="22"/>
          </w:rPr>
          <w:tab/>
        </w:r>
        <w:r w:rsidR="00696D8E" w:rsidRPr="005967FA">
          <w:rPr>
            <w:rStyle w:val="Hyperlink"/>
            <w:noProof/>
          </w:rPr>
          <w:t>Предприятие за управление на дейностите по опазване на околната среда</w:t>
        </w:r>
        <w:r w:rsidR="00696D8E">
          <w:rPr>
            <w:noProof/>
            <w:webHidden/>
          </w:rPr>
          <w:tab/>
        </w:r>
        <w:r w:rsidR="00696D8E">
          <w:rPr>
            <w:noProof/>
            <w:webHidden/>
          </w:rPr>
          <w:fldChar w:fldCharType="begin"/>
        </w:r>
        <w:r w:rsidR="00696D8E">
          <w:rPr>
            <w:noProof/>
            <w:webHidden/>
          </w:rPr>
          <w:instrText xml:space="preserve"> PAGEREF _Toc176351967 \h </w:instrText>
        </w:r>
        <w:r w:rsidR="00696D8E">
          <w:rPr>
            <w:noProof/>
            <w:webHidden/>
          </w:rPr>
        </w:r>
        <w:r w:rsidR="00696D8E">
          <w:rPr>
            <w:noProof/>
            <w:webHidden/>
          </w:rPr>
          <w:fldChar w:fldCharType="separate"/>
        </w:r>
        <w:r>
          <w:rPr>
            <w:noProof/>
            <w:webHidden/>
          </w:rPr>
          <w:t>59</w:t>
        </w:r>
        <w:r w:rsidR="00696D8E">
          <w:rPr>
            <w:noProof/>
            <w:webHidden/>
          </w:rPr>
          <w:fldChar w:fldCharType="end"/>
        </w:r>
      </w:hyperlink>
    </w:p>
    <w:p w14:paraId="0412B39D" w14:textId="7A1DEA13" w:rsidR="00696D8E" w:rsidRDefault="0053056D">
      <w:pPr>
        <w:pStyle w:val="TOC3"/>
        <w:rPr>
          <w:rFonts w:asciiTheme="minorHAnsi" w:eastAsiaTheme="minorEastAsia" w:hAnsiTheme="minorHAnsi" w:cstheme="minorBidi"/>
          <w:noProof/>
          <w:sz w:val="22"/>
          <w:szCs w:val="22"/>
        </w:rPr>
      </w:pPr>
      <w:hyperlink w:anchor="_Toc176351968" w:history="1">
        <w:r w:rsidR="00696D8E" w:rsidRPr="005967FA">
          <w:rPr>
            <w:rStyle w:val="Hyperlink"/>
            <w:noProof/>
          </w:rPr>
          <w:t>6.2</w:t>
        </w:r>
        <w:r w:rsidR="00696D8E">
          <w:rPr>
            <w:rFonts w:asciiTheme="minorHAnsi" w:eastAsiaTheme="minorEastAsia" w:hAnsiTheme="minorHAnsi" w:cstheme="minorBidi"/>
            <w:noProof/>
            <w:sz w:val="22"/>
            <w:szCs w:val="22"/>
          </w:rPr>
          <w:tab/>
        </w:r>
        <w:r w:rsidR="00696D8E" w:rsidRPr="005967FA">
          <w:rPr>
            <w:rStyle w:val="Hyperlink"/>
            <w:noProof/>
          </w:rPr>
          <w:t>Фонд „Сигурност на електроенергийната система“</w:t>
        </w:r>
        <w:r w:rsidR="00696D8E">
          <w:rPr>
            <w:noProof/>
            <w:webHidden/>
          </w:rPr>
          <w:tab/>
        </w:r>
        <w:r w:rsidR="00696D8E">
          <w:rPr>
            <w:noProof/>
            <w:webHidden/>
          </w:rPr>
          <w:fldChar w:fldCharType="begin"/>
        </w:r>
        <w:r w:rsidR="00696D8E">
          <w:rPr>
            <w:noProof/>
            <w:webHidden/>
          </w:rPr>
          <w:instrText xml:space="preserve"> PAGEREF _Toc176351968 \h </w:instrText>
        </w:r>
        <w:r w:rsidR="00696D8E">
          <w:rPr>
            <w:noProof/>
            <w:webHidden/>
          </w:rPr>
        </w:r>
        <w:r w:rsidR="00696D8E">
          <w:rPr>
            <w:noProof/>
            <w:webHidden/>
          </w:rPr>
          <w:fldChar w:fldCharType="separate"/>
        </w:r>
        <w:r>
          <w:rPr>
            <w:noProof/>
            <w:webHidden/>
          </w:rPr>
          <w:t>59</w:t>
        </w:r>
        <w:r w:rsidR="00696D8E">
          <w:rPr>
            <w:noProof/>
            <w:webHidden/>
          </w:rPr>
          <w:fldChar w:fldCharType="end"/>
        </w:r>
      </w:hyperlink>
    </w:p>
    <w:p w14:paraId="5C8131D9" w14:textId="580AE3C3" w:rsidR="00696D8E" w:rsidRDefault="0053056D">
      <w:pPr>
        <w:pStyle w:val="TOC3"/>
        <w:rPr>
          <w:rFonts w:asciiTheme="minorHAnsi" w:eastAsiaTheme="minorEastAsia" w:hAnsiTheme="minorHAnsi" w:cstheme="minorBidi"/>
          <w:noProof/>
          <w:sz w:val="22"/>
          <w:szCs w:val="22"/>
        </w:rPr>
      </w:pPr>
      <w:hyperlink w:anchor="_Toc176351969" w:history="1">
        <w:r w:rsidR="00696D8E" w:rsidRPr="005967FA">
          <w:rPr>
            <w:rStyle w:val="Hyperlink"/>
            <w:noProof/>
          </w:rPr>
          <w:t>6.3</w:t>
        </w:r>
        <w:r w:rsidR="00696D8E">
          <w:rPr>
            <w:rFonts w:asciiTheme="minorHAnsi" w:eastAsiaTheme="minorEastAsia" w:hAnsiTheme="minorHAnsi" w:cstheme="minorBidi"/>
            <w:noProof/>
            <w:sz w:val="22"/>
            <w:szCs w:val="22"/>
          </w:rPr>
          <w:tab/>
        </w:r>
        <w:r w:rsidR="00696D8E" w:rsidRPr="005967FA">
          <w:rPr>
            <w:rStyle w:val="Hyperlink"/>
            <w:noProof/>
          </w:rPr>
          <w:t>Държавно предприятие „Научно-производствен център“ (ДП „НПЦ“)</w:t>
        </w:r>
        <w:r w:rsidR="00696D8E">
          <w:rPr>
            <w:noProof/>
            <w:webHidden/>
          </w:rPr>
          <w:tab/>
        </w:r>
        <w:r w:rsidR="00696D8E">
          <w:rPr>
            <w:noProof/>
            <w:webHidden/>
          </w:rPr>
          <w:fldChar w:fldCharType="begin"/>
        </w:r>
        <w:r w:rsidR="00696D8E">
          <w:rPr>
            <w:noProof/>
            <w:webHidden/>
          </w:rPr>
          <w:instrText xml:space="preserve"> PAGEREF _Toc176351969 \h </w:instrText>
        </w:r>
        <w:r w:rsidR="00696D8E">
          <w:rPr>
            <w:noProof/>
            <w:webHidden/>
          </w:rPr>
        </w:r>
        <w:r w:rsidR="00696D8E">
          <w:rPr>
            <w:noProof/>
            <w:webHidden/>
          </w:rPr>
          <w:fldChar w:fldCharType="separate"/>
        </w:r>
        <w:r>
          <w:rPr>
            <w:noProof/>
            <w:webHidden/>
          </w:rPr>
          <w:t>60</w:t>
        </w:r>
        <w:r w:rsidR="00696D8E">
          <w:rPr>
            <w:noProof/>
            <w:webHidden/>
          </w:rPr>
          <w:fldChar w:fldCharType="end"/>
        </w:r>
      </w:hyperlink>
    </w:p>
    <w:p w14:paraId="63624B4A" w14:textId="3E7852CF" w:rsidR="00696D8E" w:rsidRDefault="0053056D">
      <w:pPr>
        <w:pStyle w:val="TOC3"/>
        <w:rPr>
          <w:rFonts w:asciiTheme="minorHAnsi" w:eastAsiaTheme="minorEastAsia" w:hAnsiTheme="minorHAnsi" w:cstheme="minorBidi"/>
          <w:noProof/>
          <w:sz w:val="22"/>
          <w:szCs w:val="22"/>
        </w:rPr>
      </w:pPr>
      <w:hyperlink w:anchor="_Toc176351970" w:history="1">
        <w:r w:rsidR="00696D8E" w:rsidRPr="005967FA">
          <w:rPr>
            <w:rStyle w:val="Hyperlink"/>
            <w:noProof/>
          </w:rPr>
          <w:t>6.4</w:t>
        </w:r>
        <w:r w:rsidR="00696D8E">
          <w:rPr>
            <w:rFonts w:asciiTheme="minorHAnsi" w:eastAsiaTheme="minorEastAsia" w:hAnsiTheme="minorHAnsi" w:cstheme="minorBidi"/>
            <w:noProof/>
            <w:sz w:val="22"/>
            <w:szCs w:val="22"/>
          </w:rPr>
          <w:tab/>
        </w:r>
        <w:r w:rsidR="00696D8E" w:rsidRPr="005967FA">
          <w:rPr>
            <w:rStyle w:val="Hyperlink"/>
            <w:noProof/>
          </w:rPr>
          <w:t>Държавно предприятие „Управление и стопанисване на язовири“ (ДП „УСЯ“)</w:t>
        </w:r>
        <w:r w:rsidR="00696D8E">
          <w:rPr>
            <w:noProof/>
            <w:webHidden/>
          </w:rPr>
          <w:tab/>
        </w:r>
        <w:r w:rsidR="00696D8E">
          <w:rPr>
            <w:noProof/>
            <w:webHidden/>
          </w:rPr>
          <w:fldChar w:fldCharType="begin"/>
        </w:r>
        <w:r w:rsidR="00696D8E">
          <w:rPr>
            <w:noProof/>
            <w:webHidden/>
          </w:rPr>
          <w:instrText xml:space="preserve"> PAGEREF _Toc176351970 \h </w:instrText>
        </w:r>
        <w:r w:rsidR="00696D8E">
          <w:rPr>
            <w:noProof/>
            <w:webHidden/>
          </w:rPr>
        </w:r>
        <w:r w:rsidR="00696D8E">
          <w:rPr>
            <w:noProof/>
            <w:webHidden/>
          </w:rPr>
          <w:fldChar w:fldCharType="separate"/>
        </w:r>
        <w:r>
          <w:rPr>
            <w:noProof/>
            <w:webHidden/>
          </w:rPr>
          <w:t>60</w:t>
        </w:r>
        <w:r w:rsidR="00696D8E">
          <w:rPr>
            <w:noProof/>
            <w:webHidden/>
          </w:rPr>
          <w:fldChar w:fldCharType="end"/>
        </w:r>
      </w:hyperlink>
    </w:p>
    <w:p w14:paraId="4CEF4095" w14:textId="08A83E03" w:rsidR="00696D8E" w:rsidRDefault="0053056D">
      <w:pPr>
        <w:pStyle w:val="TOC1"/>
        <w:rPr>
          <w:rFonts w:asciiTheme="minorHAnsi" w:eastAsiaTheme="minorEastAsia" w:hAnsiTheme="minorHAnsi" w:cstheme="minorBidi"/>
          <w:sz w:val="22"/>
          <w:szCs w:val="22"/>
          <w:lang w:val="bg-BG"/>
        </w:rPr>
      </w:pPr>
      <w:hyperlink w:anchor="_Toc176351971" w:history="1">
        <w:r w:rsidR="00696D8E" w:rsidRPr="005967FA">
          <w:rPr>
            <w:rStyle w:val="Hyperlink"/>
          </w:rPr>
          <w:t>ЗАКЛЮЧЕНИЕ</w:t>
        </w:r>
        <w:r w:rsidR="00696D8E">
          <w:rPr>
            <w:webHidden/>
          </w:rPr>
          <w:tab/>
        </w:r>
        <w:r w:rsidR="00696D8E">
          <w:rPr>
            <w:webHidden/>
          </w:rPr>
          <w:fldChar w:fldCharType="begin"/>
        </w:r>
        <w:r w:rsidR="00696D8E">
          <w:rPr>
            <w:webHidden/>
          </w:rPr>
          <w:instrText xml:space="preserve"> PAGEREF _Toc176351971 \h </w:instrText>
        </w:r>
        <w:r w:rsidR="00696D8E">
          <w:rPr>
            <w:webHidden/>
          </w:rPr>
        </w:r>
        <w:r w:rsidR="00696D8E">
          <w:rPr>
            <w:webHidden/>
          </w:rPr>
          <w:fldChar w:fldCharType="separate"/>
        </w:r>
        <w:r>
          <w:rPr>
            <w:webHidden/>
          </w:rPr>
          <w:t>61</w:t>
        </w:r>
        <w:r w:rsidR="00696D8E">
          <w:rPr>
            <w:webHidden/>
          </w:rPr>
          <w:fldChar w:fldCharType="end"/>
        </w:r>
      </w:hyperlink>
    </w:p>
    <w:p w14:paraId="3C19E17D" w14:textId="25E1DFC4" w:rsidR="002B215C" w:rsidRPr="00766C9E" w:rsidRDefault="000470AB" w:rsidP="002B215C">
      <w:pPr>
        <w:pStyle w:val="Heading1"/>
        <w:jc w:val="center"/>
        <w:rPr>
          <w:rFonts w:ascii="Times New Roman" w:hAnsi="Times New Roman" w:cs="Times New Roman"/>
          <w:sz w:val="28"/>
          <w:szCs w:val="28"/>
        </w:rPr>
      </w:pPr>
      <w:r w:rsidRPr="0082409C">
        <w:rPr>
          <w:rStyle w:val="Hyperlink"/>
          <w:noProof/>
          <w:color w:val="auto"/>
        </w:rPr>
        <w:fldChar w:fldCharType="end"/>
      </w:r>
      <w:bookmarkStart w:id="0" w:name="_Toc173146868"/>
      <w:r w:rsidRPr="00E56679">
        <w:rPr>
          <w:color w:val="0070C0"/>
          <w:sz w:val="28"/>
          <w:szCs w:val="28"/>
        </w:rPr>
        <w:br w:type="page"/>
      </w:r>
      <w:bookmarkStart w:id="1" w:name="_Toc176351910"/>
      <w:bookmarkStart w:id="2" w:name="_Toc397693835"/>
      <w:bookmarkStart w:id="3" w:name="_Toc365649282"/>
      <w:bookmarkStart w:id="4" w:name="_Toc365897019"/>
      <w:r w:rsidR="002B215C" w:rsidRPr="00766C9E">
        <w:rPr>
          <w:rFonts w:ascii="Times New Roman" w:hAnsi="Times New Roman" w:cs="Times New Roman"/>
          <w:sz w:val="28"/>
          <w:szCs w:val="28"/>
        </w:rPr>
        <w:t>Използвани съкращения</w:t>
      </w:r>
      <w:bookmarkEnd w:id="1"/>
    </w:p>
    <w:p w14:paraId="1AF0109A" w14:textId="77777777" w:rsidR="007715F7" w:rsidRPr="00370BD2" w:rsidRDefault="007715F7" w:rsidP="007715F7">
      <w:r w:rsidRPr="00370BD2">
        <w:t>Н1 - първо полугодие</w:t>
      </w:r>
    </w:p>
    <w:p w14:paraId="06B9A25D" w14:textId="77777777" w:rsidR="007715F7" w:rsidRPr="00370BD2" w:rsidRDefault="007715F7" w:rsidP="007715F7">
      <w:r w:rsidRPr="00370BD2">
        <w:t>БВП – брутен вътрешен продукт</w:t>
      </w:r>
    </w:p>
    <w:p w14:paraId="1A968907" w14:textId="77777777" w:rsidR="007715F7" w:rsidRPr="00370BD2" w:rsidRDefault="007715F7" w:rsidP="007715F7">
      <w:r w:rsidRPr="00370BD2">
        <w:t>БНБ – Българска народна банка</w:t>
      </w:r>
    </w:p>
    <w:p w14:paraId="1C1390B6" w14:textId="77777777" w:rsidR="007715F7" w:rsidRPr="00370BD2" w:rsidRDefault="007715F7" w:rsidP="007715F7">
      <w:r w:rsidRPr="00370BD2">
        <w:t xml:space="preserve">ВОП – </w:t>
      </w:r>
      <w:proofErr w:type="spellStart"/>
      <w:r w:rsidRPr="00370BD2">
        <w:t>вътреобщностни</w:t>
      </w:r>
      <w:proofErr w:type="spellEnd"/>
      <w:r w:rsidRPr="00370BD2">
        <w:t xml:space="preserve"> придобивания</w:t>
      </w:r>
    </w:p>
    <w:p w14:paraId="35A34E50" w14:textId="77777777" w:rsidR="007715F7" w:rsidRPr="00370BD2" w:rsidRDefault="007715F7" w:rsidP="007715F7">
      <w:r w:rsidRPr="00370BD2">
        <w:t>ДДС – данък върху добавената стойност</w:t>
      </w:r>
    </w:p>
    <w:p w14:paraId="550035BE" w14:textId="77777777" w:rsidR="007715F7" w:rsidRPr="00370BD2" w:rsidRDefault="007715F7" w:rsidP="007715F7">
      <w:r w:rsidRPr="00370BD2">
        <w:t>ДИЗ – държавни инвестиционни заеми</w:t>
      </w:r>
    </w:p>
    <w:p w14:paraId="041A9C55" w14:textId="77777777" w:rsidR="007715F7" w:rsidRPr="00370BD2" w:rsidRDefault="007715F7" w:rsidP="007715F7">
      <w:proofErr w:type="spellStart"/>
      <w:r w:rsidRPr="00370BD2">
        <w:t>ДОбЦК</w:t>
      </w:r>
      <w:proofErr w:type="spellEnd"/>
      <w:r w:rsidRPr="00370BD2">
        <w:t xml:space="preserve"> – държавни и общински ценни книжа</w:t>
      </w:r>
    </w:p>
    <w:p w14:paraId="0BEC2859" w14:textId="77777777" w:rsidR="007715F7" w:rsidRPr="00370BD2" w:rsidRDefault="007715F7" w:rsidP="007715F7">
      <w:r w:rsidRPr="00370BD2">
        <w:t>ДОО – държавно обществено осигуряване</w:t>
      </w:r>
    </w:p>
    <w:p w14:paraId="7DD48C09" w14:textId="77777777" w:rsidR="007715F7" w:rsidRPr="00370BD2" w:rsidRDefault="007715F7" w:rsidP="007715F7">
      <w:r w:rsidRPr="00370BD2">
        <w:t>ДДФЛ – Данъци върху доходите на физическите лица</w:t>
      </w:r>
    </w:p>
    <w:p w14:paraId="5E0D2DD4" w14:textId="77777777" w:rsidR="007715F7" w:rsidRPr="00370BD2" w:rsidRDefault="007715F7" w:rsidP="007715F7">
      <w:r w:rsidRPr="00370BD2">
        <w:t>ДФЗ – Държавен фонд „Земеделие”</w:t>
      </w:r>
    </w:p>
    <w:p w14:paraId="3AA401E5" w14:textId="77777777" w:rsidR="007715F7" w:rsidRPr="00370BD2" w:rsidRDefault="007715F7" w:rsidP="007715F7">
      <w:r w:rsidRPr="00370BD2">
        <w:t>ЗДБРБ – Закон за държавния бюджет на Република България</w:t>
      </w:r>
    </w:p>
    <w:p w14:paraId="40E98CE7" w14:textId="77777777" w:rsidR="007715F7" w:rsidRPr="00370BD2" w:rsidRDefault="007715F7" w:rsidP="007715F7">
      <w:r w:rsidRPr="00370BD2">
        <w:t>ЗКПО – Закон за корпоративното подоходно облагане</w:t>
      </w:r>
    </w:p>
    <w:p w14:paraId="5ACF442C" w14:textId="77777777" w:rsidR="007715F7" w:rsidRPr="00370BD2" w:rsidRDefault="007715F7" w:rsidP="007715F7">
      <w:r w:rsidRPr="00370BD2">
        <w:t>ИА - изпълнителна агенция</w:t>
      </w:r>
    </w:p>
    <w:p w14:paraId="5C77260C" w14:textId="77777777" w:rsidR="007715F7" w:rsidRPr="00370BD2" w:rsidRDefault="007715F7" w:rsidP="007715F7">
      <w:r w:rsidRPr="00370BD2">
        <w:t>КСО – Кодекс за социално осигуряване</w:t>
      </w:r>
    </w:p>
    <w:p w14:paraId="61FB80EF" w14:textId="77777777" w:rsidR="007715F7" w:rsidRPr="00370BD2" w:rsidRDefault="007715F7" w:rsidP="007715F7">
      <w:r w:rsidRPr="00370BD2">
        <w:t>КФП – Консолидирана фискална програма</w:t>
      </w:r>
    </w:p>
    <w:p w14:paraId="088E4438" w14:textId="77777777" w:rsidR="007715F7" w:rsidRPr="00370BD2" w:rsidRDefault="007715F7" w:rsidP="007715F7">
      <w:r w:rsidRPr="00370BD2">
        <w:t>МБВР – Международна банка за възстановяване и развитие</w:t>
      </w:r>
    </w:p>
    <w:p w14:paraId="54DBC154" w14:textId="77777777" w:rsidR="007715F7" w:rsidRPr="00370BD2" w:rsidRDefault="007715F7" w:rsidP="007715F7">
      <w:r w:rsidRPr="00370BD2">
        <w:t>МВР – Министерство на вътрешните работи</w:t>
      </w:r>
    </w:p>
    <w:p w14:paraId="0D949B12" w14:textId="77777777" w:rsidR="007715F7" w:rsidRPr="00370BD2" w:rsidRDefault="007715F7" w:rsidP="007715F7">
      <w:r w:rsidRPr="00370BD2">
        <w:t>МЗ – Министерство на здравеопазването</w:t>
      </w:r>
    </w:p>
    <w:p w14:paraId="190DB611" w14:textId="77777777" w:rsidR="007715F7" w:rsidRPr="00370BD2" w:rsidRDefault="007715F7" w:rsidP="007715F7">
      <w:r w:rsidRPr="00370BD2">
        <w:t>МЗХ – Министерство на земеделието и храните</w:t>
      </w:r>
    </w:p>
    <w:p w14:paraId="3E0E6A51" w14:textId="77777777" w:rsidR="007715F7" w:rsidRPr="00A128BD" w:rsidRDefault="007715F7" w:rsidP="007715F7">
      <w:r w:rsidRPr="00A128BD">
        <w:t>МИИ – Министерство на икономиката</w:t>
      </w:r>
      <w:r w:rsidRPr="00A128BD">
        <w:rPr>
          <w:lang w:val="ru-RU"/>
        </w:rPr>
        <w:t xml:space="preserve"> </w:t>
      </w:r>
      <w:r w:rsidRPr="00A128BD">
        <w:t>и индустрията</w:t>
      </w:r>
    </w:p>
    <w:p w14:paraId="4A116B7C" w14:textId="77777777" w:rsidR="007715F7" w:rsidRPr="008122AF" w:rsidRDefault="007715F7" w:rsidP="007715F7">
      <w:r w:rsidRPr="008122AF">
        <w:t>МО – Министерство на отбраната</w:t>
      </w:r>
    </w:p>
    <w:p w14:paraId="19554785" w14:textId="77777777" w:rsidR="007715F7" w:rsidRPr="008122AF" w:rsidRDefault="007715F7" w:rsidP="007715F7">
      <w:r w:rsidRPr="008122AF">
        <w:t>МОСВ – Министерство на околната среда и водите</w:t>
      </w:r>
    </w:p>
    <w:p w14:paraId="77A57A20" w14:textId="77777777" w:rsidR="007715F7" w:rsidRPr="008122AF" w:rsidRDefault="007715F7" w:rsidP="007715F7">
      <w:r w:rsidRPr="008122AF">
        <w:t>МРРБ – Министерство на регионалното развитие и благоустройството</w:t>
      </w:r>
    </w:p>
    <w:p w14:paraId="224B2266" w14:textId="77777777" w:rsidR="007715F7" w:rsidRPr="008122AF" w:rsidRDefault="007715F7" w:rsidP="007715F7">
      <w:r w:rsidRPr="008122AF">
        <w:t>МС – Министерски съвет</w:t>
      </w:r>
    </w:p>
    <w:p w14:paraId="377377CD" w14:textId="77777777" w:rsidR="007715F7" w:rsidRPr="008122AF" w:rsidRDefault="007715F7" w:rsidP="007715F7">
      <w:r w:rsidRPr="008122AF">
        <w:t>МТС – Министерство на транспорта и съобщенията</w:t>
      </w:r>
    </w:p>
    <w:p w14:paraId="63C7B7A8" w14:textId="77777777" w:rsidR="007715F7" w:rsidRPr="008122AF" w:rsidRDefault="007715F7" w:rsidP="007715F7">
      <w:r w:rsidRPr="008122AF">
        <w:t>МФ – Министерство на финансите</w:t>
      </w:r>
    </w:p>
    <w:p w14:paraId="7FDD8D1B" w14:textId="77777777" w:rsidR="007715F7" w:rsidRPr="008122AF" w:rsidRDefault="007715F7" w:rsidP="007715F7">
      <w:r w:rsidRPr="008122AF">
        <w:t xml:space="preserve">НАП - Национална агенция за приходите </w:t>
      </w:r>
    </w:p>
    <w:p w14:paraId="717B4648" w14:textId="77777777" w:rsidR="007715F7" w:rsidRPr="008122AF" w:rsidRDefault="007715F7" w:rsidP="007715F7">
      <w:r w:rsidRPr="008122AF">
        <w:t>НЗОК - Национална здравноосигурителна каса</w:t>
      </w:r>
    </w:p>
    <w:p w14:paraId="21443391" w14:textId="77777777" w:rsidR="007715F7" w:rsidRPr="008122AF" w:rsidRDefault="007715F7" w:rsidP="007715F7">
      <w:r w:rsidRPr="008122AF">
        <w:t>НК ”ЖИ” – Национална компания „Железопътна инфраструктура”</w:t>
      </w:r>
    </w:p>
    <w:p w14:paraId="507AFB72" w14:textId="77777777" w:rsidR="007715F7" w:rsidRPr="008122AF" w:rsidRDefault="007715F7" w:rsidP="007715F7">
      <w:r w:rsidRPr="008122AF">
        <w:t>НОИ – Национален осигурителен институт</w:t>
      </w:r>
    </w:p>
    <w:p w14:paraId="190D1FFB" w14:textId="77777777" w:rsidR="007715F7" w:rsidRPr="008122AF" w:rsidRDefault="007715F7" w:rsidP="007715F7">
      <w:r w:rsidRPr="008122AF">
        <w:t>НС – Народно събрание</w:t>
      </w:r>
    </w:p>
    <w:p w14:paraId="27909250" w14:textId="77777777" w:rsidR="007715F7" w:rsidRPr="008122AF" w:rsidRDefault="007715F7" w:rsidP="007715F7">
      <w:r w:rsidRPr="008122AF">
        <w:t>НСИ – Национален статистически институт</w:t>
      </w:r>
    </w:p>
    <w:p w14:paraId="7049CE64" w14:textId="77777777" w:rsidR="007715F7" w:rsidRPr="008122AF" w:rsidRDefault="007715F7" w:rsidP="007715F7">
      <w:r w:rsidRPr="008122AF">
        <w:t>НРС – наблюдение на работната сила</w:t>
      </w:r>
    </w:p>
    <w:p w14:paraId="5A7FCF88" w14:textId="77777777" w:rsidR="007715F7" w:rsidRPr="008122AF" w:rsidRDefault="007715F7" w:rsidP="007715F7">
      <w:r w:rsidRPr="008122AF">
        <w:t>НФ – Национален фонд</w:t>
      </w:r>
    </w:p>
    <w:p w14:paraId="74498253" w14:textId="77777777" w:rsidR="007715F7" w:rsidRPr="008122AF" w:rsidRDefault="007715F7" w:rsidP="007715F7">
      <w:r w:rsidRPr="008122AF">
        <w:t>ПЗР – преходни и заключителни разпоредби</w:t>
      </w:r>
    </w:p>
    <w:p w14:paraId="431995E6" w14:textId="77777777" w:rsidR="007715F7" w:rsidRPr="008122AF" w:rsidRDefault="007715F7" w:rsidP="007715F7">
      <w:r w:rsidRPr="008122AF">
        <w:t>ПРБ – първостепенни разпоредители с бюджет</w:t>
      </w:r>
    </w:p>
    <w:p w14:paraId="47987A30" w14:textId="77777777" w:rsidR="007715F7" w:rsidRPr="008122AF" w:rsidRDefault="007715F7" w:rsidP="007715F7">
      <w:r w:rsidRPr="008122AF">
        <w:t>пр. п. – процентни пункта</w:t>
      </w:r>
    </w:p>
    <w:p w14:paraId="3F9450EA" w14:textId="77777777" w:rsidR="007715F7" w:rsidRPr="008122AF" w:rsidRDefault="007715F7" w:rsidP="007715F7">
      <w:r w:rsidRPr="008122AF">
        <w:t>ПУДООС – Предприятие за управление на дейностите по опазване на околната среда</w:t>
      </w:r>
    </w:p>
    <w:p w14:paraId="37F0F3CE" w14:textId="77777777" w:rsidR="007715F7" w:rsidRPr="008122AF" w:rsidRDefault="007715F7" w:rsidP="007715F7">
      <w:r w:rsidRPr="008122AF">
        <w:t>ПМС – Постановление на Министерския съвет</w:t>
      </w:r>
    </w:p>
    <w:p w14:paraId="31C5F4A9" w14:textId="77777777" w:rsidR="007715F7" w:rsidRPr="008122AF" w:rsidRDefault="007715F7" w:rsidP="007715F7">
      <w:r w:rsidRPr="008122AF">
        <w:t>СКФ – Структурни и Кохезионен фондове</w:t>
      </w:r>
    </w:p>
    <w:p w14:paraId="1247D489" w14:textId="77777777" w:rsidR="007715F7" w:rsidRPr="008122AF" w:rsidRDefault="007715F7" w:rsidP="007715F7">
      <w:r w:rsidRPr="008122AF">
        <w:t>УПФ – Учителски пенсионен фонд</w:t>
      </w:r>
    </w:p>
    <w:p w14:paraId="68B136C7" w14:textId="77777777" w:rsidR="007715F7" w:rsidRPr="008122AF" w:rsidRDefault="007715F7" w:rsidP="007715F7">
      <w:r w:rsidRPr="008122AF">
        <w:t>ФГВРС – Фонд „Гарантирани вземания на работниците и служителите”</w:t>
      </w:r>
    </w:p>
    <w:p w14:paraId="718F542B" w14:textId="77777777" w:rsidR="007715F7" w:rsidRPr="008122AF" w:rsidRDefault="007715F7" w:rsidP="007715F7">
      <w:r w:rsidRPr="008122AF">
        <w:t>ФМ на ЕИП – Финансов механизъм на Европейско икономическо пространство</w:t>
      </w:r>
    </w:p>
    <w:p w14:paraId="229CFAB2" w14:textId="77777777" w:rsidR="007715F7" w:rsidRPr="008122AF" w:rsidRDefault="007715F7" w:rsidP="007715F7">
      <w:r w:rsidRPr="008122AF">
        <w:t>ХИПЦ – Хармонизиран индекс на потребителските цени</w:t>
      </w:r>
    </w:p>
    <w:p w14:paraId="0253613A" w14:textId="7B4A48EA" w:rsidR="002B215C" w:rsidRPr="00E56679" w:rsidRDefault="007715F7" w:rsidP="007715F7">
      <w:pPr>
        <w:rPr>
          <w:b/>
          <w:bCs/>
          <w:color w:val="0070C0"/>
          <w:kern w:val="32"/>
        </w:rPr>
      </w:pPr>
      <w:r w:rsidRPr="008122AF">
        <w:t>ЦБ – Централен бюджет</w:t>
      </w:r>
      <w:r w:rsidR="002B215C" w:rsidRPr="00E56679">
        <w:rPr>
          <w:b/>
          <w:bCs/>
          <w:color w:val="0070C0"/>
          <w:kern w:val="32"/>
        </w:rPr>
        <w:br w:type="page"/>
      </w:r>
    </w:p>
    <w:p w14:paraId="53C59BED" w14:textId="77777777" w:rsidR="000470AB" w:rsidRPr="00B10F82" w:rsidRDefault="000470AB" w:rsidP="002B215C">
      <w:pPr>
        <w:pStyle w:val="Heading1"/>
        <w:jc w:val="center"/>
        <w:rPr>
          <w:rFonts w:ascii="Times New Roman" w:hAnsi="Times New Roman" w:cs="Times New Roman"/>
          <w:sz w:val="28"/>
          <w:szCs w:val="28"/>
        </w:rPr>
      </w:pPr>
      <w:bookmarkStart w:id="5" w:name="_Toc176351911"/>
      <w:r w:rsidRPr="00B10F82">
        <w:rPr>
          <w:rFonts w:ascii="Times New Roman" w:hAnsi="Times New Roman" w:cs="Times New Roman"/>
          <w:sz w:val="28"/>
          <w:szCs w:val="28"/>
          <w:lang w:val="en-US"/>
        </w:rPr>
        <w:t>I</w:t>
      </w:r>
      <w:r w:rsidRPr="00B10F82">
        <w:rPr>
          <w:rFonts w:ascii="Times New Roman" w:hAnsi="Times New Roman" w:cs="Times New Roman"/>
          <w:sz w:val="28"/>
          <w:szCs w:val="28"/>
        </w:rPr>
        <w:t>. МАКРОИКОНОМИЧЕСКА СРЕДА</w:t>
      </w:r>
      <w:bookmarkEnd w:id="5"/>
      <w:r w:rsidRPr="00B10F82">
        <w:rPr>
          <w:rFonts w:ascii="Times New Roman" w:hAnsi="Times New Roman" w:cs="Times New Roman"/>
          <w:sz w:val="28"/>
          <w:szCs w:val="28"/>
        </w:rPr>
        <w:t xml:space="preserve"> </w:t>
      </w:r>
      <w:bookmarkEnd w:id="2"/>
    </w:p>
    <w:p w14:paraId="5EFBB33B" w14:textId="77777777" w:rsidR="00C1101D" w:rsidRPr="00B10F82" w:rsidRDefault="00C1101D" w:rsidP="00462B66">
      <w:pPr>
        <w:jc w:val="both"/>
      </w:pPr>
      <w:bookmarkStart w:id="6" w:name="_Toc269455990"/>
      <w:bookmarkEnd w:id="0"/>
      <w:bookmarkEnd w:id="3"/>
      <w:bookmarkEnd w:id="4"/>
    </w:p>
    <w:p w14:paraId="7917D0FF" w14:textId="62CDFC76" w:rsidR="00930B44" w:rsidRPr="00B10F82" w:rsidRDefault="00930B44" w:rsidP="00930B44">
      <w:pPr>
        <w:rPr>
          <w:b/>
        </w:rPr>
      </w:pPr>
      <w:r w:rsidRPr="00B10F82">
        <w:rPr>
          <w:b/>
        </w:rPr>
        <w:t>1</w:t>
      </w:r>
      <w:r w:rsidRPr="00B10F82">
        <w:rPr>
          <w:b/>
          <w:i/>
        </w:rPr>
        <w:t>. Състояние на българската икономика през първата половина на 202</w:t>
      </w:r>
      <w:r w:rsidR="00B10F82" w:rsidRPr="00B10F82">
        <w:rPr>
          <w:b/>
          <w:i/>
          <w:lang w:val="ru-RU"/>
        </w:rPr>
        <w:t>4</w:t>
      </w:r>
      <w:r w:rsidRPr="00B10F82">
        <w:rPr>
          <w:b/>
          <w:i/>
        </w:rPr>
        <w:t xml:space="preserve"> г.</w:t>
      </w:r>
    </w:p>
    <w:p w14:paraId="7761F0B6" w14:textId="77777777" w:rsidR="00AC028A" w:rsidRPr="00AC028A" w:rsidRDefault="00AC028A" w:rsidP="00AC028A">
      <w:pPr>
        <w:numPr>
          <w:ilvl w:val="0"/>
          <w:numId w:val="33"/>
        </w:numPr>
        <w:spacing w:before="120" w:after="120" w:line="252" w:lineRule="auto"/>
        <w:ind w:left="714" w:hanging="357"/>
        <w:jc w:val="both"/>
        <w:rPr>
          <w:rFonts w:eastAsia="Calibri"/>
          <w:b/>
          <w:bCs/>
          <w:i/>
          <w:iCs/>
          <w:lang w:eastAsia="en-US"/>
        </w:rPr>
      </w:pPr>
      <w:r w:rsidRPr="00AC028A">
        <w:rPr>
          <w:rFonts w:eastAsia="Calibri"/>
          <w:b/>
          <w:bCs/>
          <w:i/>
          <w:iCs/>
          <w:lang w:eastAsia="en-US"/>
        </w:rPr>
        <w:t>Брутен вътрешен продукт</w:t>
      </w:r>
    </w:p>
    <w:p w14:paraId="035C7739" w14:textId="701A8C12" w:rsidR="00AC028A" w:rsidRPr="00AC028A" w:rsidRDefault="00AC028A" w:rsidP="00AC028A">
      <w:pPr>
        <w:spacing w:after="120"/>
        <w:jc w:val="both"/>
        <w:rPr>
          <w:lang w:eastAsia="en-US"/>
        </w:rPr>
      </w:pPr>
      <w:r w:rsidRPr="00AC028A">
        <w:rPr>
          <w:lang w:eastAsia="en-US"/>
        </w:rPr>
        <w:t>През първото полугодие на 2024 г. брутният вътрешен продукт</w:t>
      </w:r>
      <w:r w:rsidRPr="00AC028A">
        <w:rPr>
          <w:vertAlign w:val="superscript"/>
          <w:lang w:eastAsia="en-US"/>
        </w:rPr>
        <w:footnoteReference w:customMarkFollows="1" w:id="1"/>
        <w:t>[1]</w:t>
      </w:r>
      <w:r w:rsidRPr="00AC028A">
        <w:rPr>
          <w:lang w:eastAsia="en-US"/>
        </w:rPr>
        <w:t xml:space="preserve"> на България възлезе на 88</w:t>
      </w:r>
      <w:r w:rsidR="009F7A5D">
        <w:rPr>
          <w:lang w:eastAsia="en-US"/>
        </w:rPr>
        <w:t> </w:t>
      </w:r>
      <w:r w:rsidRPr="00AC028A">
        <w:rPr>
          <w:lang w:eastAsia="en-US"/>
        </w:rPr>
        <w:t>430</w:t>
      </w:r>
      <w:r w:rsidRPr="00AC028A">
        <w:rPr>
          <w:lang w:val="en-US" w:eastAsia="en-US"/>
        </w:rPr>
        <w:t> </w:t>
      </w:r>
      <w:r w:rsidRPr="00AC028A">
        <w:rPr>
          <w:lang w:eastAsia="en-US"/>
        </w:rPr>
        <w:t>млн. лв., което представлява увеличение с 6 % спрямо същия период на 2023 г. Реалният растеж на БВП за полугодието достигна 2 %</w:t>
      </w:r>
      <w:r w:rsidRPr="00AC028A">
        <w:rPr>
          <w:vertAlign w:val="superscript"/>
          <w:lang w:eastAsia="en-US"/>
        </w:rPr>
        <w:footnoteReference w:customMarkFollows="1" w:id="2"/>
        <w:t>[2]</w:t>
      </w:r>
      <w:r w:rsidRPr="00AC028A">
        <w:rPr>
          <w:lang w:eastAsia="en-US"/>
        </w:rPr>
        <w:t>, с положителен принос от вътрешното търсене.</w:t>
      </w:r>
    </w:p>
    <w:p w14:paraId="0D5677FD" w14:textId="77777777" w:rsidR="00AC028A" w:rsidRPr="00AC028A" w:rsidRDefault="00AC028A" w:rsidP="00AC028A">
      <w:pPr>
        <w:spacing w:after="120"/>
        <w:jc w:val="both"/>
        <w:rPr>
          <w:lang w:eastAsia="en-US"/>
        </w:rPr>
      </w:pPr>
      <w:r w:rsidRPr="00AC028A">
        <w:rPr>
          <w:lang w:eastAsia="en-US"/>
        </w:rPr>
        <w:t xml:space="preserve">Крайното потребление нарасна с 3,1 % за периода януари-юни, което представлява забавяне спрямо 2023 г. В същото време растежът на инвестициите в основен капитал се ускори и достигна 7,5 % за полугодието, като през първо тримесечие бе движен изцяло от частната инвестиционна активност. Износът на стоки и услуги спадна с 2,1 % през първо тримесечие и се увеличи с 0,9 % през второ. При вноса на стоки и услуги също се наблюдаваше отрицателна динамика през първо тримесечие и за полугодието бе регистриран спад от 0,7 %. </w:t>
      </w:r>
    </w:p>
    <w:p w14:paraId="4945D3D1" w14:textId="77777777" w:rsidR="00AC028A" w:rsidRPr="00AC028A" w:rsidRDefault="00AC028A" w:rsidP="00AC028A">
      <w:pPr>
        <w:numPr>
          <w:ilvl w:val="0"/>
          <w:numId w:val="33"/>
        </w:numPr>
        <w:spacing w:after="120" w:line="252" w:lineRule="auto"/>
        <w:contextualSpacing/>
        <w:jc w:val="both"/>
        <w:rPr>
          <w:rFonts w:eastAsia="Calibri"/>
          <w:b/>
          <w:bCs/>
          <w:i/>
          <w:iCs/>
          <w:lang w:eastAsia="en-US"/>
        </w:rPr>
      </w:pPr>
      <w:r w:rsidRPr="00AC028A">
        <w:rPr>
          <w:rFonts w:eastAsia="Calibri"/>
          <w:b/>
          <w:bCs/>
          <w:i/>
          <w:iCs/>
          <w:lang w:eastAsia="en-US"/>
        </w:rPr>
        <w:t>Пазар на труда</w:t>
      </w:r>
    </w:p>
    <w:p w14:paraId="16DBC787" w14:textId="0484846B" w:rsidR="00AC028A" w:rsidRPr="00AC028A" w:rsidRDefault="00AC028A" w:rsidP="00AC028A">
      <w:pPr>
        <w:spacing w:after="120"/>
        <w:jc w:val="both"/>
        <w:rPr>
          <w:rFonts w:eastAsia="Calibri"/>
          <w:lang w:eastAsia="en-US"/>
        </w:rPr>
      </w:pPr>
      <w:r w:rsidRPr="00AC028A">
        <w:rPr>
          <w:rFonts w:eastAsia="Calibri"/>
          <w:lang w:eastAsia="en-US"/>
        </w:rPr>
        <w:t>Благодарение на умерения ръст на икономиката, броят на заетите (според ЕСС 2010) през първото тримесечие на 2024 г. също отбеляза годишен ръст от 0,7 % и достигна 3 425 хил. души. Основен принос за ръста на заетостта имат услугите и строителството, където броят на работните места се е увеличил съответно с 1,7 % и 2,7 % на годишна база. Проблемите в промишлеността оказват влияние върху динамиката на заетостта в сектора, която е намаляла с 1,8 % спрямо първото тримесечие на 2023 г. Регистрираният през първото тримесечие коефициент на безработица в страната бе 5,0 % според Наблюдението на работната сила, което е с 1,3 пр. п. по-ниско от стойността на индикатора за ЕС-27. От средата на 2023 г. броят на регистрираните безработни в АЗ се движи с около 10 хил. души повече спрямо нивата, наблюдавани през предходната година, но като цяло следва сезонните колебания</w:t>
      </w:r>
      <w:r w:rsidR="00AA63E1">
        <w:rPr>
          <w:rFonts w:eastAsia="Calibri"/>
          <w:lang w:eastAsia="en-US"/>
        </w:rPr>
        <w:t>,</w:t>
      </w:r>
      <w:r w:rsidRPr="00AC028A">
        <w:rPr>
          <w:rFonts w:eastAsia="Calibri"/>
          <w:lang w:eastAsia="en-US"/>
        </w:rPr>
        <w:t xml:space="preserve"> характерни и за предходни години. Към края на юни 2024 г. броят на регистрираните безработни е относително нисък, около 151 хил. души.</w:t>
      </w:r>
    </w:p>
    <w:p w14:paraId="08824E47" w14:textId="77777777" w:rsidR="00AC028A" w:rsidRPr="00AC028A" w:rsidRDefault="00AC028A" w:rsidP="00AC028A">
      <w:pPr>
        <w:spacing w:after="120"/>
        <w:jc w:val="both"/>
        <w:rPr>
          <w:rFonts w:eastAsia="Calibri"/>
          <w:lang w:eastAsia="en-US"/>
        </w:rPr>
      </w:pPr>
      <w:r w:rsidRPr="00AC028A">
        <w:rPr>
          <w:rFonts w:eastAsia="Calibri"/>
          <w:lang w:eastAsia="en-US"/>
        </w:rPr>
        <w:t>През първото тримесечие на 2024 г. номиналният растеж на компенсацията на един нает възлезе на 13,7 % и се повиши спрямо края на предходната година. За увеличението в номиналното нарастване на доходите от труд свидетелстваше заложеното увеличение на минималната работна заплата както и динамиката на средната работна заплата.  Разгледано общо за полугодието средната заплата в страна се повиши номинално с 17,1 %, a в реално изражение (</w:t>
      </w:r>
      <w:proofErr w:type="spellStart"/>
      <w:r w:rsidRPr="00AC028A">
        <w:rPr>
          <w:rFonts w:eastAsia="Calibri"/>
          <w:lang w:eastAsia="en-US"/>
        </w:rPr>
        <w:t>дефлирана</w:t>
      </w:r>
      <w:proofErr w:type="spellEnd"/>
      <w:r w:rsidRPr="00AC028A">
        <w:rPr>
          <w:rFonts w:eastAsia="Calibri"/>
          <w:lang w:eastAsia="en-US"/>
        </w:rPr>
        <w:t xml:space="preserve"> с ХИПЦ) темпът се ускори до 13,6 % в сравнение с 2023 г.  </w:t>
      </w:r>
    </w:p>
    <w:p w14:paraId="0A01B12B" w14:textId="2D316B93" w:rsidR="00AC028A" w:rsidRPr="00AC028A" w:rsidRDefault="00AC028A" w:rsidP="00AC028A">
      <w:pPr>
        <w:spacing w:after="120"/>
        <w:jc w:val="both"/>
        <w:rPr>
          <w:rFonts w:eastAsia="Calibri"/>
          <w:lang w:eastAsia="en-US"/>
        </w:rPr>
      </w:pPr>
      <w:r w:rsidRPr="00AC028A">
        <w:rPr>
          <w:rFonts w:eastAsia="Calibri"/>
          <w:lang w:eastAsia="en-US"/>
        </w:rPr>
        <w:t>През първото тримесечие на 2024 г. реалният растеж на производителността на труда се повиши до 1,2 % на годишна база, като принос имаха всички сектори.  С най-голям принос беше селското стопанство (3,4 %), следван</w:t>
      </w:r>
      <w:r w:rsidR="00AA63E1">
        <w:rPr>
          <w:rFonts w:eastAsia="Calibri"/>
          <w:lang w:eastAsia="en-US"/>
        </w:rPr>
        <w:t>о</w:t>
      </w:r>
      <w:r w:rsidRPr="00AC028A">
        <w:rPr>
          <w:rFonts w:eastAsia="Calibri"/>
          <w:lang w:eastAsia="en-US"/>
        </w:rPr>
        <w:t xml:space="preserve"> от услугите (1,8%) и индустрия</w:t>
      </w:r>
      <w:r w:rsidR="00AA63E1">
        <w:rPr>
          <w:rFonts w:eastAsia="Calibri"/>
          <w:lang w:eastAsia="en-US"/>
        </w:rPr>
        <w:t>та</w:t>
      </w:r>
      <w:r w:rsidRPr="00AC028A">
        <w:rPr>
          <w:rFonts w:eastAsia="Calibri"/>
          <w:lang w:eastAsia="en-US"/>
        </w:rPr>
        <w:t xml:space="preserve"> без строителство (1,4 %). Производителността в преработващата промишленост също беше висока и достигна 5,8 % на годишна база. Растежите на производителността в строителството и в някои икономически дейности на сектор услуги ост</w:t>
      </w:r>
      <w:r w:rsidR="00AA63E1">
        <w:rPr>
          <w:rFonts w:eastAsia="Calibri"/>
          <w:lang w:eastAsia="en-US"/>
        </w:rPr>
        <w:t>анаха на отрицателна територия.</w:t>
      </w:r>
    </w:p>
    <w:p w14:paraId="7DF67B03" w14:textId="77777777" w:rsidR="00AC028A" w:rsidRPr="00AC028A" w:rsidRDefault="00AC028A" w:rsidP="00AC028A">
      <w:pPr>
        <w:numPr>
          <w:ilvl w:val="0"/>
          <w:numId w:val="33"/>
        </w:numPr>
        <w:spacing w:after="120" w:line="252" w:lineRule="auto"/>
        <w:contextualSpacing/>
        <w:jc w:val="both"/>
        <w:rPr>
          <w:rFonts w:eastAsia="Calibri"/>
          <w:b/>
          <w:bCs/>
          <w:i/>
          <w:iCs/>
          <w:lang w:eastAsia="en-US"/>
        </w:rPr>
      </w:pPr>
      <w:r w:rsidRPr="00AC028A">
        <w:rPr>
          <w:rFonts w:eastAsia="Calibri"/>
          <w:b/>
          <w:bCs/>
          <w:i/>
          <w:iCs/>
          <w:lang w:eastAsia="en-US"/>
        </w:rPr>
        <w:t>Инфлация</w:t>
      </w:r>
    </w:p>
    <w:p w14:paraId="73DA0B5C" w14:textId="77777777" w:rsidR="00AC028A" w:rsidRPr="00AC028A" w:rsidRDefault="00AC028A" w:rsidP="00AC028A">
      <w:pPr>
        <w:spacing w:after="120"/>
        <w:jc w:val="both"/>
        <w:rPr>
          <w:rFonts w:eastAsia="Calibri"/>
          <w:lang w:eastAsia="en-US"/>
        </w:rPr>
      </w:pPr>
      <w:r w:rsidRPr="00AC028A">
        <w:rPr>
          <w:rFonts w:eastAsia="Calibri"/>
          <w:lang w:eastAsia="en-US"/>
        </w:rPr>
        <w:t xml:space="preserve">Тенденцията на намаление на инфлацията по месеци на годишна база, която започна от последното тримесечие на 2022 г., продължи през цялата 2023 г., както и през първото полугодие на 2024 г. Процесът на </w:t>
      </w:r>
      <w:proofErr w:type="spellStart"/>
      <w:r w:rsidRPr="00AC028A">
        <w:rPr>
          <w:rFonts w:eastAsia="Calibri"/>
          <w:lang w:eastAsia="en-US"/>
        </w:rPr>
        <w:t>дезинфлация</w:t>
      </w:r>
      <w:proofErr w:type="spellEnd"/>
      <w:r w:rsidRPr="00AC028A">
        <w:rPr>
          <w:rFonts w:eastAsia="Calibri"/>
          <w:lang w:eastAsia="en-US"/>
        </w:rPr>
        <w:t xml:space="preserve"> продължи без прекъсване до април 2024 г., когато инфлацията спрямо същия месец на предходната година достигна 2,5 % - най-ниската стойност за последните три години. Намалението на годишната инфлация до април обхващаше всички основни компоненти на ХИПЦ. През май годишният темп на инфлация се ускори до 2,7 %, а през юни – до 2,8 %. Това се дължеше на повишението при цените на енергийните стоки и услугите. Базисната инфлация се ускори до 3,0 % през май, като през юни числото остана същото, при 2,5 % през април. От компонентите на базисната инфлация, услугите продължиха да поскъпват през май и юни, съответно до 4,2 % и 4,7 %, докато неенергийните промишлени стоки продължиха да забавят повишението си, съответно до 1,7 % и 1,1 %, спрямо съответния месец на 2023 г.</w:t>
      </w:r>
    </w:p>
    <w:p w14:paraId="0EF2D092" w14:textId="77777777" w:rsidR="00AC028A" w:rsidRPr="00AC028A" w:rsidRDefault="00AC028A" w:rsidP="00AC028A">
      <w:pPr>
        <w:numPr>
          <w:ilvl w:val="0"/>
          <w:numId w:val="33"/>
        </w:numPr>
        <w:spacing w:after="120" w:line="252" w:lineRule="auto"/>
        <w:contextualSpacing/>
        <w:jc w:val="both"/>
        <w:rPr>
          <w:rFonts w:eastAsia="Calibri"/>
          <w:b/>
          <w:bCs/>
          <w:i/>
          <w:iCs/>
          <w:lang w:eastAsia="en-US"/>
        </w:rPr>
      </w:pPr>
      <w:r w:rsidRPr="00AC028A">
        <w:rPr>
          <w:rFonts w:eastAsia="Calibri"/>
          <w:b/>
          <w:bCs/>
          <w:i/>
          <w:iCs/>
          <w:lang w:eastAsia="en-US"/>
        </w:rPr>
        <w:t>Външен сектор</w:t>
      </w:r>
    </w:p>
    <w:p w14:paraId="1438262B" w14:textId="77777777" w:rsidR="00AC028A" w:rsidRPr="00AC028A" w:rsidRDefault="00AC028A" w:rsidP="00AC028A">
      <w:pPr>
        <w:spacing w:after="120"/>
        <w:jc w:val="both"/>
        <w:rPr>
          <w:rFonts w:eastAsia="Calibri"/>
          <w:lang w:eastAsia="en-US"/>
        </w:rPr>
      </w:pPr>
      <w:r w:rsidRPr="00AC028A">
        <w:rPr>
          <w:rFonts w:eastAsia="Calibri"/>
          <w:lang w:eastAsia="en-US"/>
        </w:rPr>
        <w:t>През първото полугодие на 2024 г. външната позиция на страната остана стабилна. Салдото по текущата сметка бе балансирано, понижавайки се спрямо излишък от 0,2 % от БВП година по-рано. По-ниският баланс отразяваше разрастване на дефицита при търговията със стоки, докато излишъкът при услугите бе почти непроменен, а общият баланс по доходните статии се подобри спрямо предходната година. Цените на международно търгуваните стоки постепенно се покачваха от началото на 2024 г., външно търсене остана потиснато, докато инвестициите и потреблението в България нараснаха. В резултат, темповете на номинален спад на износа на стоки се забавиха през второ тримесечие, а при вноса дори бяха отчетени растежи. Общо за полугодието износът се понижи с 4,1 % на годишна база, а вносът нарасна с 0,4 %. След съществения спад през 2023 г., енергийните стоки имаха положителен принос за вноса и износа. Според регионалната разбивка, при търговията с ЕС продължават да се отчитат номинални спадове, докато вносът от трети страни се покачва минимално.</w:t>
      </w:r>
    </w:p>
    <w:p w14:paraId="7567C61B" w14:textId="77777777" w:rsidR="00AC028A" w:rsidRPr="00AC028A" w:rsidRDefault="00AC028A" w:rsidP="00AC028A">
      <w:pPr>
        <w:numPr>
          <w:ilvl w:val="0"/>
          <w:numId w:val="33"/>
        </w:numPr>
        <w:spacing w:after="120" w:line="252" w:lineRule="auto"/>
        <w:contextualSpacing/>
        <w:jc w:val="both"/>
        <w:rPr>
          <w:rFonts w:eastAsia="Calibri"/>
          <w:b/>
          <w:bCs/>
          <w:i/>
          <w:iCs/>
          <w:lang w:eastAsia="en-US"/>
        </w:rPr>
      </w:pPr>
      <w:r w:rsidRPr="00AC028A">
        <w:rPr>
          <w:rFonts w:eastAsia="Calibri"/>
          <w:b/>
          <w:bCs/>
          <w:i/>
          <w:iCs/>
          <w:lang w:eastAsia="en-US"/>
        </w:rPr>
        <w:t>Финансов сектор</w:t>
      </w:r>
    </w:p>
    <w:p w14:paraId="2927F6A4" w14:textId="6B008251" w:rsidR="00AC028A" w:rsidRPr="00AC028A" w:rsidRDefault="00AC028A" w:rsidP="00AC028A">
      <w:pPr>
        <w:spacing w:after="120"/>
        <w:jc w:val="both"/>
        <w:rPr>
          <w:lang w:eastAsia="en-US"/>
        </w:rPr>
      </w:pPr>
      <w:r w:rsidRPr="00AC028A">
        <w:rPr>
          <w:lang w:eastAsia="en-US"/>
        </w:rPr>
        <w:t>Кредитът за частния сектор продължи ускорението си през първите шест месеца на 2024 г. и в края на юни темпът му на растеж достигна 13,6 % на годишна база при 12,2 % в края на 2023</w:t>
      </w:r>
      <w:r w:rsidR="00934EE9">
        <w:rPr>
          <w:lang w:eastAsia="en-US"/>
        </w:rPr>
        <w:t> </w:t>
      </w:r>
      <w:r w:rsidRPr="00AC028A">
        <w:rPr>
          <w:lang w:eastAsia="en-US"/>
        </w:rPr>
        <w:t xml:space="preserve">г. С по-голям принос за това бяха кредитите за домакинства, чийто темп на растеж за същия период се повиши от 15,9 % до 19 %. Водеща роля имаха жилищните кредити (ръст от 24,8 %), след като все още ниските лихвени проценти и нарастването на цените на жилищата продължиха да поддържат търсенето на недвижими имоти. Потребителските кредити също постигнаха висок темп на нарастване от 14 % в края на юни, ускорявайки се спрямо 12,3 % в края на 2023 г. Кредитите за нефинансови предприятия също отчетоха по-висок темп на растеж в края на първото полугодие на 2024 г. от 8,5 % при 7,3 % в края на предходната година. Търсенето на оборотни средства под формата на овърдрафт кредити беше водещо за нарастването на корпоративните кредити периода. След забавянето си през 2023 г., през настоящата то отново се ускори и в края на юни темпът му достигна 11,4 % при 6,6 % в края на декември 2023 г. Същевременно, редовните корпоративни кредити забавиха нарастването си за шестте месеца от 9,4 % до 7,3 %. </w:t>
      </w:r>
    </w:p>
    <w:p w14:paraId="510DEC45" w14:textId="77777777" w:rsidR="00930B44" w:rsidRPr="00E56679" w:rsidRDefault="00930B44" w:rsidP="00930B44">
      <w:pPr>
        <w:spacing w:after="120"/>
        <w:jc w:val="both"/>
        <w:rPr>
          <w:rFonts w:eastAsia="Gulim"/>
          <w:color w:val="0070C0"/>
          <w:lang w:eastAsia="zh-CN"/>
        </w:rPr>
      </w:pPr>
    </w:p>
    <w:p w14:paraId="758BA541" w14:textId="77777777" w:rsidR="00930B44" w:rsidRPr="00E56679" w:rsidRDefault="00930B44" w:rsidP="00930B44">
      <w:pPr>
        <w:jc w:val="both"/>
        <w:rPr>
          <w:color w:val="0070C0"/>
        </w:rPr>
      </w:pPr>
    </w:p>
    <w:p w14:paraId="094F9378" w14:textId="77777777" w:rsidR="00930B44" w:rsidRPr="00E56679" w:rsidRDefault="00930B44" w:rsidP="00C364F1">
      <w:pPr>
        <w:rPr>
          <w:color w:val="0070C0"/>
        </w:rPr>
      </w:pPr>
    </w:p>
    <w:p w14:paraId="4CD928F3" w14:textId="77777777" w:rsidR="00C1101D" w:rsidRPr="00E56679" w:rsidRDefault="00C1101D" w:rsidP="00462B66">
      <w:pPr>
        <w:jc w:val="both"/>
        <w:rPr>
          <w:color w:val="0070C0"/>
        </w:rPr>
      </w:pPr>
    </w:p>
    <w:p w14:paraId="4204E19F" w14:textId="77777777" w:rsidR="00C1101D" w:rsidRPr="00E56679" w:rsidRDefault="00C1101D" w:rsidP="00462B66">
      <w:pPr>
        <w:jc w:val="both"/>
        <w:rPr>
          <w:color w:val="0070C0"/>
        </w:rPr>
      </w:pPr>
    </w:p>
    <w:p w14:paraId="50506774" w14:textId="77777777" w:rsidR="00C1101D" w:rsidRPr="00E56679" w:rsidRDefault="00C1101D" w:rsidP="00462B66">
      <w:pPr>
        <w:jc w:val="both"/>
        <w:rPr>
          <w:color w:val="0070C0"/>
        </w:rPr>
      </w:pPr>
    </w:p>
    <w:p w14:paraId="379DAD0D" w14:textId="77777777" w:rsidR="00C1101D" w:rsidRPr="00E56679" w:rsidRDefault="00C1101D" w:rsidP="00462B66">
      <w:pPr>
        <w:jc w:val="both"/>
        <w:rPr>
          <w:color w:val="0070C0"/>
        </w:rPr>
      </w:pPr>
    </w:p>
    <w:p w14:paraId="37049262" w14:textId="77777777" w:rsidR="00C1101D" w:rsidRPr="00E56679" w:rsidRDefault="00C1101D" w:rsidP="00462B66">
      <w:pPr>
        <w:jc w:val="both"/>
        <w:rPr>
          <w:color w:val="0070C0"/>
        </w:rPr>
      </w:pPr>
    </w:p>
    <w:p w14:paraId="45707817" w14:textId="77777777" w:rsidR="00C1101D" w:rsidRPr="00E56679" w:rsidRDefault="00C1101D" w:rsidP="00462B66">
      <w:pPr>
        <w:jc w:val="both"/>
        <w:rPr>
          <w:color w:val="0070C0"/>
        </w:rPr>
      </w:pPr>
    </w:p>
    <w:p w14:paraId="06BBF6EE" w14:textId="77777777" w:rsidR="00C1101D" w:rsidRPr="00E56679" w:rsidRDefault="00C1101D" w:rsidP="00462B66">
      <w:pPr>
        <w:jc w:val="both"/>
        <w:rPr>
          <w:color w:val="0070C0"/>
        </w:rPr>
      </w:pPr>
    </w:p>
    <w:p w14:paraId="73FCC380" w14:textId="77777777" w:rsidR="00F73759" w:rsidRPr="00E56679" w:rsidRDefault="00FA737D" w:rsidP="00A34163">
      <w:pPr>
        <w:spacing w:before="120" w:after="120"/>
        <w:jc w:val="both"/>
        <w:rPr>
          <w:color w:val="0070C0"/>
          <w:lang w:eastAsia="ar-SA"/>
        </w:rPr>
      </w:pPr>
      <w:r w:rsidRPr="00E56679">
        <w:rPr>
          <w:color w:val="0070C0"/>
          <w:lang w:eastAsia="ar-SA"/>
        </w:rPr>
        <w:br w:type="page"/>
      </w:r>
    </w:p>
    <w:p w14:paraId="42E50ACC" w14:textId="77777777" w:rsidR="004556E1" w:rsidRPr="003B6D48" w:rsidRDefault="004556E1" w:rsidP="004556E1">
      <w:pPr>
        <w:pStyle w:val="Heading1"/>
        <w:ind w:left="432"/>
        <w:jc w:val="center"/>
        <w:rPr>
          <w:rFonts w:ascii="Times New Roman" w:hAnsi="Times New Roman" w:cs="Times New Roman"/>
          <w:sz w:val="28"/>
          <w:szCs w:val="28"/>
        </w:rPr>
      </w:pPr>
      <w:bookmarkStart w:id="7" w:name="_Toc176351912"/>
      <w:bookmarkStart w:id="8" w:name="_Toc365649286"/>
      <w:bookmarkStart w:id="9" w:name="_Toc365897023"/>
      <w:bookmarkEnd w:id="6"/>
      <w:r w:rsidRPr="003B6D48">
        <w:rPr>
          <w:rFonts w:ascii="Times New Roman" w:hAnsi="Times New Roman" w:cs="Times New Roman"/>
          <w:sz w:val="28"/>
          <w:szCs w:val="28"/>
          <w:lang w:val="en-US"/>
        </w:rPr>
        <w:t>II</w:t>
      </w:r>
      <w:r w:rsidRPr="003B6D48">
        <w:rPr>
          <w:rFonts w:ascii="Times New Roman" w:hAnsi="Times New Roman" w:cs="Times New Roman"/>
          <w:sz w:val="28"/>
          <w:szCs w:val="28"/>
        </w:rPr>
        <w:t>. ОСНОВНИ АКЦЕНТИ ПО ОТНОШЕНИЕ НА БЮДЖЕТНОТО ИЗПЪЛНЕНИЕ</w:t>
      </w:r>
      <w:bookmarkEnd w:id="7"/>
    </w:p>
    <w:p w14:paraId="67DC1357" w14:textId="77777777" w:rsidR="008A33F9" w:rsidRPr="00E56679" w:rsidRDefault="008A33F9" w:rsidP="008A33F9">
      <w:pPr>
        <w:rPr>
          <w:color w:val="0070C0"/>
        </w:rPr>
      </w:pPr>
    </w:p>
    <w:p w14:paraId="00DEEBA4" w14:textId="77777777" w:rsidR="008A33F9" w:rsidRPr="00E56679" w:rsidRDefault="008A33F9" w:rsidP="008A33F9">
      <w:pPr>
        <w:rPr>
          <w:color w:val="0070C0"/>
        </w:rPr>
      </w:pPr>
    </w:p>
    <w:p w14:paraId="34ECC4EB" w14:textId="77777777" w:rsidR="008B1CC8" w:rsidRPr="005E72F4" w:rsidRDefault="008B1CC8" w:rsidP="008B1CC8">
      <w:pPr>
        <w:pStyle w:val="Heading2"/>
        <w:numPr>
          <w:ilvl w:val="0"/>
          <w:numId w:val="34"/>
        </w:numPr>
        <w:rPr>
          <w:rFonts w:ascii="Times New Roman" w:hAnsi="Times New Roman" w:cs="Times New Roman"/>
          <w:sz w:val="24"/>
          <w:szCs w:val="24"/>
        </w:rPr>
      </w:pPr>
      <w:bookmarkStart w:id="10" w:name="_Toc81485852"/>
      <w:bookmarkStart w:id="11" w:name="_Toc113440813"/>
      <w:bookmarkStart w:id="12" w:name="_Toc176351913"/>
      <w:bookmarkStart w:id="13" w:name="_Toc81485854"/>
      <w:bookmarkStart w:id="14" w:name="_Toc113440815"/>
      <w:r w:rsidRPr="005E72F4">
        <w:rPr>
          <w:rFonts w:ascii="Times New Roman" w:hAnsi="Times New Roman" w:cs="Times New Roman"/>
          <w:sz w:val="24"/>
          <w:szCs w:val="24"/>
        </w:rPr>
        <w:t>Фискални развития през първото полугодие на 202</w:t>
      </w:r>
      <w:r w:rsidRPr="005D4BE5">
        <w:rPr>
          <w:rFonts w:ascii="Times New Roman" w:hAnsi="Times New Roman" w:cs="Times New Roman"/>
          <w:sz w:val="24"/>
          <w:szCs w:val="24"/>
          <w:lang w:val="ru-RU"/>
        </w:rPr>
        <w:t>4</w:t>
      </w:r>
      <w:r w:rsidRPr="005E72F4">
        <w:rPr>
          <w:rFonts w:ascii="Times New Roman" w:hAnsi="Times New Roman" w:cs="Times New Roman"/>
          <w:sz w:val="24"/>
          <w:szCs w:val="24"/>
        </w:rPr>
        <w:t xml:space="preserve"> г.</w:t>
      </w:r>
      <w:bookmarkEnd w:id="10"/>
      <w:bookmarkEnd w:id="11"/>
      <w:bookmarkEnd w:id="12"/>
    </w:p>
    <w:p w14:paraId="346BBD23" w14:textId="31B193E6" w:rsidR="008B1CC8" w:rsidRDefault="008B1CC8" w:rsidP="008B1CC8">
      <w:pPr>
        <w:spacing w:after="120"/>
        <w:jc w:val="both"/>
      </w:pPr>
      <w:r>
        <w:t>В края на месец април 2024 г. Съвет</w:t>
      </w:r>
      <w:r w:rsidR="00AA63E1">
        <w:t>ът</w:t>
      </w:r>
      <w:r>
        <w:t xml:space="preserve"> на ЕС окончателно одобри </w:t>
      </w:r>
      <w:r w:rsidRPr="0081069F">
        <w:t>Регламент (ЕС) 2024/1263 на Европейския парламент и на Съвета от 29 април 2024 година за ефективна координация на икономическите политики и за многостранно бюджетно наблюдение и за отмяна на Регламент (ЕО) № 1466/97 на Съвета (OВ, L от 30 април 2024</w:t>
      </w:r>
      <w:r>
        <w:t xml:space="preserve"> г.)</w:t>
      </w:r>
      <w:r w:rsidR="001853DF">
        <w:t>.</w:t>
      </w:r>
      <w:r w:rsidRPr="0081069F">
        <w:t xml:space="preserve"> </w:t>
      </w:r>
      <w:r w:rsidR="001853DF">
        <w:t>С</w:t>
      </w:r>
      <w:r w:rsidRPr="0081069F">
        <w:t xml:space="preserve"> влизането в сила на </w:t>
      </w:r>
      <w:r w:rsidR="001853DF">
        <w:t>този Регламент</w:t>
      </w:r>
      <w:r w:rsidRPr="0081069F">
        <w:t xml:space="preserve"> се реформира</w:t>
      </w:r>
      <w:r>
        <w:t xml:space="preserve"> Пакт</w:t>
      </w:r>
      <w:r w:rsidR="00003629">
        <w:t>ът</w:t>
      </w:r>
      <w:r>
        <w:t xml:space="preserve"> за стабилност и растеж </w:t>
      </w:r>
      <w:r w:rsidR="001853DF">
        <w:t>-</w:t>
      </w:r>
      <w:r>
        <w:t xml:space="preserve"> нормативната рамка за координация на националните фискални политики на държавите-членки на ЕС</w:t>
      </w:r>
      <w:r w:rsidR="001853DF">
        <w:t>, като съгласно новите промени изготвянето</w:t>
      </w:r>
      <w:r>
        <w:t xml:space="preserve"> </w:t>
      </w:r>
      <w:r w:rsidR="001853DF">
        <w:t xml:space="preserve">на </w:t>
      </w:r>
      <w:proofErr w:type="spellStart"/>
      <w:r>
        <w:t>Конвергентна</w:t>
      </w:r>
      <w:proofErr w:type="spellEnd"/>
      <w:r>
        <w:t xml:space="preserve"> програма и </w:t>
      </w:r>
      <w:r w:rsidR="001853DF">
        <w:t xml:space="preserve">на </w:t>
      </w:r>
      <w:r>
        <w:t xml:space="preserve">Национална програма за реформи на Република България </w:t>
      </w:r>
      <w:r w:rsidR="001853DF">
        <w:t>се заменя с</w:t>
      </w:r>
      <w:r>
        <w:t xml:space="preserve"> изготвя</w:t>
      </w:r>
      <w:r w:rsidR="001853DF">
        <w:t>не на</w:t>
      </w:r>
      <w:r>
        <w:t xml:space="preserve"> Национален средносрочен фискално-структурен план</w:t>
      </w:r>
      <w:r w:rsidR="00F3574E">
        <w:t xml:space="preserve"> за хоризонт от 4 прогнозни години</w:t>
      </w:r>
      <w:r>
        <w:t>. Съгласно специфичната уредба за изготвянето на първите фискално-структурни планове за държавите-членки всяка от тях следва да представи своя първи план на ЕК до 20 септември 2024 г., освен ако не е постигнато съгласие между съответната държава членка и Европейската комисия да удължат този краен срок с разумен период от време. България е отправила искане до ЕК за удължаване на срока за изпращане на първия ѝ план до края на октомври т.г.</w:t>
      </w:r>
    </w:p>
    <w:p w14:paraId="2443A8AE" w14:textId="2CDB0AED" w:rsidR="008B1CC8" w:rsidRPr="00864A5B" w:rsidRDefault="008B1CC8" w:rsidP="008B1CC8">
      <w:pPr>
        <w:spacing w:after="120"/>
        <w:jc w:val="both"/>
      </w:pPr>
      <w:r w:rsidRPr="003A6F59">
        <w:t xml:space="preserve">През месец юни Европейската комисия и Европейската централна банка </w:t>
      </w:r>
      <w:r>
        <w:t>публикуваха</w:t>
      </w:r>
      <w:r w:rsidRPr="003A6F59">
        <w:t xml:space="preserve"> </w:t>
      </w:r>
      <w:proofErr w:type="spellStart"/>
      <w:r w:rsidRPr="003A6F59">
        <w:t>конвергентните</w:t>
      </w:r>
      <w:proofErr w:type="spellEnd"/>
      <w:r w:rsidRPr="003A6F59">
        <w:t xml:space="preserve"> доклади за 2024 г., в които представ</w:t>
      </w:r>
      <w:r w:rsidR="001853DF">
        <w:t>иха</w:t>
      </w:r>
      <w:r w:rsidRPr="003A6F59">
        <w:t xml:space="preserve"> оценката си за напредъка по пътя към еврозоната, постигнат от шестте държави членки, задължени да приемат еврото: България, Чехия, Унгария, Полша, Румъния и Швеция.</w:t>
      </w:r>
      <w:r w:rsidRPr="005D4BE5">
        <w:rPr>
          <w:lang w:val="ru-RU"/>
        </w:rPr>
        <w:t xml:space="preserve"> </w:t>
      </w:r>
      <w:r>
        <w:t>Според докладите с</w:t>
      </w:r>
      <w:r w:rsidRPr="003A6F59">
        <w:t>траната ни изпълнява три от четирите числови критерия за членство</w:t>
      </w:r>
      <w:r>
        <w:t xml:space="preserve"> в еврозоната</w:t>
      </w:r>
      <w:r w:rsidRPr="003A6F59">
        <w:t>, а именно</w:t>
      </w:r>
      <w:r w:rsidR="001853DF">
        <w:t>:</w:t>
      </w:r>
      <w:r w:rsidRPr="003A6F59">
        <w:t xml:space="preserve"> стабилност на публичните финанси (бюджетно салдо и държавен дълг), </w:t>
      </w:r>
      <w:r w:rsidR="001853DF">
        <w:t>в</w:t>
      </w:r>
      <w:r w:rsidRPr="003A6F59">
        <w:t>алут</w:t>
      </w:r>
      <w:r w:rsidR="001853DF">
        <w:t>е</w:t>
      </w:r>
      <w:r w:rsidRPr="003A6F59">
        <w:t>н курс и  дългосроч</w:t>
      </w:r>
      <w:r w:rsidR="001853DF">
        <w:t>е</w:t>
      </w:r>
      <w:r w:rsidRPr="003A6F59">
        <w:t xml:space="preserve">н лихвен процент. България не изпълнява единствено критерия за ценова стабилност, като очакванията са инфлацията да се понижи през следващите месеци, което би позволило </w:t>
      </w:r>
      <w:r w:rsidR="00F14AFA">
        <w:t>изпълнение и на този критерий</w:t>
      </w:r>
      <w:r>
        <w:t xml:space="preserve"> до края на годината</w:t>
      </w:r>
      <w:r w:rsidRPr="003A6F59">
        <w:t>.</w:t>
      </w:r>
      <w:r>
        <w:t xml:space="preserve"> България ще продължи</w:t>
      </w:r>
      <w:r w:rsidRPr="003A6F59">
        <w:t xml:space="preserve"> активно да работ</w:t>
      </w:r>
      <w:r>
        <w:t>и</w:t>
      </w:r>
      <w:r w:rsidRPr="003A6F59">
        <w:t xml:space="preserve"> за изпълнението на всички критерии за членство в еврозоната, както и за подобряване на бизнес средата и институционалната рамка за постигане на устойчиво сближаване с еврозоната. При покриване на всички критерии за членство, което се очаква да бъде изпълнено в края на годината, страната ни ще поиска изготвянето на извънредни </w:t>
      </w:r>
      <w:proofErr w:type="spellStart"/>
      <w:r w:rsidRPr="003A6F59">
        <w:t>конвергентни</w:t>
      </w:r>
      <w:proofErr w:type="spellEnd"/>
      <w:r w:rsidRPr="003A6F59">
        <w:t xml:space="preserve"> доклади от Европейската комисия и Европейската централна банка, на базата на които възможно най-скоро да се вземе решение за датата на членство на България в еврозоната.</w:t>
      </w:r>
    </w:p>
    <w:p w14:paraId="52AAE131" w14:textId="58147639" w:rsidR="008B1CC8" w:rsidRDefault="008B1CC8" w:rsidP="008B1CC8">
      <w:pPr>
        <w:spacing w:after="120"/>
        <w:jc w:val="both"/>
      </w:pPr>
      <w:r w:rsidRPr="001E1E12">
        <w:t>Фискалните развити</w:t>
      </w:r>
      <w:r>
        <w:t>я през първото полугодие на 2024</w:t>
      </w:r>
      <w:r w:rsidRPr="001E1E12">
        <w:t xml:space="preserve"> г</w:t>
      </w:r>
      <w:r w:rsidRPr="00864A5B">
        <w:t>.</w:t>
      </w:r>
      <w:r w:rsidRPr="001E1E12">
        <w:t xml:space="preserve"> бяха доминирани от множество фактори, влияещи разнопосочно върху бюджетните показатели. </w:t>
      </w:r>
      <w:r>
        <w:t>От една страна</w:t>
      </w:r>
      <w:r w:rsidR="00FE088E">
        <w:t>,</w:t>
      </w:r>
      <w:r>
        <w:t xml:space="preserve"> завръщането към нормалния бюджетен процес и приемането на закона за бюджета преди началото на бюджетната година повиши предвидимостта за икономиката и се очаква да подкрепи растежа с одобрената безпрецедентна по размер капиталова програма. Тенденциите на забавяне и спад при инфлацията продължиха, а безработицата остана на ниско равнище. От друга страна обаче</w:t>
      </w:r>
      <w:r w:rsidR="00FE088E">
        <w:t>,</w:t>
      </w:r>
      <w:r>
        <w:t xml:space="preserve"> страната отново се завърна към периода на политическа нестабилност, което съответно води до по-голяма неопределеност сред икономическите субекти за политиките и приоритетите, които ще бъдат следвани в краткосрочен и средносрочен план. </w:t>
      </w:r>
      <w:r w:rsidRPr="001E1E12">
        <w:t>Върху фиска продълж</w:t>
      </w:r>
      <w:r>
        <w:t>иха</w:t>
      </w:r>
      <w:r w:rsidRPr="001E1E12">
        <w:t xml:space="preserve"> да оказват влияние </w:t>
      </w:r>
      <w:r w:rsidRPr="00CC114A">
        <w:t>цени</w:t>
      </w:r>
      <w:r>
        <w:t xml:space="preserve">те на международните </w:t>
      </w:r>
      <w:r w:rsidRPr="001E1E12">
        <w:t>пазари на суровини</w:t>
      </w:r>
      <w:r w:rsidR="00FE088E">
        <w:t>те</w:t>
      </w:r>
      <w:r w:rsidRPr="001E1E12">
        <w:t xml:space="preserve"> и енергоносители</w:t>
      </w:r>
      <w:r w:rsidR="00FE088E">
        <w:t>те</w:t>
      </w:r>
      <w:r w:rsidRPr="001E1E12">
        <w:t>,</w:t>
      </w:r>
      <w:r>
        <w:t xml:space="preserve"> нарушените вериги за доставка,</w:t>
      </w:r>
      <w:r w:rsidRPr="001E1E12">
        <w:t xml:space="preserve"> наложените санкции поради войната в Украйна</w:t>
      </w:r>
      <w:r>
        <w:t xml:space="preserve"> и други</w:t>
      </w:r>
      <w:r w:rsidRPr="001E1E12">
        <w:t xml:space="preserve">. </w:t>
      </w:r>
    </w:p>
    <w:p w14:paraId="008E07AC" w14:textId="4E643AD1" w:rsidR="008B1CC8" w:rsidRPr="00864A5B" w:rsidRDefault="008B1CC8" w:rsidP="008B1CC8">
      <w:pPr>
        <w:spacing w:after="120"/>
        <w:jc w:val="both"/>
      </w:pPr>
      <w:r w:rsidRPr="00E427D9">
        <w:t>От страна на приходите</w:t>
      </w:r>
      <w:r w:rsidR="00833087">
        <w:t>,</w:t>
      </w:r>
      <w:r w:rsidRPr="00E427D9">
        <w:t xml:space="preserve"> към полугодието се наблюдава нарастване на данъчните </w:t>
      </w:r>
      <w:r>
        <w:t xml:space="preserve">приходи и </w:t>
      </w:r>
      <w:r w:rsidRPr="00E427D9">
        <w:t xml:space="preserve">приходите в частта на помощите </w:t>
      </w:r>
      <w:r>
        <w:t xml:space="preserve">и даренията </w:t>
      </w:r>
      <w:r w:rsidRPr="00E427D9">
        <w:t>(основно грантове по програмите и фондовете на ЕС)</w:t>
      </w:r>
      <w:r>
        <w:t>, докато неданъчните приходи</w:t>
      </w:r>
      <w:r w:rsidRPr="00E427D9">
        <w:t xml:space="preserve"> се свиват спрямо същия период на предходната година. В номинално изражение приходите по КФП нарастват с близо 3,</w:t>
      </w:r>
      <w:r>
        <w:t>1</w:t>
      </w:r>
      <w:r w:rsidRPr="00E427D9">
        <w:t xml:space="preserve"> млрд. лв. (</w:t>
      </w:r>
      <w:r>
        <w:t>9,8</w:t>
      </w:r>
      <w:r w:rsidRPr="00E427D9">
        <w:t xml:space="preserve"> на сто) сп</w:t>
      </w:r>
      <w:r>
        <w:t>рямо първите шест месеца на 2023</w:t>
      </w:r>
      <w:r w:rsidRPr="00E427D9">
        <w:t xml:space="preserve"> г., като основната част от този ръст се формира от данъчните пр</w:t>
      </w:r>
      <w:r>
        <w:t>иходи, които нарастват с над 2,6</w:t>
      </w:r>
      <w:r w:rsidRPr="00E427D9">
        <w:t xml:space="preserve"> млрд. лв. (10,</w:t>
      </w:r>
      <w:r>
        <w:t>7</w:t>
      </w:r>
      <w:r w:rsidRPr="00E427D9">
        <w:t xml:space="preserve"> на сто). </w:t>
      </w:r>
      <w:r w:rsidRPr="00864A5B">
        <w:t>Първото тримесечие на годината очерта ясно изразено забавяне при косвените данъци, които останаха номинално по-ниски от отчетените за същия период на 2023 г. Докато причините за забавянето при акцизите бяха свързани основно с базов ефект от увеличение на ставките през 2023 г., то при ДДС от внос продължиха да оказват влияние цените на нефта и други основни суровини на международните пазари, обем</w:t>
      </w:r>
      <w:r w:rsidR="005A64EA">
        <w:t xml:space="preserve">ът </w:t>
      </w:r>
      <w:r w:rsidRPr="00864A5B">
        <w:t>на внесените стоки, курс</w:t>
      </w:r>
      <w:r w:rsidR="005A64EA">
        <w:t>ът</w:t>
      </w:r>
      <w:r w:rsidRPr="00864A5B">
        <w:t xml:space="preserve"> на щатския долар и др. Номиналният ръст на постъпленията от ДДС за първото тримесечие остана нисък (3,9 на сто). Предприетите действия от приходните администрации за повишаване на събираемостта дадоха положителен резултат, като постъпленията от ДДС за второто тримесечие на 2024 г. отчитат номинален ръст от 23,9 на сто спрямо второто тримесечие на 2023 г. Това съответно компенсира в голяма степен забавянето от първото тримесечие и данъчните приходи към полугодието са близки до разчета за периода. Изпълнението на разчетите към ЗДБРБ за 2024 г. в частта на данъчните приходи</w:t>
      </w:r>
      <w:r>
        <w:t xml:space="preserve"> по КФП към полугодието на 2024</w:t>
      </w:r>
      <w:r>
        <w:rPr>
          <w:lang w:val="en-US"/>
        </w:rPr>
        <w:t> </w:t>
      </w:r>
      <w:r w:rsidRPr="00864A5B">
        <w:t>г. е 46,9 на сто, което е малко по-добро от отчетеното за същия период на 2023 г. (46,2 на сто).</w:t>
      </w:r>
    </w:p>
    <w:p w14:paraId="63C8F00E" w14:textId="4D636C3A" w:rsidR="008B1CC8" w:rsidRPr="00450E8B" w:rsidRDefault="008B1CC8" w:rsidP="008B1CC8">
      <w:pPr>
        <w:spacing w:after="120"/>
        <w:jc w:val="both"/>
      </w:pPr>
      <w:r w:rsidRPr="00AC4508">
        <w:t>В частта на неданъчните приходи се очертава забавяне основно при постъпленията от продажба на квоти за емисии на парникови газове по бюджета на Фонд „Сигурност на електроенергийната система“ (ФСЕС) и при приходите от дивидент за държавата от държавни предприятия.</w:t>
      </w:r>
      <w:r w:rsidRPr="00864A5B">
        <w:t xml:space="preserve"> Цените и количествата </w:t>
      </w:r>
      <w:r w:rsidR="00301BA8">
        <w:t xml:space="preserve">на </w:t>
      </w:r>
      <w:r w:rsidRPr="00864A5B">
        <w:t>продадени</w:t>
      </w:r>
      <w:r w:rsidR="00301BA8">
        <w:t>те</w:t>
      </w:r>
      <w:r w:rsidRPr="00864A5B">
        <w:t xml:space="preserve"> квоти за първите шест месеца на годината са по-ниски от заложените в плана за годината, което съответно води до по-ниски от планираните постъпления по бюджета на ФСЕС. При постъпленията от дивидент за държавата от държавни предприятия постъпленията през настоящата година са значително по-малко от отчетените към полугодието на 2023 г. – при постъпили </w:t>
      </w:r>
      <w:r w:rsidRPr="00CE4CC7">
        <w:t>727,8 млн. лв.</w:t>
      </w:r>
      <w:r>
        <w:t xml:space="preserve"> </w:t>
      </w:r>
      <w:r w:rsidRPr="00CE4CC7">
        <w:t>от дивидент за държава</w:t>
      </w:r>
      <w:r>
        <w:t>та</w:t>
      </w:r>
      <w:r w:rsidRPr="00CE4CC7">
        <w:t xml:space="preserve"> от държавни предприятия за шест</w:t>
      </w:r>
      <w:r>
        <w:t>т</w:t>
      </w:r>
      <w:r w:rsidRPr="00CE4CC7">
        <w:t xml:space="preserve">е месеца на 2023 г., през същия период на 2024 г. </w:t>
      </w:r>
      <w:r w:rsidR="00BB4EF6">
        <w:t>са постъпили едва 78,5 млн. лв.</w:t>
      </w:r>
      <w:r w:rsidRPr="00CE4CC7">
        <w:t xml:space="preserve"> </w:t>
      </w:r>
      <w:r w:rsidR="00BB4EF6" w:rsidRPr="00772219">
        <w:rPr>
          <w:lang w:val="ru-RU"/>
        </w:rPr>
        <w:t>(</w:t>
      </w:r>
      <w:r w:rsidR="00BB4EF6" w:rsidRPr="00BB4EF6">
        <w:t xml:space="preserve">при планирани в ЗДБРБ за 2024 г. </w:t>
      </w:r>
      <w:r w:rsidR="00BB4EF6">
        <w:t>324,3</w:t>
      </w:r>
      <w:r w:rsidR="00BB4EF6" w:rsidRPr="00BB4EF6">
        <w:t xml:space="preserve"> млн. лв.</w:t>
      </w:r>
      <w:r w:rsidR="00BB4EF6" w:rsidRPr="00772219">
        <w:rPr>
          <w:lang w:val="ru-RU"/>
        </w:rPr>
        <w:t>)</w:t>
      </w:r>
      <w:r w:rsidR="00BB4EF6" w:rsidRPr="00BB4EF6">
        <w:t xml:space="preserve">, поради </w:t>
      </w:r>
      <w:proofErr w:type="spellStart"/>
      <w:r w:rsidR="00BB4EF6" w:rsidRPr="00BB4EF6">
        <w:t>неразпределяне</w:t>
      </w:r>
      <w:proofErr w:type="spellEnd"/>
      <w:r w:rsidR="00BB4EF6" w:rsidRPr="00BB4EF6">
        <w:t xml:space="preserve"> на дивидент от печалбата на „БЕХ“ ЕАД за финансовата 2023 г., съгласно Решение на Наро</w:t>
      </w:r>
      <w:r w:rsidR="00BB4EF6">
        <w:t>дното събрание от 29.03.2024 г.</w:t>
      </w:r>
    </w:p>
    <w:p w14:paraId="2EAE2720" w14:textId="0D1FE071" w:rsidR="008B1CC8" w:rsidRPr="00A25D35" w:rsidRDefault="008B1CC8" w:rsidP="008B1CC8">
      <w:pPr>
        <w:spacing w:after="120"/>
        <w:jc w:val="both"/>
      </w:pPr>
      <w:r>
        <w:t xml:space="preserve">Изпълнението на разчетите в частта на помощите към полугодието е относително ниско, основно поради забавянето на постъпленията по втория, респективно третия транш по Механизма за възстановяване и устойчивост (МВУ). </w:t>
      </w:r>
      <w:r w:rsidRPr="00A25D35">
        <w:t>Към настоящия момент второто искане за плащане, което е изпратено към Европейската комисия (ЕК) на 07.10.2023 г., е в етап на оценка. Съществува риск от намаляване на размера на заявените средства (1</w:t>
      </w:r>
      <w:r>
        <w:t>,3</w:t>
      </w:r>
      <w:r w:rsidRPr="00A25D35">
        <w:t> </w:t>
      </w:r>
      <w:r>
        <w:t>млрд</w:t>
      </w:r>
      <w:r w:rsidRPr="00A25D35">
        <w:t>. л</w:t>
      </w:r>
      <w:r>
        <w:t>в</w:t>
      </w:r>
      <w:r w:rsidRPr="00A25D35">
        <w:t>.), поради включени в искането няколко ключови реформи в област Правосъдие и област Енергетика, на базата на които Националния план за възстановяване и устойчивост (НПВУ) е получил положителна оценка и за които ЕК не приема декларираното изпълнение като задоволително. Очакват се действия, както от страна на Народното събрание за осигуряване на съответствие на част от законодателните реформи с поетите ангажименти в НПВУ, така и от страна на органи, част от Съдебната система. Съгласно методологията, която прилага ЕК за неизпълнение на етапи и цели от ключови реформи, стойността на задържаната сума за всеки етап се екстраполира с коефициент над 5. Допустимия</w:t>
      </w:r>
      <w:r w:rsidR="00502AD7">
        <w:t>т</w:t>
      </w:r>
      <w:r w:rsidRPr="00A25D35">
        <w:t xml:space="preserve"> период за коригиране на приетите като незадоволително изпълнени етапи и цели е 6 месеца, след което стойността на същите съгласно оценката на ЕК се намалява от общата сума на Плана. </w:t>
      </w:r>
      <w:r w:rsidRPr="00864A5B">
        <w:t xml:space="preserve">С протоколно решение № 30 на Министерския съвет от 17 юли 2024 г. е взето решение за финализиране на преговорите с ЕК във връзка с изменението на НПВУ на основание член 21 от Регламент (ЕС) 2021/241 за създаване на МВУ (Регламента за МВУ) и за представяне на глава </w:t>
      </w:r>
      <w:proofErr w:type="spellStart"/>
      <w:r w:rsidRPr="00864A5B">
        <w:t>REPowerEU</w:t>
      </w:r>
      <w:proofErr w:type="spellEnd"/>
      <w:r w:rsidRPr="00864A5B">
        <w:t xml:space="preserve"> съгласно член 21в от Регламента в срок до 11 септември 2024 г. Процесът влияе на подаването на третото искане за плащане, което е на стойност 1,4 млрд. лв. и многократно увеличава риска от </w:t>
      </w:r>
      <w:proofErr w:type="spellStart"/>
      <w:r w:rsidRPr="00864A5B">
        <w:t>неполучаване</w:t>
      </w:r>
      <w:proofErr w:type="spellEnd"/>
      <w:r w:rsidRPr="00864A5B">
        <w:t xml:space="preserve"> на средствата в рамките на 2024 г.</w:t>
      </w:r>
    </w:p>
    <w:p w14:paraId="6A1FB3FD" w14:textId="77777777" w:rsidR="008B1CC8" w:rsidRPr="00636354" w:rsidRDefault="008B1CC8" w:rsidP="008B1CC8">
      <w:pPr>
        <w:spacing w:after="120"/>
        <w:jc w:val="both"/>
      </w:pPr>
      <w:r w:rsidRPr="00636354">
        <w:t xml:space="preserve">През първите шест месеца на 2024 г. се </w:t>
      </w:r>
      <w:r w:rsidRPr="002A6F90">
        <w:t xml:space="preserve">наблюдава </w:t>
      </w:r>
      <w:r w:rsidRPr="00636354">
        <w:t xml:space="preserve">относително ускорено нарастване на разходите, докато нарастването в частта на приходите бе по-умерено, което съответно се отрази във формиране на дефицит в размер на 0,6 млрд. лв. (0,3% от прогнозния БВП) по консолидираната фискална програма към края на юни 2024 г. За разлика от предходната година, когато през юни и юли еднократните приходи от дивидент за държавата от държавни предприятия компенсираха натрупания дефицит от предходните месеци, през 2024 г. ръстът на разходите е по-висок от темпа на нарастване на приходите, включително и поради липсата на еднократни приходи, което е причината бюджетното салдо да премине на отрицателна територия още към полугодието. </w:t>
      </w:r>
    </w:p>
    <w:p w14:paraId="5D48E80B" w14:textId="3D151E10" w:rsidR="008B1CC8" w:rsidRPr="00AA0C9B" w:rsidRDefault="008B1CC8" w:rsidP="008B1CC8">
      <w:pPr>
        <w:spacing w:after="120"/>
        <w:jc w:val="both"/>
      </w:pPr>
      <w:r w:rsidRPr="00AA0C9B">
        <w:t>На съпоставима база</w:t>
      </w:r>
      <w:r w:rsidR="004A290E">
        <w:rPr>
          <w:rStyle w:val="FootnoteReference"/>
        </w:rPr>
        <w:footnoteReference w:id="3"/>
      </w:r>
      <w:r w:rsidRPr="00AA0C9B">
        <w:t xml:space="preserve"> спрямо същия период на предходната година разходите и вноската в общия бюджет на ЕС нарастват номинално с близо 5,1 млрд. лв. (16,3 на сто), което се дължи основно на по-високия размер на разходите по националния бюджет. В отделните разходни показатели най-значително нарастване има при </w:t>
      </w:r>
      <w:r>
        <w:t>социалните и здравноосигурителните разходи</w:t>
      </w:r>
      <w:r w:rsidRPr="00AA0C9B">
        <w:t xml:space="preserve"> (2,</w:t>
      </w:r>
      <w:r>
        <w:t>5</w:t>
      </w:r>
      <w:r w:rsidRPr="00AA0C9B">
        <w:t xml:space="preserve"> млрд. лв.), както и в частта на разходите за персонал (1,</w:t>
      </w:r>
      <w:r>
        <w:t>9</w:t>
      </w:r>
      <w:r w:rsidRPr="00AA0C9B">
        <w:t xml:space="preserve"> млрд. лв.), капиталовите разх</w:t>
      </w:r>
      <w:r>
        <w:t>оди (1,0</w:t>
      </w:r>
      <w:r w:rsidRPr="00AA0C9B">
        <w:t xml:space="preserve"> млрд. лв.) и други. Ръстът на разходите се дължи на влезли в сила нормативни актове, вкл. промени в пенсионната сфера, </w:t>
      </w:r>
      <w:r>
        <w:t>разходи по реализирането на одобрени от Народното събрание инвестиционни проекти в сферата на отбраната и други инвестиционни разходи</w:t>
      </w:r>
      <w:r w:rsidRPr="00AA0C9B">
        <w:t>, влезли в сила увеличени размери на възнагражденията в редица администрации и други.</w:t>
      </w:r>
    </w:p>
    <w:p w14:paraId="50FAE6DB" w14:textId="77777777" w:rsidR="008B1CC8" w:rsidRPr="00AA0C9B" w:rsidRDefault="008B1CC8" w:rsidP="008B1CC8">
      <w:pPr>
        <w:spacing w:after="120"/>
        <w:jc w:val="both"/>
      </w:pPr>
      <w:r w:rsidRPr="00AA0C9B">
        <w:t xml:space="preserve">При отделните елементи на разходите, съпоставено със същия период на предходната година, най-значителен номинален ръст се отчита при социалните и здравноосигурителните разходи (2,5 млрд. лв. или 18,2 на сто), в т.ч. разходите за пенсии нарастват с 1,2 млрд. лв. (12,9 на сто). Основните мерки в пенсионната сфера, действащи през първото полугодие на 2024 г., влязоха в сила през 2023 г.: от 1 юли 2023 г. бяха </w:t>
      </w:r>
      <w:r w:rsidRPr="00D17BE1">
        <w:t xml:space="preserve">увеличени пенсиите </w:t>
      </w:r>
      <w:r w:rsidRPr="00AA0C9B">
        <w:t>по т.</w:t>
      </w:r>
      <w:r>
        <w:t xml:space="preserve"> </w:t>
      </w:r>
      <w:r w:rsidRPr="00AA0C9B">
        <w:t>н</w:t>
      </w:r>
      <w:r>
        <w:t>ар</w:t>
      </w:r>
      <w:r w:rsidRPr="00AA0C9B">
        <w:t xml:space="preserve">. „швейцарското правило“, като заедно с това бяха повишени минималните размери на трудовите пенсии и определени нови по-високи размери на пенсиите, несвързани с трудова дейност. Съвкупният ефект от тези промени засяга общо 2 013 700 пенсионери и възлиза </w:t>
      </w:r>
      <w:r>
        <w:t xml:space="preserve">средно-претеглено </w:t>
      </w:r>
      <w:r w:rsidRPr="00AA0C9B">
        <w:t>на 12 на сто увеличение след тяхното прилагане.</w:t>
      </w:r>
      <w:r>
        <w:t xml:space="preserve"> </w:t>
      </w:r>
      <w:r w:rsidRPr="00AE5897">
        <w:t xml:space="preserve">Предвид обстоятелството, че посочените мерки не са действали през първото полугодие на 2023 г. при съпоставката със същия период на предходната година се наблюдава базов ефект, което обуславя относително високия номинален ръст. </w:t>
      </w:r>
    </w:p>
    <w:p w14:paraId="447738E0" w14:textId="77777777" w:rsidR="008B1CC8" w:rsidRPr="00AE5897" w:rsidRDefault="008B1CC8" w:rsidP="008B1CC8">
      <w:pPr>
        <w:spacing w:after="120"/>
        <w:jc w:val="both"/>
      </w:pPr>
      <w:r w:rsidRPr="00AE5897">
        <w:t xml:space="preserve">Друг елемент на разходите, при който се отчита съществено нарастване спрямо полугодието на предходната година (с 1,9 млрд. лв. или 24,5 на сто) са разходите за персонал. Разгледани по съставни бюджети, най-съществена част от </w:t>
      </w:r>
      <w:r w:rsidRPr="00630B2D">
        <w:t xml:space="preserve">номиналното нарастване </w:t>
      </w:r>
      <w:r w:rsidRPr="00AE5897">
        <w:t xml:space="preserve">на разходите за персонал се формира </w:t>
      </w:r>
      <w:r>
        <w:t>по държавния бюджет, където те</w:t>
      </w:r>
      <w:r w:rsidRPr="00AE5897">
        <w:t xml:space="preserve"> нарастват с близо 0,9 млрд. лв. (23,3 на сто), следвани от разходите за персонал по бюджетите на общините, които нарастват с близо 0,8 млрд. лв. (</w:t>
      </w:r>
      <w:r>
        <w:t>27</w:t>
      </w:r>
      <w:r w:rsidRPr="00AE5897">
        <w:t>,</w:t>
      </w:r>
      <w:r>
        <w:t>2</w:t>
      </w:r>
      <w:r w:rsidRPr="00AE5897">
        <w:t xml:space="preserve"> на сто). Нарастването на разходите се дължи основно на увеличение на размера на възнагражденията </w:t>
      </w:r>
      <w:r>
        <w:t>със ЗДБРБ за 2023 г. и 2024 г.</w:t>
      </w:r>
      <w:r w:rsidRPr="00AE5897">
        <w:t xml:space="preserve">, </w:t>
      </w:r>
      <w:r>
        <w:t xml:space="preserve">както и на редица законодателни промени и актове на Министерския съвет, </w:t>
      </w:r>
      <w:r w:rsidRPr="00AE5897">
        <w:t>които бяха одобрени през второто полугодие на 2023 г. и първите шест месеца на 2024 г.</w:t>
      </w:r>
    </w:p>
    <w:p w14:paraId="2CCDB0A2" w14:textId="1592DA5C" w:rsidR="008B1CC8" w:rsidRPr="00AE5897" w:rsidRDefault="008B1CC8" w:rsidP="008B1CC8">
      <w:pPr>
        <w:spacing w:after="120"/>
        <w:jc w:val="both"/>
      </w:pPr>
      <w:r w:rsidRPr="00AE5897">
        <w:t>Капиталовите разходи на съпоставима база нарастват с 1,0</w:t>
      </w:r>
      <w:r>
        <w:t xml:space="preserve"> </w:t>
      </w:r>
      <w:r w:rsidRPr="00D126C1">
        <w:t>млрд. лв. (47,</w:t>
      </w:r>
      <w:r w:rsidR="006F47F1" w:rsidRPr="00D126C1">
        <w:rPr>
          <w:lang w:val="ru-RU"/>
        </w:rPr>
        <w:t>9</w:t>
      </w:r>
      <w:r w:rsidRPr="00D126C1">
        <w:t xml:space="preserve"> на сто), спрямо полугодието на 2023 г., като основен принос отново имат капиталовите разходи, извършени по държавния бюджет, които нарастват на съпоставима база с 0,</w:t>
      </w:r>
      <w:r w:rsidR="006F47F1" w:rsidRPr="00D126C1">
        <w:t>8</w:t>
      </w:r>
      <w:r w:rsidRPr="00D126C1">
        <w:t xml:space="preserve"> млрд. лв. (основно</w:t>
      </w:r>
      <w:r>
        <w:t xml:space="preserve"> поради разходите по одобрен от Народното събрание проект за инвестиционен разход „</w:t>
      </w:r>
      <w:r w:rsidRPr="00B95097">
        <w:t>Придобиване на основна бойна техника за изграждане на батальонни бойни групи от състава на механизирана бригада“</w:t>
      </w:r>
      <w:r>
        <w:t xml:space="preserve"> и други</w:t>
      </w:r>
      <w:r w:rsidRPr="00B95097">
        <w:t>)</w:t>
      </w:r>
      <w:r w:rsidRPr="00AE5897">
        <w:t>, следван</w:t>
      </w:r>
      <w:r>
        <w:t>и от инвестиционните разходи</w:t>
      </w:r>
      <w:r w:rsidRPr="00AE5897">
        <w:t xml:space="preserve"> по сметките за средства от ЕС</w:t>
      </w:r>
      <w:r>
        <w:t xml:space="preserve"> и по общинските бюджети</w:t>
      </w:r>
      <w:r w:rsidRPr="00AE5897">
        <w:t>.</w:t>
      </w:r>
    </w:p>
    <w:p w14:paraId="69FE06B9" w14:textId="77777777" w:rsidR="008B1CC8" w:rsidRPr="00BF25B5" w:rsidRDefault="008B1CC8" w:rsidP="008B1CC8">
      <w:pPr>
        <w:pStyle w:val="Heading2"/>
        <w:numPr>
          <w:ilvl w:val="0"/>
          <w:numId w:val="34"/>
        </w:numPr>
        <w:ind w:left="709" w:hanging="425"/>
        <w:rPr>
          <w:rFonts w:ascii="Times New Roman" w:hAnsi="Times New Roman" w:cs="Times New Roman"/>
          <w:sz w:val="24"/>
          <w:szCs w:val="24"/>
        </w:rPr>
      </w:pPr>
      <w:bookmarkStart w:id="15" w:name="_Toc176351914"/>
      <w:r w:rsidRPr="00BF25B5">
        <w:rPr>
          <w:rFonts w:ascii="Times New Roman" w:hAnsi="Times New Roman" w:cs="Times New Roman"/>
          <w:sz w:val="24"/>
          <w:szCs w:val="24"/>
        </w:rPr>
        <w:t>Предизвикателства при изпълнението на бюджета до края на годината</w:t>
      </w:r>
      <w:bookmarkEnd w:id="15"/>
    </w:p>
    <w:p w14:paraId="3F1C5163" w14:textId="77777777" w:rsidR="008B1CC8" w:rsidRDefault="008B1CC8" w:rsidP="008B1CC8">
      <w:pPr>
        <w:spacing w:before="120" w:after="120"/>
        <w:jc w:val="both"/>
      </w:pPr>
      <w:r w:rsidRPr="00B3403D">
        <w:t>След по-малко от една година управление на редовно правителство България отново навлезе в период на политическа нестабилност, вследствие на което, вместо предварително планираната ротация, Народното събрание гласува за оставка на правителството. Предвидените в Конституцията на Република България процедури за сформиране на ново правителство в рамките на 49-тото Народно събрание бяха изчерпани без успех и бяха насрочени нови извънредни избори за Народно събрание и одобрен нов служебен кабинет. След проведените избори ново управленско мнозинство отново не бе формирано в рамките на 50-тото Народно събрание и предстои насрочване на нови извънредни избори за Народно събрание и одобряване на нов служебен кабинет. Продължителният период на политическа нестабилност допълнително поставя предизвикателства както при изпълнението на бюджета за 2024 г., така и при изпълнението на етапите на бюджетната процедура за изготвянето на законопроекта за държавния бюджет за следващата година, както и за изготвянето на Актуализирана средносрочна бюджетна прогноза за периода 2025-2027 г. и Национален средносрочен фискално-структурен план на Република България за периода 2025-2028 г. Последният е от изключително значение в контекста на усилията на България за присъединяване към еврозоната</w:t>
      </w:r>
      <w:r>
        <w:t>.</w:t>
      </w:r>
    </w:p>
    <w:p w14:paraId="3C6B2C17" w14:textId="3A368C77" w:rsidR="008B1CC8" w:rsidRPr="005D4BE5" w:rsidRDefault="008B1CC8" w:rsidP="008B1CC8">
      <w:pPr>
        <w:spacing w:after="120"/>
        <w:jc w:val="both"/>
        <w:rPr>
          <w:lang w:val="ru-RU"/>
        </w:rPr>
      </w:pPr>
      <w:r>
        <w:t>Рамката</w:t>
      </w:r>
      <w:r w:rsidRPr="00B25639">
        <w:t xml:space="preserve"> по приходите в разчетите към ЗДБРБ за 2024 г. е планирана амбициозно и изисква максимална мобилизация на приходните администрации за подобряване на събираемостта, борба със сивата икономика и данъчните престъпления и насърчаване доброволното плащане на дължимите публични вземания. На този фон основните рискове пред изпълнението на прогнозите за приходите от данъци за 2024 г. са свързани с евентуални отклонения в използваните макроикономически допускания, потенциално забавяне на скоростта на икономическия растеж в страната и при външноикономическите ни партньори, както и с потенциалните преки и косвени ефекти върху икономиката от военните действия в Украйна. </w:t>
      </w:r>
      <w:r w:rsidRPr="00AE44BF">
        <w:t>Към момента напрежение при изпълнението на разчетите за годината се очертава при приходите от ДДС от внос, мита и корпоративни данъци. В тази връзка приходните администрации са ангажирани да предприемат активни мерки за засилване на фискалния контрол и други административни действия за повишаване на събираемостта на приходите</w:t>
      </w:r>
      <w:r w:rsidRPr="00B25639">
        <w:t>.</w:t>
      </w:r>
    </w:p>
    <w:p w14:paraId="7687421F" w14:textId="2E540394" w:rsidR="008B1CC8" w:rsidRPr="00436B86" w:rsidRDefault="008B1CC8" w:rsidP="008B1CC8">
      <w:pPr>
        <w:spacing w:after="120"/>
        <w:jc w:val="both"/>
      </w:pPr>
      <w:r w:rsidRPr="006E1C91">
        <w:t>По отношение на разходите съществуват пот</w:t>
      </w:r>
      <w:r>
        <w:t>енциални рискове, свързани с</w:t>
      </w:r>
      <w:r w:rsidRPr="006E1C91">
        <w:t xml:space="preserve"> възможностите за финансиране в рамките на одобрените разходи за годината на планираните за реализиране през 2024 г. проекти по Инвестиционната програма по чл. 106 и </w:t>
      </w:r>
      <w:r w:rsidR="00611302">
        <w:t xml:space="preserve">чл. </w:t>
      </w:r>
      <w:r w:rsidRPr="006E1C91">
        <w:t>107 от Закона за държавния бюджет на Република България за 2024 г., тъй като индикативния</w:t>
      </w:r>
      <w:r>
        <w:t>т</w:t>
      </w:r>
      <w:r w:rsidRPr="006E1C91">
        <w:t xml:space="preserve"> размер на прогнозния бюджет в Приложение № 2 към чл. 106</w:t>
      </w:r>
      <w:r w:rsidR="00611302">
        <w:t>, ал. 5</w:t>
      </w:r>
      <w:r w:rsidRPr="006E1C91">
        <w:t xml:space="preserve"> и </w:t>
      </w:r>
      <w:r w:rsidR="00611302">
        <w:t xml:space="preserve">Приложение № 3 към чл. </w:t>
      </w:r>
      <w:r w:rsidRPr="006E1C91">
        <w:t>107</w:t>
      </w:r>
      <w:r w:rsidR="00611302">
        <w:t>, ал. 13</w:t>
      </w:r>
      <w:r w:rsidRPr="006E1C91">
        <w:t xml:space="preserve"> на ЗДБРБ за 2024 г. е по-висок от заложените разходи в разчетите към закона за бюджета за настоящата година. При негативен сценарий за реализиране и финализиране в срок на проекти с по-голям бюджет за 2024 г. от заложения в разчетите за годината биха могли да възникнат нови задължения за разходи, които </w:t>
      </w:r>
      <w:r w:rsidR="00611302">
        <w:t>да доведат</w:t>
      </w:r>
      <w:r w:rsidRPr="006E1C91">
        <w:t xml:space="preserve"> до влошаване </w:t>
      </w:r>
      <w:r w:rsidR="00611302">
        <w:t xml:space="preserve">на </w:t>
      </w:r>
      <w:r w:rsidRPr="006E1C91">
        <w:t>салдото на сектор „Държавно управление“ спрямо индикативната рамка за годината</w:t>
      </w:r>
      <w:r>
        <w:t xml:space="preserve">. </w:t>
      </w:r>
    </w:p>
    <w:p w14:paraId="3E00A250" w14:textId="610703EA" w:rsidR="008B1CC8" w:rsidRPr="00864A5B" w:rsidRDefault="008B1CC8" w:rsidP="008B1CC8">
      <w:pPr>
        <w:spacing w:after="120"/>
        <w:jc w:val="both"/>
      </w:pPr>
      <w:r w:rsidRPr="004D06AF">
        <w:t xml:space="preserve">По отношение на планираните траншове по Механизма за възстановяване и устойчивост затруднения могат да възникнат при евентуално допълнително забавяне на изпълнението на заложените съгласно актуалния профил за плащане по НПВУ етапи и цели в т.ч. и приемането на необходимите законодателни промени, съответно закъснение при отчитането им и изпращането </w:t>
      </w:r>
      <w:r w:rsidRPr="00A95C9C">
        <w:t xml:space="preserve">на ново искане за плащане до Европейската комисия, което ще създаде риск от </w:t>
      </w:r>
      <w:proofErr w:type="spellStart"/>
      <w:r w:rsidRPr="00A95C9C">
        <w:t>неполучаване</w:t>
      </w:r>
      <w:proofErr w:type="spellEnd"/>
      <w:r w:rsidRPr="00A95C9C">
        <w:t xml:space="preserve"> на</w:t>
      </w:r>
      <w:r w:rsidRPr="004D06AF">
        <w:t xml:space="preserve"> планирания приход в рамките на финансовата година. </w:t>
      </w:r>
      <w:r w:rsidRPr="00943BBA">
        <w:t xml:space="preserve">При негативен сценарий </w:t>
      </w:r>
      <w:r w:rsidR="00B900DE">
        <w:t>за</w:t>
      </w:r>
      <w:r w:rsidRPr="00943BBA">
        <w:t xml:space="preserve"> размерите на потенциалното неизпълнение на разчетите по приходите по КФП (близо 2,5 млрд. лв.), независимо от значителното изоставане от прогнозните разходи по МВУ, се създава обективна предпоставка за невъзможност на Министерския съвет</w:t>
      </w:r>
      <w:r>
        <w:t>,</w:t>
      </w:r>
      <w:r w:rsidRPr="00943BBA">
        <w:t xml:space="preserve"> в условията на </w:t>
      </w:r>
      <w:r w:rsidRPr="00DE6E01">
        <w:t>напрегнат бюджет, да</w:t>
      </w:r>
      <w:r w:rsidRPr="00943BBA">
        <w:t xml:space="preserve"> одобри адекватни компенсиращи мерки на основание чл. 27, ал. 2 на ЗПФ, които да обезпечат спазването на индикативната цел за бюджетното салдо по КФП в мотивите към ЗДБРБ за 2024 г. Въпреки това, прилагайки методологията на Европейската система от регионални и национални сметки 2010 (ЕСС 2010) за оценка на показателите за сектор „Държавно управление“, ще бъдат положени максимални усилия дефицита на сектора за 2024 г. да остане в рамките на референтната стойност от 3 на сто от прогнозния БВП</w:t>
      </w:r>
      <w:r w:rsidRPr="000D6FB5">
        <w:t>.</w:t>
      </w:r>
    </w:p>
    <w:p w14:paraId="395FA510" w14:textId="6BCCC8F0" w:rsidR="008B1CC8" w:rsidRPr="00FF18AF" w:rsidRDefault="008B1CC8" w:rsidP="008B1CC8">
      <w:pPr>
        <w:spacing w:after="120"/>
        <w:jc w:val="both"/>
      </w:pPr>
      <w:r w:rsidRPr="00FF18AF">
        <w:t>В частта на разходите по КФП предизвикателство би представлявало възникването на потенциално нови, значителни по размер разходи за компенсации в изпълнение на приета</w:t>
      </w:r>
      <w:r w:rsidR="00547032">
        <w:t>та</w:t>
      </w:r>
      <w:r w:rsidRPr="00FF18AF">
        <w:t xml:space="preserve"> от Министерски съвет Програма за компенсиране на разходите на небитови крайни клиенти за електрическа енергия за периода от 01.07.2024 г. до 31.12.2024 г., одобрена с Решение № 546 от 31.07.2024 г. и в изпълнение на Решение на 50-тото Народното събрание </w:t>
      </w:r>
      <w:r w:rsidRPr="00B175E9">
        <w:t>(</w:t>
      </w:r>
      <w:proofErr w:type="spellStart"/>
      <w:r w:rsidRPr="00B175E9">
        <w:t>обн</w:t>
      </w:r>
      <w:proofErr w:type="spellEnd"/>
      <w:r w:rsidRPr="00B175E9">
        <w:t xml:space="preserve">. ДВ бр. 64/30.07.2024 г.). </w:t>
      </w:r>
      <w:r w:rsidRPr="00FF18AF">
        <w:t xml:space="preserve">При евентуално значително покачване на </w:t>
      </w:r>
      <w:proofErr w:type="spellStart"/>
      <w:r w:rsidRPr="00FF18AF">
        <w:t>средномесечните</w:t>
      </w:r>
      <w:proofErr w:type="spellEnd"/>
      <w:r w:rsidRPr="00FF18AF">
        <w:t xml:space="preserve"> цени </w:t>
      </w:r>
      <w:r>
        <w:t>през оставащите месеци до края на</w:t>
      </w:r>
      <w:r w:rsidRPr="00FF18AF">
        <w:t xml:space="preserve"> година могат да възникнат задължения за изплащане на компенсации, които да надвишават ресурса от целеви вноски по § 3 от ПЗР на ЗДБРБ за 2024</w:t>
      </w:r>
      <w:r w:rsidR="002D4AE2">
        <w:rPr>
          <w:lang w:val="en-US"/>
        </w:rPr>
        <w:t> </w:t>
      </w:r>
      <w:r w:rsidRPr="00FF18AF">
        <w:t xml:space="preserve">г. и съответно да формират дефицит по бюджета на ФСЕС. </w:t>
      </w:r>
    </w:p>
    <w:p w14:paraId="254C3406" w14:textId="237814DE" w:rsidR="008B1CC8" w:rsidRPr="00864A5B" w:rsidRDefault="008B1CC8" w:rsidP="008B1CC8">
      <w:pPr>
        <w:spacing w:after="120"/>
        <w:jc w:val="both"/>
      </w:pPr>
      <w:r w:rsidRPr="00864A5B">
        <w:t>В контекста на усилията за присъединяване на България към еврозоната и поддържане на дефицита и дълга на сектор „Държавно управление“ в рамките на критериите за конвергенция при спазване на референтните стойности от Пакта за стабилност и растеж, в краткосрочен план за 2024 г. се полагат усилия потенциалните рискове по отношение на критерия за дефицита, оценен по методологията на ЕСС 2010</w:t>
      </w:r>
      <w:r w:rsidR="00B900DE">
        <w:t>,</w:t>
      </w:r>
      <w:r w:rsidRPr="00864A5B">
        <w:t xml:space="preserve"> да бъдат преодолени. Основните предизвикателства са да се постигне заложената цел - дефицит на сектор „Държавно управление“ да не надвиши 3 на сто от прогнозния БВП, което е свързано с оценката на бюджетното салдо по КФП за 2024 г. и с недопускане възникването на нови задължения за разходи в края на годината, които независимо че не оказват влияние на касова основа се отразяват като разход за годината по методологията на ЕСС 2010. Внимание заслужават и корективите, свързани с отразяването на потоците по програмите и фондовете на ЕС по методологията на ЕСС 2010, оценките за корективите за отчитане на данъците по метода на времево изместване на касовите приходи и корективи за трансакции, приравнени на разход. По-задълбочен анализ на данните от оборотните ведомости на първостепенните разпоредители с бюджет ще бъде направен от данните за деветмесечието на 2024 г.</w:t>
      </w:r>
    </w:p>
    <w:p w14:paraId="2CE65A9A" w14:textId="247644A2" w:rsidR="006B6002" w:rsidRPr="00C376BE" w:rsidRDefault="006B6002" w:rsidP="00AA5F48">
      <w:pPr>
        <w:pStyle w:val="Heading2"/>
        <w:numPr>
          <w:ilvl w:val="0"/>
          <w:numId w:val="34"/>
        </w:numPr>
        <w:spacing w:before="360"/>
        <w:jc w:val="both"/>
        <w:rPr>
          <w:rFonts w:ascii="Times New Roman" w:hAnsi="Times New Roman" w:cs="Times New Roman"/>
          <w:i w:val="0"/>
          <w:sz w:val="24"/>
          <w:szCs w:val="24"/>
        </w:rPr>
      </w:pPr>
      <w:bookmarkStart w:id="16" w:name="_Toc176351915"/>
      <w:bookmarkEnd w:id="13"/>
      <w:bookmarkEnd w:id="14"/>
      <w:r w:rsidRPr="00C376BE">
        <w:rPr>
          <w:rFonts w:ascii="Times New Roman" w:hAnsi="Times New Roman" w:cs="Times New Roman"/>
          <w:i w:val="0"/>
          <w:sz w:val="24"/>
          <w:szCs w:val="24"/>
        </w:rPr>
        <w:t>Информация</w:t>
      </w:r>
      <w:r w:rsidRPr="00C376BE">
        <w:rPr>
          <w:rFonts w:ascii="Times New Roman" w:hAnsi="Times New Roman" w:cs="Times New Roman"/>
          <w:i w:val="0"/>
          <w:sz w:val="24"/>
          <w:szCs w:val="24"/>
          <w:lang w:val="ru-RU"/>
        </w:rPr>
        <w:t xml:space="preserve"> </w:t>
      </w:r>
      <w:r w:rsidR="00A9767A">
        <w:rPr>
          <w:rFonts w:ascii="Times New Roman" w:hAnsi="Times New Roman" w:cs="Times New Roman"/>
          <w:i w:val="0"/>
          <w:sz w:val="24"/>
          <w:szCs w:val="24"/>
          <w:lang w:val="ru-RU"/>
        </w:rPr>
        <w:t xml:space="preserve">за </w:t>
      </w:r>
      <w:r w:rsidR="00AA5F48" w:rsidRPr="00C376BE">
        <w:rPr>
          <w:rFonts w:ascii="Times New Roman" w:hAnsi="Times New Roman" w:cs="Times New Roman"/>
          <w:i w:val="0"/>
          <w:sz w:val="24"/>
          <w:szCs w:val="24"/>
        </w:rPr>
        <w:t>разходите за хуманитарна помощ, както и за справяне с последствията във връзка с военните действия в Украйна</w:t>
      </w:r>
      <w:bookmarkEnd w:id="16"/>
      <w:r w:rsidR="00D60F32" w:rsidRPr="00C376BE">
        <w:rPr>
          <w:rFonts w:ascii="Times New Roman" w:hAnsi="Times New Roman" w:cs="Times New Roman"/>
          <w:i w:val="0"/>
          <w:sz w:val="24"/>
          <w:szCs w:val="24"/>
        </w:rPr>
        <w:t xml:space="preserve"> </w:t>
      </w:r>
    </w:p>
    <w:p w14:paraId="17F9C157" w14:textId="77777777" w:rsidR="00BB061E" w:rsidRPr="009E6752" w:rsidRDefault="00BB061E" w:rsidP="00BB061E">
      <w:pPr>
        <w:jc w:val="both"/>
        <w:rPr>
          <w:bCs/>
          <w:color w:val="000000"/>
        </w:rPr>
      </w:pPr>
      <w:r w:rsidRPr="009E6752">
        <w:t>Отчетените от ПРБ разходи към 30.06.2024 г. по бюджетите им за финансиране на дейности по оказване на незабавна хуманитарна помощ на живеещите в Украйна български граждани и българи с украинско гражданство, включително при необходимост от евакуация, за предоставяне на хуманитарна помощ за Украйна, както и за извършване на разходи за справяне с последствията от военните действия срещу Украйна са в размер на 346,9 млн.</w:t>
      </w:r>
      <w:r w:rsidRPr="009E6752">
        <w:rPr>
          <w:bCs/>
          <w:color w:val="000000"/>
        </w:rPr>
        <w:t xml:space="preserve"> лв. за сметка на националния бюджет и 8,4 млн. лв. за сметка на средства от ЕС.</w:t>
      </w:r>
    </w:p>
    <w:p w14:paraId="637AEDA3" w14:textId="77777777" w:rsidR="00BB061E" w:rsidRPr="009E6752" w:rsidRDefault="00BB061E" w:rsidP="00372D68">
      <w:pPr>
        <w:spacing w:before="120"/>
        <w:jc w:val="both"/>
      </w:pPr>
      <w:r w:rsidRPr="009E6752">
        <w:rPr>
          <w:b/>
          <w:i/>
        </w:rPr>
        <w:t>По програми за хуманитарна помощ за лица, търсещи временна закрила</w:t>
      </w:r>
      <w:r w:rsidRPr="009E6752">
        <w:t xml:space="preserve"> </w:t>
      </w:r>
    </w:p>
    <w:p w14:paraId="7DFB678B" w14:textId="77777777" w:rsidR="00BB061E" w:rsidRPr="009E6752" w:rsidRDefault="00BB061E" w:rsidP="00BB061E">
      <w:pPr>
        <w:jc w:val="both"/>
      </w:pPr>
      <w:r w:rsidRPr="009E6752">
        <w:t>Разходите за хуманитарна помощ и за справяне с последствията от военните действия в Украйна към 30.06.2024 г. по „Програма за хуманитарно подпомагане на разселени лица от Украйна с предоставена временна закрила в Република България“ възлизат в размер на 15,4 млн. лв. като от тях: с ПМС № 22/15.02.2024 г. са одобрени допълнителни разходи по бюджета на Министерството на туризма за 2024 г. общо в размер на 6,1 млн. лв. и с ПМС № 209/10.06.2024 г. са одобрени допълнителни разходи по бюджета на МТ за 2024 г. в размер на 9,3 млн. лв.</w:t>
      </w:r>
    </w:p>
    <w:p w14:paraId="30C03DD4" w14:textId="77777777" w:rsidR="00BB061E" w:rsidRPr="009E6752" w:rsidRDefault="00BB061E" w:rsidP="00BB061E">
      <w:pPr>
        <w:spacing w:before="120"/>
        <w:jc w:val="both"/>
        <w:rPr>
          <w:rFonts w:eastAsia="MS Minngs"/>
          <w:bCs/>
        </w:rPr>
      </w:pPr>
      <w:r w:rsidRPr="009E6752">
        <w:rPr>
          <w:rFonts w:eastAsia="MS Minngs"/>
          <w:bCs/>
        </w:rPr>
        <w:t>Държавна помощ „</w:t>
      </w:r>
      <w:r w:rsidRPr="009E6752">
        <w:rPr>
          <w:rFonts w:eastAsia="MS Minngs"/>
          <w:b/>
          <w:bCs/>
          <w:i/>
        </w:rPr>
        <w:t>Помощ в подкрепа на ликвидността на земеделски стопани за преодоляване на негативното икономическо въздействие на руската агресия срещу Украйна</w:t>
      </w:r>
      <w:r w:rsidRPr="009E6752">
        <w:rPr>
          <w:rFonts w:eastAsia="MS Minngs"/>
          <w:bCs/>
        </w:rPr>
        <w:t>“</w:t>
      </w:r>
    </w:p>
    <w:p w14:paraId="5A10AB15" w14:textId="5C6B5E56" w:rsidR="00BB061E" w:rsidRPr="00BB061E" w:rsidRDefault="00BB061E" w:rsidP="00BB061E">
      <w:pPr>
        <w:jc w:val="both"/>
        <w:rPr>
          <w:rFonts w:eastAsia="MS Minngs"/>
          <w:bCs/>
        </w:rPr>
      </w:pPr>
      <w:r w:rsidRPr="009E6752">
        <w:rPr>
          <w:rFonts w:eastAsia="MS Minngs"/>
          <w:bCs/>
        </w:rPr>
        <w:t>Изплатените средства към 30.06.2024 г. от Държавен фонд „Земеделие“ по схема на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през 2023 г. и по схеми на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и „Помощ в подкрепа на ликвидността на земеделски стопани, производители на зърнени и маслодайни култури, за преодоляване на негативното икономическо въздействие на руската агресия срещу Украйна“ за 2024 г.</w:t>
      </w:r>
      <w:r w:rsidR="00EA5359">
        <w:rPr>
          <w:rFonts w:eastAsia="MS Minngs"/>
          <w:bCs/>
        </w:rPr>
        <w:t>,</w:t>
      </w:r>
      <w:r w:rsidRPr="009E6752">
        <w:rPr>
          <w:rFonts w:eastAsia="MS Minngs"/>
          <w:bCs/>
        </w:rPr>
        <w:t xml:space="preserve"> разработени при спазване на правилата Временната рамка </w:t>
      </w:r>
      <w:r w:rsidRPr="00BB061E">
        <w:rPr>
          <w:rFonts w:eastAsia="MS Minngs"/>
          <w:bCs/>
        </w:rPr>
        <w:t>за мерки за държавна помощ при кризи в подкрепа на икономиката след агресията на Русия срещу Украйна</w:t>
      </w:r>
      <w:r w:rsidR="00EA5359">
        <w:rPr>
          <w:rFonts w:eastAsia="MS Minngs"/>
          <w:bCs/>
        </w:rPr>
        <w:t>, са</w:t>
      </w:r>
      <w:r w:rsidRPr="00BB061E">
        <w:rPr>
          <w:rFonts w:eastAsia="MS Minngs"/>
          <w:bCs/>
        </w:rPr>
        <w:t xml:space="preserve"> в общ размер на 329,8 млн. лв., в т.</w:t>
      </w:r>
      <w:r w:rsidR="00076EAD" w:rsidRPr="00772219">
        <w:rPr>
          <w:rFonts w:eastAsia="MS Minngs"/>
          <w:bCs/>
          <w:lang w:val="ru-RU"/>
        </w:rPr>
        <w:t xml:space="preserve"> </w:t>
      </w:r>
      <w:r w:rsidRPr="00BB061E">
        <w:rPr>
          <w:rFonts w:eastAsia="MS Minngs"/>
          <w:bCs/>
        </w:rPr>
        <w:t>ч.:</w:t>
      </w:r>
    </w:p>
    <w:p w14:paraId="4C801FE4" w14:textId="77777777" w:rsidR="00BB061E" w:rsidRPr="00BB061E" w:rsidRDefault="00BB061E" w:rsidP="00BB061E">
      <w:pPr>
        <w:pStyle w:val="ListParagraph"/>
        <w:numPr>
          <w:ilvl w:val="0"/>
          <w:numId w:val="43"/>
        </w:numPr>
        <w:tabs>
          <w:tab w:val="left" w:pos="851"/>
        </w:tabs>
        <w:ind w:left="0" w:firstLine="567"/>
        <w:jc w:val="both"/>
        <w:rPr>
          <w:rFonts w:ascii="Times New Roman" w:eastAsia="MS Minngs" w:hAnsi="Times New Roman" w:cs="Times New Roman"/>
          <w:bCs/>
          <w:sz w:val="24"/>
          <w:szCs w:val="24"/>
        </w:rPr>
      </w:pPr>
      <w:r w:rsidRPr="00BB061E">
        <w:rPr>
          <w:rFonts w:ascii="Times New Roman" w:eastAsia="MS Minngs" w:hAnsi="Times New Roman" w:cs="Times New Roman"/>
          <w:bCs/>
          <w:sz w:val="24"/>
          <w:szCs w:val="24"/>
        </w:rPr>
        <w:t xml:space="preserve">по схема на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през 2023 г. – 10 392 лв. Средствата са одобрени с Решение на Управителния съвет на ДФЗ /Протокол № 224 от 17.01.2024 г./ и представляват неразплатени средства от предходна година, в т.ч. спрени плащания поради </w:t>
      </w:r>
      <w:proofErr w:type="spellStart"/>
      <w:r w:rsidRPr="00BB061E">
        <w:rPr>
          <w:rFonts w:ascii="Times New Roman" w:eastAsia="MS Minngs" w:hAnsi="Times New Roman" w:cs="Times New Roman"/>
          <w:bCs/>
          <w:sz w:val="24"/>
          <w:szCs w:val="24"/>
        </w:rPr>
        <w:t>неприключили</w:t>
      </w:r>
      <w:proofErr w:type="spellEnd"/>
      <w:r w:rsidRPr="00BB061E">
        <w:rPr>
          <w:rFonts w:ascii="Times New Roman" w:eastAsia="MS Minngs" w:hAnsi="Times New Roman" w:cs="Times New Roman"/>
          <w:bCs/>
          <w:sz w:val="24"/>
          <w:szCs w:val="24"/>
        </w:rPr>
        <w:t xml:space="preserve"> проверки и изплащане на средства на </w:t>
      </w:r>
      <w:proofErr w:type="spellStart"/>
      <w:r w:rsidRPr="00BB061E">
        <w:rPr>
          <w:rFonts w:ascii="Times New Roman" w:eastAsia="MS Minngs" w:hAnsi="Times New Roman" w:cs="Times New Roman"/>
          <w:bCs/>
          <w:sz w:val="24"/>
          <w:szCs w:val="24"/>
        </w:rPr>
        <w:t>бенефициери</w:t>
      </w:r>
      <w:proofErr w:type="spellEnd"/>
      <w:r w:rsidRPr="00BB061E">
        <w:rPr>
          <w:rFonts w:ascii="Times New Roman" w:eastAsia="MS Minngs" w:hAnsi="Times New Roman" w:cs="Times New Roman"/>
          <w:bCs/>
          <w:sz w:val="24"/>
          <w:szCs w:val="24"/>
        </w:rPr>
        <w:t xml:space="preserve"> с върнати суми поради закрити сметки.</w:t>
      </w:r>
    </w:p>
    <w:p w14:paraId="6A5450CE" w14:textId="77777777" w:rsidR="00BB061E" w:rsidRPr="00BB061E" w:rsidRDefault="00BB061E" w:rsidP="00BB061E">
      <w:pPr>
        <w:pStyle w:val="ListParagraph"/>
        <w:numPr>
          <w:ilvl w:val="0"/>
          <w:numId w:val="43"/>
        </w:numPr>
        <w:tabs>
          <w:tab w:val="left" w:pos="851"/>
        </w:tabs>
        <w:ind w:left="0" w:firstLine="567"/>
        <w:jc w:val="both"/>
        <w:rPr>
          <w:rFonts w:ascii="Times New Roman" w:eastAsia="MS Minngs" w:hAnsi="Times New Roman" w:cs="Times New Roman"/>
          <w:bCs/>
          <w:sz w:val="24"/>
          <w:szCs w:val="24"/>
        </w:rPr>
      </w:pPr>
      <w:r w:rsidRPr="00BB061E">
        <w:rPr>
          <w:rFonts w:ascii="Times New Roman" w:eastAsia="MS Minngs" w:hAnsi="Times New Roman" w:cs="Times New Roman"/>
          <w:bCs/>
          <w:sz w:val="24"/>
          <w:szCs w:val="24"/>
        </w:rPr>
        <w:t>по схеми на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и „Помощ в подкрепа на ликвидността на земеделски стопани, производители на зърнени и маслодайни култури, за преодоляване на негативното икономическо въздействие на руската агресия срещу Украйна“ за 2024 г. - 329 814 760 лв. Средствата са одобрени с Постановление на Министерския съвет № 153 от 30.04.2024 г. и решения на Управителния съвет на ДФЗ /Протокол № 228 от 07.05.2024 г. и № 229 от 16.05.2024 г./.</w:t>
      </w:r>
    </w:p>
    <w:p w14:paraId="6A1F72AD" w14:textId="1FD59C6B" w:rsidR="00BB061E" w:rsidRPr="009E6752" w:rsidRDefault="00BB061E" w:rsidP="00BB061E">
      <w:pPr>
        <w:pStyle w:val="CharCharCharChar"/>
        <w:tabs>
          <w:tab w:val="left" w:pos="993"/>
        </w:tabs>
        <w:spacing w:before="120" w:after="0" w:line="240" w:lineRule="auto"/>
        <w:jc w:val="both"/>
        <w:rPr>
          <w:rFonts w:ascii="Times New Roman" w:hAnsi="Times New Roman"/>
          <w:sz w:val="24"/>
          <w:szCs w:val="24"/>
          <w:lang w:val="bg-BG"/>
        </w:rPr>
      </w:pPr>
      <w:r w:rsidRPr="009E6752">
        <w:rPr>
          <w:rFonts w:ascii="Times New Roman" w:hAnsi="Times New Roman"/>
          <w:b/>
          <w:i/>
          <w:sz w:val="24"/>
          <w:szCs w:val="24"/>
          <w:lang w:val="bg-BG"/>
        </w:rPr>
        <w:t>В областта на социалната закрила</w:t>
      </w:r>
      <w:r w:rsidRPr="009E6752">
        <w:rPr>
          <w:rFonts w:ascii="Times New Roman" w:hAnsi="Times New Roman"/>
          <w:sz w:val="24"/>
          <w:szCs w:val="24"/>
          <w:lang w:val="bg-BG"/>
        </w:rPr>
        <w:t xml:space="preserve"> - в рамките на действащата нормативна уредба в областта на системата на социалното подпомагане, пристигащите в страната лица със статут на временна закрила, за които след оценка на всеки конкретен случай се констатира, че се нуждаят от подкрепа за задоволяване на основните жизнени потребности, имат право на социални помощи и защита, в т. ч. и хора с увреждания. Наред с това, пристигащите от Украйна имат право да работят у нас без разрешение за достъп до пазара на труда, както и да ползват облекчени процедури за достъп до българския пазар на труда. </w:t>
      </w:r>
    </w:p>
    <w:p w14:paraId="537F4152" w14:textId="3F3C75DB" w:rsidR="00BB061E" w:rsidRPr="009E6752" w:rsidRDefault="00BB061E" w:rsidP="00474D1B">
      <w:pPr>
        <w:jc w:val="both"/>
      </w:pPr>
      <w:r w:rsidRPr="009E6752">
        <w:t xml:space="preserve">Към 30.06.2024 г. от  Министерство на труда и социалната политика са отчетени общо </w:t>
      </w:r>
      <w:r w:rsidR="001E4BB7" w:rsidRPr="00772219">
        <w:rPr>
          <w:lang w:val="ru-RU"/>
        </w:rPr>
        <w:t>79</w:t>
      </w:r>
      <w:r w:rsidR="005B2578">
        <w:t> </w:t>
      </w:r>
      <w:r w:rsidR="001E4BB7" w:rsidRPr="00772219">
        <w:rPr>
          <w:lang w:val="ru-RU"/>
        </w:rPr>
        <w:t>245</w:t>
      </w:r>
      <w:r w:rsidR="005B2578">
        <w:t> </w:t>
      </w:r>
      <w:r w:rsidRPr="009E6752">
        <w:t>лв. социални разходи, от които:</w:t>
      </w:r>
    </w:p>
    <w:p w14:paraId="222B4D2D" w14:textId="2EFB94FC" w:rsidR="00BB061E" w:rsidRPr="009E6752" w:rsidRDefault="001E4BB7" w:rsidP="001E4BB7">
      <w:pPr>
        <w:jc w:val="both"/>
        <w:rPr>
          <w:lang w:eastAsia="en-US"/>
        </w:rPr>
      </w:pPr>
      <w:r w:rsidRPr="00772219">
        <w:rPr>
          <w:lang w:val="ru-RU" w:eastAsia="en-US"/>
        </w:rPr>
        <w:t xml:space="preserve">- </w:t>
      </w:r>
      <w:r w:rsidR="00BB061E" w:rsidRPr="009E6752">
        <w:rPr>
          <w:lang w:eastAsia="en-US"/>
        </w:rPr>
        <w:t xml:space="preserve">Сумата от 58 314 лв. за отпуснати еднократни помощи </w:t>
      </w:r>
      <w:r w:rsidR="00BB061E" w:rsidRPr="009E6752">
        <w:rPr>
          <w:bCs/>
          <w:lang w:eastAsia="en-US"/>
        </w:rPr>
        <w:t xml:space="preserve">по реда на чл. 16 от Правилника за прилагане на Закона за социално подпомагане (ППЗСП) </w:t>
      </w:r>
      <w:r w:rsidR="00BB061E" w:rsidRPr="009E6752">
        <w:rPr>
          <w:lang w:eastAsia="en-US"/>
        </w:rPr>
        <w:t>на разселени от Украйна лица с предоставена временна закрила, до петкратния размер на гарантирания минимален доход (375</w:t>
      </w:r>
      <w:r w:rsidR="005B2578">
        <w:rPr>
          <w:lang w:eastAsia="en-US"/>
        </w:rPr>
        <w:t> </w:t>
      </w:r>
      <w:r w:rsidR="00BB061E" w:rsidRPr="009E6752">
        <w:rPr>
          <w:lang w:eastAsia="en-US"/>
        </w:rPr>
        <w:t>лв.). За периода м.01-06.2024 г. са изплатени еднократни помощи на 155 лица с предоставена временна закрила.</w:t>
      </w:r>
    </w:p>
    <w:p w14:paraId="12FD70C6" w14:textId="7ADCD45A" w:rsidR="00BB061E" w:rsidRPr="009E6752" w:rsidRDefault="001E4BB7" w:rsidP="0093653F">
      <w:pPr>
        <w:tabs>
          <w:tab w:val="left" w:pos="357"/>
          <w:tab w:val="left" w:pos="709"/>
        </w:tabs>
        <w:jc w:val="both"/>
        <w:rPr>
          <w:lang w:eastAsia="en-US"/>
        </w:rPr>
      </w:pPr>
      <w:r w:rsidRPr="00772219">
        <w:rPr>
          <w:lang w:val="ru-RU" w:eastAsia="en-US"/>
        </w:rPr>
        <w:t xml:space="preserve">- </w:t>
      </w:r>
      <w:r w:rsidR="00BB061E" w:rsidRPr="009E6752">
        <w:rPr>
          <w:lang w:eastAsia="en-US"/>
        </w:rPr>
        <w:t xml:space="preserve">Сумата в размер на 20 931 лв. за отпуснати месечни помощи </w:t>
      </w:r>
      <w:r w:rsidR="00BB061E" w:rsidRPr="009E6752">
        <w:rPr>
          <w:bCs/>
          <w:lang w:eastAsia="en-US"/>
        </w:rPr>
        <w:t xml:space="preserve">по реда на чл. 9 от Правилника за прилагане на Закона за социално подпомагане (ППЗСП) </w:t>
      </w:r>
      <w:r w:rsidR="00BB061E" w:rsidRPr="009E6752">
        <w:rPr>
          <w:lang w:eastAsia="en-US"/>
        </w:rPr>
        <w:t>на разселени от Украйна лица.</w:t>
      </w:r>
    </w:p>
    <w:p w14:paraId="1FDC2A62" w14:textId="77777777" w:rsidR="00BB061E" w:rsidRPr="009E6752" w:rsidRDefault="00BB061E" w:rsidP="00B956A6">
      <w:pPr>
        <w:spacing w:before="120"/>
        <w:jc w:val="both"/>
      </w:pPr>
      <w:r w:rsidRPr="009E6752">
        <w:t>Отчетените ведомствени разходи от Министерство на здравеопазването за хуманитарна помощ, както и за справяне с последствията във връзка с военните действия в Украйна към 30.06.2024 г. са в размер на 0,08 млн. лв.  за украински граждани, получили специална закрила, настанени в Общежитието на „Национален център по обществено здраве и анализи“.</w:t>
      </w:r>
    </w:p>
    <w:p w14:paraId="5C52ABE5" w14:textId="0CCDB668" w:rsidR="00BB061E" w:rsidRPr="009E6752" w:rsidRDefault="00BB061E" w:rsidP="00D56E76">
      <w:pPr>
        <w:contextualSpacing/>
        <w:jc w:val="both"/>
      </w:pPr>
      <w:r w:rsidRPr="009E6752">
        <w:t>Предоставените средства за финансиране на дейности на БЧК, свързани със засиления миграционен натиск на граждани на Украйна - функциониране на контактен център към Правителствения информационен портал за Украйна в размер на 264 000 лв. съгласно ПМС №</w:t>
      </w:r>
      <w:r w:rsidR="005B2578">
        <w:t> </w:t>
      </w:r>
      <w:r w:rsidRPr="009E6752">
        <w:t>40/07.03.2024 г.</w:t>
      </w:r>
    </w:p>
    <w:p w14:paraId="321BC9A2" w14:textId="444FFA3D" w:rsidR="00DE244C" w:rsidRPr="00E56679" w:rsidRDefault="00BB061E" w:rsidP="00062927">
      <w:pPr>
        <w:spacing w:before="120"/>
        <w:jc w:val="both"/>
        <w:rPr>
          <w:rFonts w:ascii="Calibri" w:eastAsia="Calibri" w:hAnsi="Calibri"/>
          <w:color w:val="0070C0"/>
          <w:sz w:val="22"/>
          <w:szCs w:val="22"/>
          <w:lang w:val="ru-RU"/>
        </w:rPr>
      </w:pPr>
      <w:r w:rsidRPr="009E6752">
        <w:rPr>
          <w:lang w:eastAsia="en-US"/>
        </w:rPr>
        <w:t>Към 30.06.2024 г. Министерство на земеделието и храните е извършило разходи във  връзка с Решение № 317 от 20.05.2022 г. на Министерски съвет за приемане на програма за хуманитарно подпомагане на разселени лица от Украйна с предоставена временна закрила в Република България. Посочените суми са отчетени от Почивна база „Морско утро“ – Китен в размер на 287 567 лв.</w:t>
      </w:r>
      <w:r w:rsidRPr="009E6752">
        <w:rPr>
          <w:rFonts w:eastAsia="Calibri"/>
        </w:rPr>
        <w:t xml:space="preserve"> </w:t>
      </w:r>
      <w:r w:rsidR="00DE244C" w:rsidRPr="00E56679">
        <w:rPr>
          <w:rFonts w:ascii="Calibri" w:eastAsia="Calibri" w:hAnsi="Calibri"/>
          <w:color w:val="0070C0"/>
          <w:sz w:val="22"/>
          <w:szCs w:val="22"/>
          <w:lang w:val="ru-RU"/>
        </w:rPr>
        <w:br w:type="page"/>
      </w:r>
    </w:p>
    <w:p w14:paraId="6398AE0F" w14:textId="04BD0A90" w:rsidR="004556E1" w:rsidRPr="00A21206" w:rsidRDefault="004556E1" w:rsidP="00A705C6">
      <w:pPr>
        <w:pStyle w:val="Heading2"/>
        <w:numPr>
          <w:ilvl w:val="0"/>
          <w:numId w:val="34"/>
        </w:numPr>
        <w:ind w:left="709" w:hanging="425"/>
        <w:rPr>
          <w:rFonts w:ascii="Times New Roman" w:hAnsi="Times New Roman" w:cs="Times New Roman"/>
          <w:i w:val="0"/>
          <w:sz w:val="24"/>
          <w:szCs w:val="24"/>
        </w:rPr>
      </w:pPr>
      <w:bookmarkStart w:id="17" w:name="_Toc18400751"/>
      <w:bookmarkStart w:id="18" w:name="_Toc176351916"/>
      <w:r w:rsidRPr="00A21206">
        <w:rPr>
          <w:rFonts w:ascii="Times New Roman" w:hAnsi="Times New Roman" w:cs="Times New Roman"/>
          <w:i w:val="0"/>
          <w:sz w:val="24"/>
          <w:szCs w:val="24"/>
        </w:rPr>
        <w:t>Мерки за повишаване на събираемостта на приходите</w:t>
      </w:r>
      <w:bookmarkEnd w:id="17"/>
      <w:bookmarkEnd w:id="18"/>
    </w:p>
    <w:p w14:paraId="1D8B2653" w14:textId="74270A51" w:rsidR="00B62A43" w:rsidRDefault="00286DC9" w:rsidP="00CA0220">
      <w:pPr>
        <w:tabs>
          <w:tab w:val="left" w:pos="993"/>
        </w:tabs>
        <w:spacing w:before="120"/>
        <w:jc w:val="both"/>
      </w:pPr>
      <w:r w:rsidRPr="00B62A43">
        <w:rPr>
          <w:bCs/>
          <w:iCs/>
        </w:rPr>
        <w:t>Мерките</w:t>
      </w:r>
      <w:r w:rsidR="00B62A43">
        <w:rPr>
          <w:bCs/>
          <w:iCs/>
        </w:rPr>
        <w:t xml:space="preserve"> в областта на данъчната политика, с които се</w:t>
      </w:r>
      <w:r w:rsidR="00B62A43" w:rsidRPr="0063793C">
        <w:rPr>
          <w:bCs/>
          <w:iCs/>
        </w:rPr>
        <w:t xml:space="preserve"> цели по-ефективна превенция и противодействие на данъчните измами и укриването и </w:t>
      </w:r>
      <w:proofErr w:type="spellStart"/>
      <w:r w:rsidR="00B62A43" w:rsidRPr="0063793C">
        <w:rPr>
          <w:bCs/>
          <w:iCs/>
        </w:rPr>
        <w:t>неплащането</w:t>
      </w:r>
      <w:proofErr w:type="spellEnd"/>
      <w:r w:rsidR="00B62A43" w:rsidRPr="0063793C">
        <w:rPr>
          <w:bCs/>
          <w:iCs/>
        </w:rPr>
        <w:t xml:space="preserve"> на данъци</w:t>
      </w:r>
      <w:r w:rsidR="00B62A43">
        <w:t xml:space="preserve"> и повишаване на събираемостта на данъците, през 2024 г. включват:</w:t>
      </w:r>
    </w:p>
    <w:p w14:paraId="7E49FA3E" w14:textId="77777777" w:rsidR="00B62A43" w:rsidRPr="0063793C" w:rsidRDefault="00B62A43" w:rsidP="00CA0220">
      <w:pPr>
        <w:tabs>
          <w:tab w:val="left" w:pos="993"/>
        </w:tabs>
        <w:spacing w:before="120"/>
        <w:jc w:val="both"/>
        <w:rPr>
          <w:bCs/>
          <w:iCs/>
        </w:rPr>
      </w:pPr>
      <w:r w:rsidRPr="0063793C">
        <w:t>Мярката за осъществяване на фискален контрол върху движението на стоки с висок фискален риск (СВФР) е надградена с в</w:t>
      </w:r>
      <w:r w:rsidRPr="0063793C">
        <w:rPr>
          <w:bCs/>
          <w:iCs/>
        </w:rPr>
        <w:t xml:space="preserve">ъвеждане на </w:t>
      </w:r>
      <w:r w:rsidRPr="0063793C">
        <w:rPr>
          <w:b/>
          <w:bCs/>
          <w:iCs/>
        </w:rPr>
        <w:t>задължително предварително деклариране на данни за превозите на СВФР</w:t>
      </w:r>
      <w:r w:rsidRPr="0063793C">
        <w:rPr>
          <w:bCs/>
          <w:iCs/>
        </w:rPr>
        <w:t xml:space="preserve"> на територията на Република България (ДВ, бр. 66 от 2023 г., в сила от 1.10.2023 г.). От 1 януари 2024 г. прилагането на мярката е разширено, като е добав</w:t>
      </w:r>
      <w:r>
        <w:rPr>
          <w:bCs/>
          <w:iCs/>
        </w:rPr>
        <w:t>ено</w:t>
      </w:r>
      <w:r w:rsidRPr="0063793C">
        <w:rPr>
          <w:bCs/>
          <w:iCs/>
        </w:rPr>
        <w:t xml:space="preserve"> и декларирането на СВФР, започващи от територията на трета държава и завършващи на територията на страната, както и когато </w:t>
      </w:r>
      <w:r>
        <w:rPr>
          <w:bCs/>
          <w:iCs/>
        </w:rPr>
        <w:t xml:space="preserve">превозите </w:t>
      </w:r>
      <w:r w:rsidRPr="0063793C">
        <w:rPr>
          <w:bCs/>
          <w:iCs/>
        </w:rPr>
        <w:t>започват и завършват на територията на страната.</w:t>
      </w:r>
    </w:p>
    <w:p w14:paraId="77121049" w14:textId="77777777" w:rsidR="00B62A43" w:rsidRPr="0063793C" w:rsidRDefault="00B62A43" w:rsidP="00CA0220">
      <w:pPr>
        <w:tabs>
          <w:tab w:val="left" w:pos="993"/>
        </w:tabs>
        <w:spacing w:before="120"/>
        <w:jc w:val="both"/>
        <w:rPr>
          <w:bCs/>
          <w:iCs/>
        </w:rPr>
      </w:pPr>
      <w:r w:rsidRPr="0063793C">
        <w:rPr>
          <w:bCs/>
          <w:iCs/>
        </w:rPr>
        <w:t>От 01.01.2024 г. са в сила приетите промени в ДОПК (</w:t>
      </w:r>
      <w:proofErr w:type="spellStart"/>
      <w:r w:rsidRPr="0063793C">
        <w:rPr>
          <w:bCs/>
          <w:iCs/>
        </w:rPr>
        <w:t>обн</w:t>
      </w:r>
      <w:proofErr w:type="spellEnd"/>
      <w:r w:rsidRPr="0063793C">
        <w:rPr>
          <w:bCs/>
          <w:iCs/>
        </w:rPr>
        <w:t xml:space="preserve">., ДВ, бр. 100 от 2022 г.), с които се </w:t>
      </w:r>
      <w:r w:rsidRPr="0063793C">
        <w:rPr>
          <w:b/>
          <w:bCs/>
          <w:iCs/>
        </w:rPr>
        <w:t>подобрява цялостната уредба на обмена на информация и административното сътрудничество и се разширява обхватът на автоматичния обмен на информация</w:t>
      </w:r>
      <w:r w:rsidRPr="0063793C">
        <w:rPr>
          <w:bCs/>
          <w:iCs/>
        </w:rPr>
        <w:t xml:space="preserve">, като се включва и информацията, предоставяна от операторите на цифрови платформи за продавачи, извършващи дейност чрез тези платформи. Развитието на цифровизацията на икономиката и възможностите за укриване на доходи, особено в случаите, когато дейността се извършва чрез цифрови платформи, установени в други юрисдикции, мотивира разширяването на обхвата на автоматичния обмен на информация за данъчни цели по отношение на доходите, реализирани чрез такива платформи, и техните получатели. Промените са в съответствие с изискванията на Директива (ЕС) 2021/514 на Съвета от 22 март 2021 година за изменение на Директива 2011/16/ЕС относно административното сътрудничество в областта на данъчното облагане. </w:t>
      </w:r>
    </w:p>
    <w:p w14:paraId="0B07B2CA" w14:textId="77777777" w:rsidR="00B62A43" w:rsidRPr="0063793C" w:rsidRDefault="00B62A43" w:rsidP="00CA0220">
      <w:pPr>
        <w:tabs>
          <w:tab w:val="left" w:pos="993"/>
        </w:tabs>
        <w:spacing w:before="120"/>
        <w:jc w:val="both"/>
        <w:rPr>
          <w:bCs/>
          <w:iCs/>
        </w:rPr>
      </w:pPr>
      <w:r w:rsidRPr="0063793C">
        <w:rPr>
          <w:bCs/>
          <w:iCs/>
        </w:rPr>
        <w:t>От началото на 2024 г. са в сила и направените в ЗДДС (</w:t>
      </w:r>
      <w:proofErr w:type="spellStart"/>
      <w:r w:rsidRPr="0063793C">
        <w:rPr>
          <w:bCs/>
          <w:iCs/>
        </w:rPr>
        <w:t>обн</w:t>
      </w:r>
      <w:proofErr w:type="spellEnd"/>
      <w:r w:rsidRPr="0063793C">
        <w:rPr>
          <w:bCs/>
          <w:iCs/>
        </w:rPr>
        <w:t xml:space="preserve">., ДВ, бр. 102 от 2022 г., в сила от 01.01.2024 г.) изменения с цел да се разреши проблемът с измамите с ДДС при електронната търговия, чрез засилване на сътрудничеството между данъчните органи и доставчиците на платежни услуги, във връзка с </w:t>
      </w:r>
      <w:r w:rsidRPr="0063793C">
        <w:rPr>
          <w:b/>
          <w:bCs/>
          <w:iCs/>
        </w:rPr>
        <w:t>изискванията за доставчиците на платежни услуги</w:t>
      </w:r>
      <w:r w:rsidRPr="0063793C">
        <w:rPr>
          <w:bCs/>
          <w:iCs/>
        </w:rPr>
        <w:t xml:space="preserve">, въведени с разпоредбите на Директива (ЕС) 2020/284 на Съвета от 18 февруари 2020 година за изменение на Директива 2006/112/ЕО по отношение на въвеждането на определени изисквания за доставчиците на платежни услуги (Директива (ЕС) 2020/284). С промените са въведени задължения за доставчиците на платежни услуги да предават определена информация за трансграничните плащания, произхождащи от държави членки и за бенефициента („получателя”) на тези </w:t>
      </w:r>
      <w:proofErr w:type="spellStart"/>
      <w:r w:rsidRPr="0063793C">
        <w:rPr>
          <w:bCs/>
          <w:iCs/>
        </w:rPr>
        <w:t>презгранични</w:t>
      </w:r>
      <w:proofErr w:type="spellEnd"/>
      <w:r w:rsidRPr="0063793C">
        <w:rPr>
          <w:bCs/>
          <w:iCs/>
        </w:rPr>
        <w:t xml:space="preserve"> плащания, с цел правилното отчитане и облагане с ДДС на електронната търговия в ЕС.</w:t>
      </w:r>
    </w:p>
    <w:p w14:paraId="4162A302" w14:textId="77777777" w:rsidR="00B62A43" w:rsidRPr="0063793C" w:rsidRDefault="00B62A43" w:rsidP="00CA0220">
      <w:pPr>
        <w:tabs>
          <w:tab w:val="left" w:pos="993"/>
        </w:tabs>
        <w:spacing w:before="120"/>
        <w:jc w:val="both"/>
        <w:rPr>
          <w:bCs/>
          <w:iCs/>
        </w:rPr>
      </w:pPr>
      <w:r w:rsidRPr="0063793C">
        <w:rPr>
          <w:bCs/>
          <w:iCs/>
        </w:rPr>
        <w:t xml:space="preserve">Като мярка с цел изсветляване на сивата икономика е приета законова норма, с която се дава възможност на получател по доставка да задържи плащането на стойността на доставката/продажбата, в случаите когато доставчикът е задължен, но </w:t>
      </w:r>
      <w:r w:rsidRPr="0063793C">
        <w:rPr>
          <w:b/>
          <w:bCs/>
          <w:iCs/>
        </w:rPr>
        <w:t xml:space="preserve">не издаде касова бележка </w:t>
      </w:r>
      <w:r w:rsidRPr="0063793C">
        <w:rPr>
          <w:bCs/>
          <w:iCs/>
        </w:rPr>
        <w:t xml:space="preserve">(ЗИД ЗДДС, ДВ, бр. 106 от 2023 г., в сила от 1.01.2024 г.). </w:t>
      </w:r>
    </w:p>
    <w:p w14:paraId="00146357" w14:textId="70CBE06B" w:rsidR="00B62A43" w:rsidRPr="0063793C" w:rsidRDefault="00B62A43" w:rsidP="00CA0220">
      <w:pPr>
        <w:tabs>
          <w:tab w:val="left" w:pos="993"/>
        </w:tabs>
        <w:spacing w:before="120"/>
        <w:jc w:val="both"/>
        <w:rPr>
          <w:bCs/>
          <w:iCs/>
        </w:rPr>
      </w:pPr>
      <w:r w:rsidRPr="0063793C">
        <w:rPr>
          <w:bCs/>
          <w:iCs/>
        </w:rPr>
        <w:t xml:space="preserve">Въведено е (чл. 123 ал. 10 от ЗДДС) задължение за деклариране на данни от текущата счетоводна отчетност за </w:t>
      </w:r>
      <w:r w:rsidRPr="0063793C">
        <w:rPr>
          <w:b/>
          <w:bCs/>
          <w:iCs/>
        </w:rPr>
        <w:t>наличните парични средства в касите</w:t>
      </w:r>
      <w:r w:rsidRPr="0063793C">
        <w:rPr>
          <w:bCs/>
          <w:iCs/>
        </w:rPr>
        <w:t>, както и размерът на вземанията (включително от предоставени заеми) от собственици физически лица, работници, служители, лица, наети по договор за управление и контрол, и подотчетни лица, при условие че в края на календарно тримесечие общата сума на наличностите и вземанията надхвърля 50</w:t>
      </w:r>
      <w:r w:rsidR="006C1B15">
        <w:rPr>
          <w:bCs/>
          <w:iCs/>
        </w:rPr>
        <w:t> </w:t>
      </w:r>
      <w:r w:rsidRPr="0063793C">
        <w:rPr>
          <w:bCs/>
          <w:iCs/>
        </w:rPr>
        <w:t>000 лева.</w:t>
      </w:r>
    </w:p>
    <w:p w14:paraId="2933AB64" w14:textId="77777777" w:rsidR="00B62A43" w:rsidRPr="0063793C" w:rsidRDefault="00B62A43" w:rsidP="00CA0220">
      <w:pPr>
        <w:tabs>
          <w:tab w:val="left" w:pos="993"/>
        </w:tabs>
        <w:spacing w:before="120"/>
        <w:jc w:val="both"/>
        <w:rPr>
          <w:bCs/>
          <w:iCs/>
        </w:rPr>
      </w:pPr>
      <w:r w:rsidRPr="0063793C">
        <w:rPr>
          <w:bCs/>
          <w:iCs/>
        </w:rPr>
        <w:t>В съответствие с Директива (ЕС) 2022/2523 на Съвета за от 14 декември 2022 година за гарантиране на глобално минимално равнище от 15 на сто на данъчно облагане на ниво ЕС</w:t>
      </w:r>
      <w:r w:rsidRPr="0063793C">
        <w:rPr>
          <w:b/>
          <w:bCs/>
          <w:i/>
          <w:iCs/>
        </w:rPr>
        <w:t xml:space="preserve"> </w:t>
      </w:r>
      <w:r w:rsidRPr="0063793C">
        <w:rPr>
          <w:bCs/>
          <w:iCs/>
        </w:rPr>
        <w:t>на многонационалните групи от предприятия и големите национални групи в Съюза</w:t>
      </w:r>
      <w:r w:rsidRPr="0063793C">
        <w:t xml:space="preserve"> </w:t>
      </w:r>
      <w:r w:rsidRPr="0063793C">
        <w:rPr>
          <w:b/>
          <w:bCs/>
          <w:i/>
          <w:iCs/>
        </w:rPr>
        <w:t>в България е въведен допълнителен данък за постигане на минимално ефективно корпоративно данъчно облагане на многонационални групи предприятия и на големи национални групи предприятия</w:t>
      </w:r>
      <w:r w:rsidRPr="0063793C">
        <w:rPr>
          <w:bCs/>
          <w:iCs/>
        </w:rPr>
        <w:t>. Всички дружества, които са част от многонационални или национални групи предприятия с годишни приходи в консолидираните финансови отчети на крайното образувание майка на групата през поне две от четирите данъчни години, непосредствено предшестващи текущата данъчна година, от най-малко 750,0 млн. евро, подлежат на облагане с този допълнителен данък. Допълнителният данък за тези дружества ще се дължи от крайното предприятие майка или някое от междинните предприятия майки на групата, когато то е разположено в България. В страната е въведен и национален допълнителен данък, съгласно който съставните образувания на една многонационална група предприятия, които се намират в Република България, или на голяма национална група предприятия, подлежат на облагане с национален допълнителен данък.</w:t>
      </w:r>
    </w:p>
    <w:p w14:paraId="3E42EA4E" w14:textId="77777777" w:rsidR="00B62A43" w:rsidRPr="0063793C" w:rsidRDefault="00B62A43" w:rsidP="00CA0220">
      <w:pPr>
        <w:tabs>
          <w:tab w:val="left" w:pos="993"/>
        </w:tabs>
        <w:spacing w:before="120"/>
        <w:jc w:val="both"/>
        <w:rPr>
          <w:bCs/>
          <w:iCs/>
        </w:rPr>
      </w:pPr>
      <w:r w:rsidRPr="0063793C">
        <w:rPr>
          <w:bCs/>
          <w:iCs/>
        </w:rPr>
        <w:t>Оптимизирани са разпоредбите на ЗКПО, въвеждащи режима на</w:t>
      </w:r>
      <w:r w:rsidRPr="0063793C">
        <w:rPr>
          <w:b/>
          <w:bCs/>
          <w:iCs/>
        </w:rPr>
        <w:t xml:space="preserve"> данъчното облагане при напускане съгласно чл. 5 от Директива (ЕС) 2016/1164 на Съвета от 12 юли 2016 година за установяване на правила срещу практиките за избягване на данъци, които пряко засягат функционирането на вътрешния пазар. </w:t>
      </w:r>
      <w:r w:rsidRPr="0063793C">
        <w:rPr>
          <w:bCs/>
          <w:iCs/>
        </w:rPr>
        <w:t xml:space="preserve">Промяната касае трансфера на активи/дейност към друга част на предприятието, разположена извън страната, които са част от общия режим за данъчно регулиране при трансфер между част на едно предприятие, разположена в страната, и друга част на същото предприятие, разположена извън страната. </w:t>
      </w:r>
    </w:p>
    <w:p w14:paraId="282384AF" w14:textId="77777777" w:rsidR="00B62A43" w:rsidRPr="0063793C" w:rsidRDefault="00B62A43" w:rsidP="00CA0220">
      <w:pPr>
        <w:tabs>
          <w:tab w:val="left" w:pos="993"/>
        </w:tabs>
        <w:spacing w:before="120"/>
        <w:jc w:val="both"/>
        <w:rPr>
          <w:bCs/>
          <w:iCs/>
        </w:rPr>
      </w:pPr>
      <w:r w:rsidRPr="0063793C">
        <w:rPr>
          <w:bCs/>
          <w:iCs/>
        </w:rPr>
        <w:t xml:space="preserve">С цел да се осигури по-ефективно противодействие на отклонението от данъчно облагане чрез изплащане на част от възнаграждението под формата на „необлагаем доход“, в ЗДДФЛ е направена промяна, с която се </w:t>
      </w:r>
      <w:r w:rsidRPr="0063793C">
        <w:rPr>
          <w:b/>
          <w:bCs/>
          <w:iCs/>
        </w:rPr>
        <w:t>разширява обхвата за предоставяне на информация от платците на доходи, касаеща необлагаемите доходи</w:t>
      </w:r>
      <w:r w:rsidRPr="0063793C">
        <w:rPr>
          <w:bCs/>
          <w:iCs/>
        </w:rPr>
        <w:t>.</w:t>
      </w:r>
    </w:p>
    <w:p w14:paraId="75A5F8F3" w14:textId="77777777" w:rsidR="00B62A43" w:rsidRPr="0063793C" w:rsidRDefault="00B62A43" w:rsidP="00CA0220">
      <w:pPr>
        <w:tabs>
          <w:tab w:val="left" w:pos="993"/>
        </w:tabs>
        <w:spacing w:before="120"/>
        <w:jc w:val="both"/>
        <w:rPr>
          <w:bCs/>
          <w:iCs/>
        </w:rPr>
      </w:pPr>
      <w:r w:rsidRPr="0063793C">
        <w:rPr>
          <w:bCs/>
          <w:iCs/>
        </w:rPr>
        <w:t xml:space="preserve">Прието е </w:t>
      </w:r>
      <w:r w:rsidRPr="0063793C">
        <w:rPr>
          <w:b/>
          <w:bCs/>
          <w:iCs/>
        </w:rPr>
        <w:t>изплащането на трудово възнаграждение да се извършва само чрез превод или внасяне по платежна сметка</w:t>
      </w:r>
      <w:r w:rsidRPr="0063793C">
        <w:rPr>
          <w:bCs/>
          <w:iCs/>
        </w:rPr>
        <w:t xml:space="preserve"> в посочена от работника или служителя банка в страната, когато то се изплаща от работодател със 100 или повече наети лица (с изключение на лицата, с които е сключен трудов договор за краткотрайна сезонна селскостопанска работа) - чл. 3, ал. 1, т. 3 от Закона за ограничаване на плащанията в брой (ДВ, бр. 66 от 2023 г.).  </w:t>
      </w:r>
    </w:p>
    <w:p w14:paraId="7B4C7823" w14:textId="77777777" w:rsidR="00B62A43" w:rsidRPr="0063793C" w:rsidRDefault="00B62A43" w:rsidP="00CA0220">
      <w:pPr>
        <w:tabs>
          <w:tab w:val="left" w:pos="993"/>
        </w:tabs>
        <w:spacing w:before="120"/>
        <w:jc w:val="both"/>
        <w:rPr>
          <w:bCs/>
          <w:iCs/>
        </w:rPr>
      </w:pPr>
      <w:r w:rsidRPr="0063793C">
        <w:rPr>
          <w:bCs/>
          <w:iCs/>
        </w:rPr>
        <w:t>От началото на месец май е внедрена нова електронна услуга на НАП с контролиран достъп „</w:t>
      </w:r>
      <w:r w:rsidRPr="0063793C">
        <w:rPr>
          <w:b/>
          <w:bCs/>
          <w:iCs/>
        </w:rPr>
        <w:t>Справка за наличие или липса на задължения за целите на чл. 264 от ДОПК</w:t>
      </w:r>
      <w:r w:rsidRPr="0063793C">
        <w:rPr>
          <w:bCs/>
          <w:iCs/>
        </w:rPr>
        <w:t xml:space="preserve">“. Услугата е разработена в изпълнение на ангажиментите на НАП във връзка с промените в чл. 74 и чл. 264 от ДОПК, които са в сила от 03 май 2024 г. Чрез нея нотариуси, съдии по вписванията и длъжностни лица в Агенция по вписванията извършват проверка за непогасени задължения при прехвърлянето или учредяването на вещни права върху недвижими имоти или наследствени права, включващи недвижими имоти, включването на недвижими имоти или вещни права върху недвижими имоти, като непарични вноски в капитала на търговски дружества, вписването на ипотека или особен залог, както и при прехвърляне на моторни превозни средства. </w:t>
      </w:r>
    </w:p>
    <w:p w14:paraId="3FA9CC47" w14:textId="77777777" w:rsidR="00B62A43" w:rsidRPr="0063793C" w:rsidRDefault="00B62A43" w:rsidP="00CA0220">
      <w:pPr>
        <w:tabs>
          <w:tab w:val="left" w:pos="993"/>
        </w:tabs>
        <w:spacing w:before="120"/>
        <w:jc w:val="both"/>
        <w:rPr>
          <w:bCs/>
          <w:iCs/>
        </w:rPr>
      </w:pPr>
      <w:r w:rsidRPr="0063793C">
        <w:rPr>
          <w:b/>
          <w:bCs/>
          <w:iCs/>
        </w:rPr>
        <w:t xml:space="preserve">Реализира се въведения в ЗАДС акцизен календар </w:t>
      </w:r>
      <w:r w:rsidRPr="0063793C">
        <w:rPr>
          <w:bCs/>
          <w:iCs/>
        </w:rPr>
        <w:t>за поетапно увеличаване на ставките за период от четири години по отношение на облагането с акциз на тютюна и тютюневите изделия - в сила от 1 март 2023 г., както и на графика за увеличаване на акцизните ставки на заместителите на тютюна и на течностите за електронни цигари, независимо дали съдържат никотин (в сила от 01.08.2023 г.). В съответствие с този календар (чл. 37-39 ЗАДС), от 01.01.2024 г. са в сила нови, по-високи акцизни ставки за облагане на тютюневите изделия.</w:t>
      </w:r>
    </w:p>
    <w:p w14:paraId="700E997B" w14:textId="77777777" w:rsidR="00B62A43" w:rsidRPr="0063793C" w:rsidRDefault="00B62A43" w:rsidP="00CA0220">
      <w:pPr>
        <w:tabs>
          <w:tab w:val="left" w:pos="993"/>
        </w:tabs>
        <w:spacing w:before="120"/>
        <w:jc w:val="both"/>
        <w:rPr>
          <w:bCs/>
          <w:iCs/>
        </w:rPr>
      </w:pPr>
      <w:r w:rsidRPr="0063793C">
        <w:rPr>
          <w:bCs/>
          <w:iCs/>
        </w:rPr>
        <w:t xml:space="preserve">Положителен ефект върху приходите от акцизи през 2024 г. оказва </w:t>
      </w:r>
      <w:r w:rsidRPr="0063793C">
        <w:rPr>
          <w:b/>
          <w:bCs/>
          <w:iCs/>
        </w:rPr>
        <w:t>отпадането на временната мярка за освобождаване от акциз на електрическата енергия, втечнения нефтен газ и природния газ</w:t>
      </w:r>
      <w:r w:rsidRPr="0063793C">
        <w:rPr>
          <w:bCs/>
          <w:iCs/>
        </w:rPr>
        <w:t xml:space="preserve">, използвани като моторно гориво, съгласно член 15 от Директива 2003/96/ЕО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 Освобождаването действа през периода от 9 юли 2022 г. до 31 юли 2023 г. </w:t>
      </w:r>
    </w:p>
    <w:p w14:paraId="7B22EDC7" w14:textId="5E43E953" w:rsidR="00B62A43" w:rsidRPr="0063793C" w:rsidRDefault="00B62A43" w:rsidP="00CA0220">
      <w:pPr>
        <w:tabs>
          <w:tab w:val="left" w:pos="993"/>
        </w:tabs>
        <w:spacing w:before="120"/>
        <w:jc w:val="both"/>
        <w:rPr>
          <w:bCs/>
          <w:iCs/>
        </w:rPr>
      </w:pPr>
      <w:r w:rsidRPr="0063793C">
        <w:rPr>
          <w:bCs/>
          <w:iCs/>
        </w:rPr>
        <w:t xml:space="preserve">Като мярка за борба с COVID-19, през предходните години беше прието </w:t>
      </w:r>
      <w:r w:rsidRPr="0063793C">
        <w:rPr>
          <w:b/>
          <w:bCs/>
          <w:iCs/>
        </w:rPr>
        <w:t>прилагане на намалена ставка за ДДС от 9 % на определени стоки и услуги</w:t>
      </w:r>
      <w:r w:rsidRPr="0063793C">
        <w:rPr>
          <w:bCs/>
          <w:iCs/>
        </w:rPr>
        <w:t>. Въведената намалената ставка на ДДС в размер на 9 % за доставките на природен газ и за доставките на централно отопление приключи своето действие през миналата година</w:t>
      </w:r>
      <w:r w:rsidRPr="00772219">
        <w:rPr>
          <w:bCs/>
          <w:iCs/>
          <w:lang w:val="ru-RU"/>
        </w:rPr>
        <w:t xml:space="preserve"> </w:t>
      </w:r>
      <w:r w:rsidRPr="0063793C">
        <w:rPr>
          <w:bCs/>
          <w:iCs/>
        </w:rPr>
        <w:t>(в сила за периода от 9 юли 2022</w:t>
      </w:r>
      <w:r w:rsidR="009E5654">
        <w:rPr>
          <w:bCs/>
          <w:iCs/>
        </w:rPr>
        <w:t> </w:t>
      </w:r>
      <w:r w:rsidRPr="0063793C">
        <w:rPr>
          <w:bCs/>
          <w:iCs/>
        </w:rPr>
        <w:t xml:space="preserve">г. до 1 юли 2023 г.). Същевременно, прилагането на намалени ставки но ДДС за други стоки и услуги продължава да се прилага и през 2024 г. което оказва отрицателен ефект върху бюджетните приходи: </w:t>
      </w:r>
    </w:p>
    <w:p w14:paraId="0608F34B" w14:textId="77777777" w:rsidR="00B62A43" w:rsidRPr="0063793C" w:rsidRDefault="00B62A43" w:rsidP="00CA0220">
      <w:pPr>
        <w:tabs>
          <w:tab w:val="left" w:pos="993"/>
        </w:tabs>
        <w:ind w:firstLine="709"/>
        <w:jc w:val="both"/>
        <w:rPr>
          <w:bCs/>
          <w:iCs/>
        </w:rPr>
      </w:pPr>
      <w:r w:rsidRPr="0063793C">
        <w:rPr>
          <w:bCs/>
          <w:iCs/>
        </w:rPr>
        <w:t>-</w:t>
      </w:r>
      <w:r w:rsidRPr="0063793C">
        <w:rPr>
          <w:bCs/>
          <w:iCs/>
        </w:rPr>
        <w:tab/>
        <w:t xml:space="preserve">срокът на действие на намалената ставка от 9 на сто за ресторантьорски и кетъринг услуги е удължен до 31.12.2024 година; </w:t>
      </w:r>
    </w:p>
    <w:p w14:paraId="206A2B70" w14:textId="3C05F690" w:rsidR="00B62A43" w:rsidRPr="0063793C" w:rsidRDefault="00B62A43" w:rsidP="00CA0220">
      <w:pPr>
        <w:tabs>
          <w:tab w:val="left" w:pos="709"/>
          <w:tab w:val="left" w:pos="993"/>
        </w:tabs>
        <w:ind w:firstLine="709"/>
        <w:jc w:val="both"/>
        <w:rPr>
          <w:bCs/>
          <w:iCs/>
        </w:rPr>
      </w:pPr>
      <w:r>
        <w:rPr>
          <w:bCs/>
          <w:iCs/>
        </w:rPr>
        <w:t>-</w:t>
      </w:r>
      <w:r>
        <w:rPr>
          <w:bCs/>
          <w:iCs/>
        </w:rPr>
        <w:tab/>
      </w:r>
      <w:r w:rsidRPr="0063793C">
        <w:rPr>
          <w:bCs/>
          <w:iCs/>
        </w:rPr>
        <w:t>за доставка на услуга за използване на спортни съоръжения и за обща туристическа услуга, намалената ставка от 9 % действа до средата на годината, а от 01.07.2024 г. се прилага стандартна ставка от 20 % ДДС;</w:t>
      </w:r>
    </w:p>
    <w:p w14:paraId="24111B17" w14:textId="77777777" w:rsidR="00B62A43" w:rsidRPr="0063793C" w:rsidRDefault="00B62A43" w:rsidP="00CA0220">
      <w:pPr>
        <w:tabs>
          <w:tab w:val="left" w:pos="993"/>
        </w:tabs>
        <w:ind w:firstLine="709"/>
        <w:jc w:val="both"/>
        <w:rPr>
          <w:bCs/>
          <w:iCs/>
        </w:rPr>
      </w:pPr>
      <w:r>
        <w:rPr>
          <w:bCs/>
          <w:iCs/>
        </w:rPr>
        <w:t>-</w:t>
      </w:r>
      <w:r>
        <w:rPr>
          <w:bCs/>
          <w:iCs/>
        </w:rPr>
        <w:tab/>
        <w:t>в</w:t>
      </w:r>
      <w:r w:rsidRPr="0063793C">
        <w:rPr>
          <w:bCs/>
          <w:iCs/>
        </w:rPr>
        <w:t>ременният характер на ставката от 9 % за доставка на книги, на храна, подходяща за бебета или за малки деца и на бебешки пелени и подобни хигиенни артикули е изменен в постоянен;</w:t>
      </w:r>
    </w:p>
    <w:p w14:paraId="3F490C0F" w14:textId="77777777" w:rsidR="00B62A43" w:rsidRPr="0063793C" w:rsidRDefault="00B62A43" w:rsidP="00CA0220">
      <w:pPr>
        <w:tabs>
          <w:tab w:val="left" w:pos="993"/>
        </w:tabs>
        <w:ind w:firstLine="709"/>
        <w:jc w:val="both"/>
        <w:rPr>
          <w:bCs/>
          <w:iCs/>
        </w:rPr>
      </w:pPr>
      <w:r>
        <w:rPr>
          <w:bCs/>
          <w:iCs/>
        </w:rPr>
        <w:t>-</w:t>
      </w:r>
      <w:r>
        <w:rPr>
          <w:bCs/>
          <w:iCs/>
        </w:rPr>
        <w:tab/>
        <w:t>с</w:t>
      </w:r>
      <w:r w:rsidRPr="0063793C">
        <w:rPr>
          <w:bCs/>
          <w:iCs/>
        </w:rPr>
        <w:t>рокът на действие на въведената нулева ставка на ДДС за доставки на хляб и на брашно е удължен до 31 декември 2024 година.</w:t>
      </w:r>
    </w:p>
    <w:p w14:paraId="0B1D10F6" w14:textId="77777777" w:rsidR="004556E1" w:rsidRPr="00E56679" w:rsidRDefault="004556E1" w:rsidP="00635B2C">
      <w:pPr>
        <w:spacing w:before="120" w:after="120"/>
        <w:jc w:val="both"/>
        <w:rPr>
          <w:color w:val="0070C0"/>
          <w:lang w:eastAsia="ar-SA"/>
        </w:rPr>
      </w:pPr>
      <w:r w:rsidRPr="00E56679">
        <w:rPr>
          <w:color w:val="0070C0"/>
          <w:lang w:eastAsia="ar-SA"/>
        </w:rPr>
        <w:br w:type="page"/>
      </w:r>
    </w:p>
    <w:p w14:paraId="7520730C" w14:textId="6347A745" w:rsidR="000470AB" w:rsidRPr="00677E5F" w:rsidRDefault="000470AB" w:rsidP="00F73759">
      <w:pPr>
        <w:pStyle w:val="Heading1"/>
        <w:ind w:left="432"/>
        <w:jc w:val="center"/>
        <w:rPr>
          <w:rFonts w:ascii="Times New Roman" w:hAnsi="Times New Roman" w:cs="Times New Roman"/>
          <w:sz w:val="28"/>
          <w:szCs w:val="28"/>
        </w:rPr>
      </w:pPr>
      <w:bookmarkStart w:id="19" w:name="_Toc176351917"/>
      <w:r w:rsidRPr="00677E5F">
        <w:rPr>
          <w:rFonts w:ascii="Times New Roman" w:hAnsi="Times New Roman" w:cs="Times New Roman"/>
          <w:sz w:val="28"/>
          <w:szCs w:val="28"/>
          <w:lang w:val="en-US"/>
        </w:rPr>
        <w:t>I</w:t>
      </w:r>
      <w:r w:rsidR="004556E1" w:rsidRPr="00677E5F">
        <w:rPr>
          <w:rFonts w:ascii="Times New Roman" w:hAnsi="Times New Roman" w:cs="Times New Roman"/>
          <w:sz w:val="28"/>
          <w:szCs w:val="28"/>
          <w:lang w:val="en-US"/>
        </w:rPr>
        <w:t>I</w:t>
      </w:r>
      <w:r w:rsidRPr="00677E5F">
        <w:rPr>
          <w:rFonts w:ascii="Times New Roman" w:hAnsi="Times New Roman" w:cs="Times New Roman"/>
          <w:sz w:val="28"/>
          <w:szCs w:val="28"/>
          <w:lang w:val="en-US"/>
        </w:rPr>
        <w:t>I</w:t>
      </w:r>
      <w:r w:rsidRPr="00677E5F">
        <w:rPr>
          <w:rFonts w:ascii="Times New Roman" w:hAnsi="Times New Roman" w:cs="Times New Roman"/>
          <w:sz w:val="28"/>
          <w:szCs w:val="28"/>
        </w:rPr>
        <w:t xml:space="preserve">. ОСНОВНИ ПАРАМЕТРИ НА КОНСОЛИДИРАНАТА ФИСКАЛНА ПРОГРАМА ЗА </w:t>
      </w:r>
      <w:r w:rsidR="00997BBE" w:rsidRPr="00677E5F">
        <w:rPr>
          <w:rFonts w:ascii="Times New Roman" w:hAnsi="Times New Roman" w:cs="Times New Roman"/>
          <w:sz w:val="28"/>
          <w:szCs w:val="28"/>
        </w:rPr>
        <w:t xml:space="preserve">ПЪРВОТО </w:t>
      </w:r>
      <w:r w:rsidRPr="00677E5F">
        <w:rPr>
          <w:rFonts w:ascii="Times New Roman" w:hAnsi="Times New Roman" w:cs="Times New Roman"/>
          <w:sz w:val="28"/>
          <w:szCs w:val="28"/>
        </w:rPr>
        <w:t>ПОЛУГОДИЕ НА 20</w:t>
      </w:r>
      <w:r w:rsidR="00220C4B" w:rsidRPr="00677E5F">
        <w:rPr>
          <w:rFonts w:ascii="Times New Roman" w:hAnsi="Times New Roman" w:cs="Times New Roman"/>
          <w:sz w:val="28"/>
          <w:szCs w:val="28"/>
        </w:rPr>
        <w:t>2</w:t>
      </w:r>
      <w:r w:rsidR="00677E5F" w:rsidRPr="00677E5F">
        <w:rPr>
          <w:rFonts w:ascii="Times New Roman" w:hAnsi="Times New Roman" w:cs="Times New Roman"/>
          <w:sz w:val="28"/>
          <w:szCs w:val="28"/>
          <w:lang w:val="ru-RU"/>
        </w:rPr>
        <w:t>4</w:t>
      </w:r>
      <w:r w:rsidR="00114475" w:rsidRPr="00677E5F">
        <w:rPr>
          <w:rFonts w:ascii="Times New Roman" w:hAnsi="Times New Roman" w:cs="Times New Roman"/>
          <w:sz w:val="28"/>
          <w:szCs w:val="28"/>
        </w:rPr>
        <w:t xml:space="preserve"> </w:t>
      </w:r>
      <w:r w:rsidR="0036412D" w:rsidRPr="00677E5F">
        <w:rPr>
          <w:rFonts w:ascii="Times New Roman" w:hAnsi="Times New Roman" w:cs="Times New Roman"/>
          <w:sz w:val="28"/>
          <w:szCs w:val="28"/>
        </w:rPr>
        <w:t>ГОДИНА</w:t>
      </w:r>
      <w:bookmarkEnd w:id="8"/>
      <w:bookmarkEnd w:id="9"/>
      <w:bookmarkEnd w:id="19"/>
    </w:p>
    <w:p w14:paraId="78EA90B6" w14:textId="77777777" w:rsidR="000470AB" w:rsidRPr="00E56679" w:rsidRDefault="000470AB" w:rsidP="00C74EF8">
      <w:pPr>
        <w:pStyle w:val="BodyTextIndent"/>
        <w:spacing w:after="0"/>
        <w:ind w:left="0"/>
        <w:jc w:val="both"/>
        <w:rPr>
          <w:color w:val="0070C0"/>
          <w:sz w:val="16"/>
          <w:szCs w:val="16"/>
          <w:lang w:val="bg-BG"/>
        </w:rPr>
      </w:pPr>
    </w:p>
    <w:p w14:paraId="5F9BDBE9" w14:textId="77777777" w:rsidR="00677E5F" w:rsidRPr="006116BC" w:rsidRDefault="00677E5F" w:rsidP="00677E5F">
      <w:pPr>
        <w:pStyle w:val="BodyTextIndent"/>
        <w:spacing w:after="0"/>
        <w:ind w:left="0"/>
        <w:jc w:val="both"/>
        <w:rPr>
          <w:lang w:val="bg-BG"/>
        </w:rPr>
      </w:pPr>
      <w:r w:rsidRPr="006116BC">
        <w:rPr>
          <w:lang w:val="bg-BG"/>
        </w:rPr>
        <w:t>Основните параметри по изпълнението на консолидираната фискална програма за първото полугодие на 2024 г., съпоставени с изпълнението към полугодието на 202</w:t>
      </w:r>
      <w:r w:rsidRPr="006116BC">
        <w:rPr>
          <w:lang w:val="ru-RU"/>
        </w:rPr>
        <w:t>3</w:t>
      </w:r>
      <w:r w:rsidRPr="006116BC">
        <w:rPr>
          <w:lang w:val="bg-BG"/>
        </w:rPr>
        <w:t xml:space="preserve"> г. и разчетите към ЗДБРБ за 202</w:t>
      </w:r>
      <w:r w:rsidRPr="006116BC">
        <w:rPr>
          <w:lang w:val="ru-RU"/>
        </w:rPr>
        <w:t>4</w:t>
      </w:r>
      <w:r w:rsidRPr="006116BC">
        <w:rPr>
          <w:lang w:val="bg-BG"/>
        </w:rPr>
        <w:t xml:space="preserve"> г. са представени в следната таблица:</w:t>
      </w:r>
    </w:p>
    <w:p w14:paraId="79505368" w14:textId="77777777" w:rsidR="00677E5F" w:rsidRPr="006116BC" w:rsidRDefault="00677E5F" w:rsidP="00677E5F">
      <w:pPr>
        <w:pStyle w:val="BodyTextIndent"/>
        <w:spacing w:after="0"/>
        <w:ind w:left="0"/>
        <w:jc w:val="both"/>
        <w:rPr>
          <w:sz w:val="16"/>
          <w:szCs w:val="16"/>
          <w:lang w:val="bg-BG"/>
        </w:rPr>
      </w:pPr>
    </w:p>
    <w:p w14:paraId="78C94E3C" w14:textId="77777777" w:rsidR="00581229" w:rsidRDefault="00677E5F" w:rsidP="005B46A5">
      <w:pPr>
        <w:jc w:val="center"/>
        <w:rPr>
          <w:b/>
          <w:i/>
        </w:rPr>
      </w:pPr>
      <w:r w:rsidRPr="005B46A5">
        <w:rPr>
          <w:b/>
          <w:i/>
        </w:rPr>
        <w:t>Изпълнение на основните параметри на консолидираната фискална програма</w:t>
      </w:r>
    </w:p>
    <w:p w14:paraId="199CADDA" w14:textId="33525666" w:rsidR="00677E5F" w:rsidRPr="005B46A5" w:rsidRDefault="00677E5F" w:rsidP="005B46A5">
      <w:pPr>
        <w:jc w:val="center"/>
        <w:rPr>
          <w:b/>
          <w:i/>
        </w:rPr>
      </w:pPr>
      <w:r w:rsidRPr="005B46A5">
        <w:rPr>
          <w:b/>
          <w:i/>
        </w:rPr>
        <w:t xml:space="preserve"> към 30 юни 2024 година.</w:t>
      </w:r>
    </w:p>
    <w:p w14:paraId="2AC63B6B" w14:textId="77777777" w:rsidR="00677E5F" w:rsidRPr="006116BC" w:rsidRDefault="00677E5F" w:rsidP="00677E5F">
      <w:pPr>
        <w:jc w:val="right"/>
        <w:rPr>
          <w:b/>
          <w:sz w:val="18"/>
          <w:szCs w:val="18"/>
        </w:rPr>
      </w:pPr>
      <w:r w:rsidRPr="006116BC">
        <w:rPr>
          <w:b/>
          <w:sz w:val="18"/>
          <w:szCs w:val="18"/>
        </w:rPr>
        <w:t>(млн. лв.)</w:t>
      </w:r>
    </w:p>
    <w:tbl>
      <w:tblPr>
        <w:tblW w:w="9594" w:type="dxa"/>
        <w:tblCellMar>
          <w:left w:w="70" w:type="dxa"/>
          <w:right w:w="70" w:type="dxa"/>
        </w:tblCellMar>
        <w:tblLook w:val="04A0" w:firstRow="1" w:lastRow="0" w:firstColumn="1" w:lastColumn="0" w:noHBand="0" w:noVBand="1"/>
      </w:tblPr>
      <w:tblGrid>
        <w:gridCol w:w="2401"/>
        <w:gridCol w:w="907"/>
        <w:gridCol w:w="1059"/>
        <w:gridCol w:w="1011"/>
        <w:gridCol w:w="1146"/>
        <w:gridCol w:w="1123"/>
        <w:gridCol w:w="959"/>
        <w:gridCol w:w="988"/>
      </w:tblGrid>
      <w:tr w:rsidR="009B6AC4" w:rsidRPr="006116BC" w14:paraId="127098AC" w14:textId="77777777" w:rsidTr="008700E1">
        <w:trPr>
          <w:trHeight w:val="917"/>
        </w:trPr>
        <w:tc>
          <w:tcPr>
            <w:tcW w:w="2401" w:type="dxa"/>
            <w:vMerge w:val="restart"/>
            <w:tcBorders>
              <w:top w:val="double" w:sz="6" w:space="0" w:color="800000"/>
              <w:left w:val="double" w:sz="6" w:space="0" w:color="800000"/>
              <w:bottom w:val="single" w:sz="8" w:space="0" w:color="FFFFFF"/>
              <w:right w:val="single" w:sz="8" w:space="0" w:color="FFFFFF"/>
            </w:tcBorders>
            <w:shd w:val="clear" w:color="000000" w:fill="800000"/>
            <w:noWrap/>
            <w:vAlign w:val="bottom"/>
            <w:hideMark/>
          </w:tcPr>
          <w:p w14:paraId="11E24CB1" w14:textId="77777777" w:rsidR="009B6AC4" w:rsidRPr="006116BC" w:rsidRDefault="009B6AC4" w:rsidP="005D4BE5">
            <w:pPr>
              <w:jc w:val="center"/>
              <w:rPr>
                <w:b/>
                <w:bCs/>
                <w:color w:val="FFFFFF" w:themeColor="background1"/>
                <w:sz w:val="18"/>
                <w:szCs w:val="18"/>
              </w:rPr>
            </w:pPr>
            <w:r w:rsidRPr="006116BC">
              <w:rPr>
                <w:b/>
                <w:bCs/>
                <w:color w:val="FFFFFF" w:themeColor="background1"/>
                <w:sz w:val="18"/>
                <w:szCs w:val="18"/>
              </w:rPr>
              <w:t>ПОКАЗАТЕЛ</w:t>
            </w:r>
          </w:p>
        </w:tc>
        <w:tc>
          <w:tcPr>
            <w:tcW w:w="907" w:type="dxa"/>
            <w:vMerge w:val="restart"/>
            <w:tcBorders>
              <w:top w:val="double" w:sz="6" w:space="0" w:color="800000"/>
              <w:left w:val="single" w:sz="8" w:space="0" w:color="FFFFFF"/>
              <w:bottom w:val="single" w:sz="8" w:space="0" w:color="FFFFFF"/>
              <w:right w:val="single" w:sz="8" w:space="0" w:color="FFFFFF"/>
            </w:tcBorders>
            <w:shd w:val="clear" w:color="000000" w:fill="800000"/>
            <w:vAlign w:val="center"/>
            <w:hideMark/>
          </w:tcPr>
          <w:p w14:paraId="2E026CB4" w14:textId="77777777" w:rsidR="009B6AC4" w:rsidRDefault="009B6AC4" w:rsidP="005D4BE5">
            <w:pPr>
              <w:jc w:val="center"/>
              <w:rPr>
                <w:b/>
                <w:bCs/>
                <w:color w:val="FFFFFF" w:themeColor="background1"/>
                <w:sz w:val="18"/>
                <w:szCs w:val="18"/>
              </w:rPr>
            </w:pPr>
            <w:r w:rsidRPr="006116BC">
              <w:rPr>
                <w:b/>
                <w:bCs/>
                <w:color w:val="FFFFFF" w:themeColor="background1"/>
                <w:sz w:val="18"/>
                <w:szCs w:val="18"/>
              </w:rPr>
              <w:t xml:space="preserve">Отчет </w:t>
            </w:r>
          </w:p>
          <w:p w14:paraId="31A4ED74" w14:textId="77777777" w:rsidR="009B6AC4" w:rsidRPr="006116BC" w:rsidRDefault="009B6AC4" w:rsidP="005D4BE5">
            <w:pPr>
              <w:jc w:val="center"/>
              <w:rPr>
                <w:b/>
                <w:bCs/>
                <w:color w:val="FFFFFF" w:themeColor="background1"/>
                <w:sz w:val="18"/>
                <w:szCs w:val="18"/>
              </w:rPr>
            </w:pPr>
            <w:r w:rsidRPr="006116BC">
              <w:rPr>
                <w:b/>
                <w:bCs/>
                <w:color w:val="FFFFFF" w:themeColor="background1"/>
                <w:sz w:val="18"/>
                <w:szCs w:val="18"/>
              </w:rPr>
              <w:t>Н1 202</w:t>
            </w:r>
            <w:r>
              <w:rPr>
                <w:b/>
                <w:bCs/>
                <w:color w:val="FFFFFF" w:themeColor="background1"/>
                <w:sz w:val="18"/>
                <w:szCs w:val="18"/>
              </w:rPr>
              <w:t>3</w:t>
            </w:r>
          </w:p>
        </w:tc>
        <w:tc>
          <w:tcPr>
            <w:tcW w:w="1059" w:type="dxa"/>
            <w:vMerge w:val="restart"/>
            <w:tcBorders>
              <w:top w:val="double" w:sz="6" w:space="0" w:color="800000"/>
              <w:left w:val="nil"/>
              <w:bottom w:val="nil"/>
              <w:right w:val="single" w:sz="8" w:space="0" w:color="FFFFFF"/>
            </w:tcBorders>
            <w:shd w:val="clear" w:color="000000" w:fill="800000"/>
            <w:noWrap/>
            <w:vAlign w:val="bottom"/>
            <w:hideMark/>
          </w:tcPr>
          <w:p w14:paraId="39134407" w14:textId="77777777" w:rsidR="009B6AC4" w:rsidRPr="006116BC" w:rsidRDefault="009B6AC4" w:rsidP="005D4BE5">
            <w:pPr>
              <w:jc w:val="center"/>
              <w:rPr>
                <w:b/>
                <w:bCs/>
                <w:color w:val="FFFFFF" w:themeColor="background1"/>
                <w:sz w:val="18"/>
                <w:szCs w:val="18"/>
              </w:rPr>
            </w:pPr>
            <w:r w:rsidRPr="006116BC">
              <w:rPr>
                <w:b/>
                <w:bCs/>
                <w:color w:val="FFFFFF" w:themeColor="background1"/>
                <w:sz w:val="18"/>
                <w:szCs w:val="18"/>
              </w:rPr>
              <w:t>Разчет</w:t>
            </w:r>
          </w:p>
          <w:p w14:paraId="332597C3" w14:textId="77777777" w:rsidR="009B6AC4" w:rsidRDefault="009B6AC4" w:rsidP="005D4BE5">
            <w:pPr>
              <w:jc w:val="center"/>
              <w:rPr>
                <w:b/>
                <w:bCs/>
                <w:color w:val="FFFFFF" w:themeColor="background1"/>
                <w:sz w:val="18"/>
                <w:szCs w:val="18"/>
              </w:rPr>
            </w:pPr>
            <w:r w:rsidRPr="006116BC">
              <w:rPr>
                <w:b/>
                <w:bCs/>
                <w:color w:val="FFFFFF" w:themeColor="background1"/>
                <w:sz w:val="18"/>
                <w:szCs w:val="18"/>
              </w:rPr>
              <w:t>202</w:t>
            </w:r>
            <w:r>
              <w:rPr>
                <w:b/>
                <w:bCs/>
                <w:color w:val="FFFFFF" w:themeColor="background1"/>
                <w:sz w:val="18"/>
                <w:szCs w:val="18"/>
              </w:rPr>
              <w:t>4</w:t>
            </w:r>
            <w:r w:rsidRPr="006116BC">
              <w:rPr>
                <w:b/>
                <w:bCs/>
                <w:color w:val="FFFFFF" w:themeColor="background1"/>
                <w:sz w:val="18"/>
                <w:szCs w:val="18"/>
              </w:rPr>
              <w:t xml:space="preserve"> г.</w:t>
            </w:r>
          </w:p>
          <w:p w14:paraId="100BBC09" w14:textId="5FE4AA0F" w:rsidR="009B6AC4" w:rsidRDefault="009B6AC4" w:rsidP="005D4BE5">
            <w:pPr>
              <w:jc w:val="center"/>
              <w:rPr>
                <w:b/>
                <w:bCs/>
                <w:color w:val="FFFFFF" w:themeColor="background1"/>
                <w:sz w:val="18"/>
                <w:szCs w:val="18"/>
              </w:rPr>
            </w:pPr>
          </w:p>
          <w:p w14:paraId="625CF7E9" w14:textId="77777777" w:rsidR="009B6AC4" w:rsidRPr="006116BC" w:rsidRDefault="009B6AC4" w:rsidP="005D4BE5">
            <w:pPr>
              <w:jc w:val="center"/>
              <w:rPr>
                <w:b/>
                <w:bCs/>
                <w:color w:val="FFFFFF" w:themeColor="background1"/>
                <w:sz w:val="18"/>
                <w:szCs w:val="18"/>
              </w:rPr>
            </w:pPr>
          </w:p>
          <w:p w14:paraId="1F365C1A" w14:textId="443BD7CD" w:rsidR="009B6AC4" w:rsidRPr="006116BC" w:rsidRDefault="009B6AC4" w:rsidP="005D4BE5">
            <w:pPr>
              <w:jc w:val="center"/>
              <w:rPr>
                <w:b/>
                <w:bCs/>
                <w:color w:val="FFFFFF" w:themeColor="background1"/>
                <w:sz w:val="18"/>
                <w:szCs w:val="18"/>
              </w:rPr>
            </w:pPr>
            <w:r w:rsidRPr="006116BC">
              <w:rPr>
                <w:b/>
                <w:bCs/>
                <w:color w:val="FFFFFF" w:themeColor="background1"/>
                <w:sz w:val="18"/>
                <w:szCs w:val="18"/>
              </w:rPr>
              <w:t>КФП</w:t>
            </w:r>
          </w:p>
        </w:tc>
        <w:tc>
          <w:tcPr>
            <w:tcW w:w="3280" w:type="dxa"/>
            <w:gridSpan w:val="3"/>
            <w:tcBorders>
              <w:top w:val="double" w:sz="6" w:space="0" w:color="800000"/>
              <w:left w:val="single" w:sz="8" w:space="0" w:color="FFFFFF"/>
              <w:bottom w:val="single" w:sz="8" w:space="0" w:color="FFFFFF" w:themeColor="background1"/>
              <w:right w:val="single" w:sz="8" w:space="0" w:color="FFFFFF"/>
            </w:tcBorders>
            <w:shd w:val="clear" w:color="000000" w:fill="800000"/>
            <w:noWrap/>
            <w:vAlign w:val="bottom"/>
            <w:hideMark/>
          </w:tcPr>
          <w:p w14:paraId="03780693" w14:textId="77777777" w:rsidR="009B6AC4" w:rsidRPr="006116BC" w:rsidRDefault="009B6AC4" w:rsidP="005D4BE5">
            <w:pPr>
              <w:jc w:val="center"/>
              <w:rPr>
                <w:b/>
                <w:bCs/>
                <w:color w:val="FFFFFF" w:themeColor="background1"/>
                <w:sz w:val="18"/>
                <w:szCs w:val="18"/>
              </w:rPr>
            </w:pPr>
            <w:r w:rsidRPr="006116BC">
              <w:rPr>
                <w:b/>
                <w:bCs/>
                <w:color w:val="FFFFFF" w:themeColor="background1"/>
                <w:sz w:val="18"/>
                <w:szCs w:val="18"/>
              </w:rPr>
              <w:t>Отчет Н1 202</w:t>
            </w:r>
            <w:r>
              <w:rPr>
                <w:b/>
                <w:bCs/>
                <w:color w:val="FFFFFF" w:themeColor="background1"/>
                <w:sz w:val="18"/>
                <w:szCs w:val="18"/>
              </w:rPr>
              <w:t>4</w:t>
            </w:r>
            <w:r w:rsidRPr="006116BC">
              <w:rPr>
                <w:b/>
                <w:bCs/>
                <w:color w:val="FFFFFF" w:themeColor="background1"/>
                <w:sz w:val="18"/>
                <w:szCs w:val="18"/>
              </w:rPr>
              <w:t xml:space="preserve"> г.</w:t>
            </w:r>
          </w:p>
        </w:tc>
        <w:tc>
          <w:tcPr>
            <w:tcW w:w="959" w:type="dxa"/>
            <w:vMerge w:val="restart"/>
            <w:tcBorders>
              <w:top w:val="double" w:sz="6" w:space="0" w:color="800000"/>
              <w:left w:val="single" w:sz="8" w:space="0" w:color="FFFFFF"/>
              <w:right w:val="single" w:sz="8" w:space="0" w:color="FFFFFF"/>
            </w:tcBorders>
            <w:shd w:val="clear" w:color="000000" w:fill="800000"/>
            <w:vAlign w:val="bottom"/>
            <w:hideMark/>
          </w:tcPr>
          <w:p w14:paraId="751A4682" w14:textId="1D8E9237" w:rsidR="009B6AC4" w:rsidRDefault="009B6AC4" w:rsidP="005D4BE5">
            <w:pPr>
              <w:jc w:val="center"/>
              <w:rPr>
                <w:b/>
                <w:bCs/>
                <w:color w:val="FFFFFF" w:themeColor="background1"/>
                <w:sz w:val="18"/>
                <w:szCs w:val="18"/>
              </w:rPr>
            </w:pPr>
            <w:r w:rsidRPr="006116BC">
              <w:rPr>
                <w:b/>
                <w:bCs/>
                <w:color w:val="FFFFFF" w:themeColor="background1"/>
                <w:sz w:val="18"/>
                <w:szCs w:val="18"/>
              </w:rPr>
              <w:t>Отчет     Н1 202</w:t>
            </w:r>
            <w:r>
              <w:rPr>
                <w:b/>
                <w:bCs/>
                <w:color w:val="FFFFFF" w:themeColor="background1"/>
                <w:sz w:val="18"/>
                <w:szCs w:val="18"/>
              </w:rPr>
              <w:t>4</w:t>
            </w:r>
          </w:p>
          <w:p w14:paraId="018BFE02" w14:textId="77777777" w:rsidR="009B6AC4" w:rsidRPr="00F55D6F" w:rsidRDefault="009B6AC4" w:rsidP="005D4BE5">
            <w:pPr>
              <w:jc w:val="center"/>
              <w:rPr>
                <w:b/>
                <w:bCs/>
                <w:color w:val="FFFFFF" w:themeColor="background1"/>
                <w:sz w:val="8"/>
                <w:szCs w:val="18"/>
              </w:rPr>
            </w:pPr>
          </w:p>
          <w:p w14:paraId="2EA0E090" w14:textId="0C0FEE61" w:rsidR="009B6AC4" w:rsidRPr="006116BC" w:rsidRDefault="009B6AC4" w:rsidP="005D4BE5">
            <w:pPr>
              <w:jc w:val="center"/>
              <w:rPr>
                <w:b/>
                <w:bCs/>
                <w:color w:val="FFFFFF" w:themeColor="background1"/>
                <w:sz w:val="18"/>
                <w:szCs w:val="18"/>
              </w:rPr>
            </w:pPr>
            <w:r w:rsidRPr="006116BC">
              <w:rPr>
                <w:b/>
                <w:bCs/>
                <w:color w:val="FFFFFF" w:themeColor="background1"/>
                <w:sz w:val="18"/>
                <w:szCs w:val="18"/>
              </w:rPr>
              <w:t>към отчет Н1 202</w:t>
            </w:r>
            <w:r>
              <w:rPr>
                <w:b/>
                <w:bCs/>
                <w:color w:val="FFFFFF" w:themeColor="background1"/>
                <w:sz w:val="18"/>
                <w:szCs w:val="18"/>
              </w:rPr>
              <w:t>3</w:t>
            </w:r>
          </w:p>
        </w:tc>
        <w:tc>
          <w:tcPr>
            <w:tcW w:w="988" w:type="dxa"/>
            <w:vMerge w:val="restart"/>
            <w:tcBorders>
              <w:top w:val="double" w:sz="6" w:space="0" w:color="800000"/>
              <w:left w:val="single" w:sz="8" w:space="0" w:color="FFFFFF"/>
              <w:right w:val="double" w:sz="6" w:space="0" w:color="800000"/>
            </w:tcBorders>
            <w:shd w:val="clear" w:color="000000" w:fill="800000"/>
            <w:vAlign w:val="bottom"/>
            <w:hideMark/>
          </w:tcPr>
          <w:p w14:paraId="1958F9F5" w14:textId="347A4F0C" w:rsidR="009B6AC4" w:rsidRDefault="009B6AC4" w:rsidP="005D4BE5">
            <w:pPr>
              <w:jc w:val="center"/>
              <w:rPr>
                <w:b/>
                <w:bCs/>
                <w:color w:val="FFFFFF" w:themeColor="background1"/>
                <w:sz w:val="18"/>
                <w:szCs w:val="18"/>
              </w:rPr>
            </w:pPr>
            <w:r w:rsidRPr="006116BC">
              <w:rPr>
                <w:b/>
                <w:bCs/>
                <w:color w:val="FFFFFF" w:themeColor="background1"/>
                <w:sz w:val="18"/>
                <w:szCs w:val="18"/>
              </w:rPr>
              <w:t>Отчет     Н1 202</w:t>
            </w:r>
            <w:r>
              <w:rPr>
                <w:b/>
                <w:bCs/>
                <w:color w:val="FFFFFF" w:themeColor="background1"/>
                <w:sz w:val="18"/>
                <w:szCs w:val="18"/>
              </w:rPr>
              <w:t>4</w:t>
            </w:r>
          </w:p>
          <w:p w14:paraId="53375082" w14:textId="77777777" w:rsidR="009B6AC4" w:rsidRPr="009B6AC4" w:rsidRDefault="009B6AC4" w:rsidP="005D4BE5">
            <w:pPr>
              <w:jc w:val="center"/>
              <w:rPr>
                <w:b/>
                <w:bCs/>
                <w:color w:val="FFFFFF" w:themeColor="background1"/>
                <w:sz w:val="6"/>
                <w:szCs w:val="18"/>
              </w:rPr>
            </w:pPr>
          </w:p>
          <w:p w14:paraId="6CD3BFC3" w14:textId="0579E780" w:rsidR="009B6AC4" w:rsidRPr="006116BC" w:rsidRDefault="009B6AC4" w:rsidP="005D4BE5">
            <w:pPr>
              <w:jc w:val="center"/>
              <w:rPr>
                <w:b/>
                <w:bCs/>
                <w:color w:val="FFFFFF" w:themeColor="background1"/>
                <w:sz w:val="18"/>
                <w:szCs w:val="18"/>
              </w:rPr>
            </w:pPr>
            <w:r w:rsidRPr="006116BC">
              <w:rPr>
                <w:b/>
                <w:bCs/>
                <w:color w:val="FFFFFF" w:themeColor="background1"/>
                <w:sz w:val="18"/>
                <w:szCs w:val="18"/>
              </w:rPr>
              <w:t xml:space="preserve"> към разчет 202</w:t>
            </w:r>
            <w:r>
              <w:rPr>
                <w:b/>
                <w:bCs/>
                <w:color w:val="FFFFFF" w:themeColor="background1"/>
                <w:sz w:val="18"/>
                <w:szCs w:val="18"/>
              </w:rPr>
              <w:t>4</w:t>
            </w:r>
          </w:p>
        </w:tc>
      </w:tr>
      <w:tr w:rsidR="009B6AC4" w:rsidRPr="00E56679" w14:paraId="299AB8F5" w14:textId="77777777" w:rsidTr="008700E1">
        <w:trPr>
          <w:trHeight w:val="695"/>
        </w:trPr>
        <w:tc>
          <w:tcPr>
            <w:tcW w:w="2401" w:type="dxa"/>
            <w:vMerge/>
            <w:tcBorders>
              <w:top w:val="double" w:sz="6" w:space="0" w:color="800000"/>
              <w:left w:val="double" w:sz="6" w:space="0" w:color="800000"/>
              <w:bottom w:val="single" w:sz="8" w:space="0" w:color="FFFFFF"/>
              <w:right w:val="single" w:sz="8" w:space="0" w:color="FFFFFF"/>
            </w:tcBorders>
            <w:vAlign w:val="center"/>
            <w:hideMark/>
          </w:tcPr>
          <w:p w14:paraId="6D242449" w14:textId="77777777" w:rsidR="009B6AC4" w:rsidRPr="00E56679" w:rsidRDefault="009B6AC4" w:rsidP="005D4BE5">
            <w:pPr>
              <w:rPr>
                <w:b/>
                <w:bCs/>
                <w:color w:val="0070C0"/>
                <w:sz w:val="18"/>
                <w:szCs w:val="18"/>
              </w:rPr>
            </w:pPr>
          </w:p>
        </w:tc>
        <w:tc>
          <w:tcPr>
            <w:tcW w:w="907" w:type="dxa"/>
            <w:vMerge/>
            <w:tcBorders>
              <w:top w:val="double" w:sz="6" w:space="0" w:color="800000"/>
              <w:left w:val="single" w:sz="8" w:space="0" w:color="FFFFFF"/>
              <w:bottom w:val="single" w:sz="8" w:space="0" w:color="FFFFFF"/>
              <w:right w:val="single" w:sz="8" w:space="0" w:color="FFFFFF"/>
            </w:tcBorders>
            <w:vAlign w:val="center"/>
            <w:hideMark/>
          </w:tcPr>
          <w:p w14:paraId="1E90E840" w14:textId="77777777" w:rsidR="009B6AC4" w:rsidRPr="00E56679" w:rsidRDefault="009B6AC4" w:rsidP="005D4BE5">
            <w:pPr>
              <w:rPr>
                <w:b/>
                <w:bCs/>
                <w:color w:val="0070C0"/>
                <w:sz w:val="18"/>
                <w:szCs w:val="18"/>
              </w:rPr>
            </w:pPr>
          </w:p>
        </w:tc>
        <w:tc>
          <w:tcPr>
            <w:tcW w:w="1059" w:type="dxa"/>
            <w:vMerge/>
            <w:tcBorders>
              <w:left w:val="nil"/>
              <w:bottom w:val="single" w:sz="8" w:space="0" w:color="FFFFFF"/>
              <w:right w:val="single" w:sz="8" w:space="0" w:color="FFFFFF"/>
            </w:tcBorders>
            <w:shd w:val="clear" w:color="000000" w:fill="800000"/>
            <w:noWrap/>
            <w:vAlign w:val="bottom"/>
            <w:hideMark/>
          </w:tcPr>
          <w:p w14:paraId="382AB019" w14:textId="1EA9167A" w:rsidR="009B6AC4" w:rsidRPr="006116BC" w:rsidRDefault="009B6AC4" w:rsidP="005D4BE5">
            <w:pPr>
              <w:jc w:val="center"/>
              <w:rPr>
                <w:b/>
                <w:bCs/>
                <w:color w:val="FFFFFF" w:themeColor="background1"/>
                <w:sz w:val="18"/>
                <w:szCs w:val="18"/>
              </w:rPr>
            </w:pPr>
          </w:p>
        </w:tc>
        <w:tc>
          <w:tcPr>
            <w:tcW w:w="1011" w:type="dxa"/>
            <w:tcBorders>
              <w:top w:val="single" w:sz="8" w:space="0" w:color="FFFFFF" w:themeColor="background1"/>
              <w:left w:val="nil"/>
              <w:bottom w:val="single" w:sz="8" w:space="0" w:color="FFFFFF"/>
              <w:right w:val="single" w:sz="8" w:space="0" w:color="FFFFFF"/>
            </w:tcBorders>
            <w:shd w:val="clear" w:color="000000" w:fill="800000"/>
            <w:noWrap/>
            <w:hideMark/>
          </w:tcPr>
          <w:p w14:paraId="58B2888C" w14:textId="77777777" w:rsidR="009B6AC4" w:rsidRPr="006116BC" w:rsidRDefault="009B6AC4" w:rsidP="005D4BE5">
            <w:pPr>
              <w:jc w:val="center"/>
              <w:rPr>
                <w:b/>
                <w:bCs/>
                <w:color w:val="FFFFFF" w:themeColor="background1"/>
                <w:sz w:val="18"/>
                <w:szCs w:val="18"/>
              </w:rPr>
            </w:pPr>
            <w:r w:rsidRPr="006116BC">
              <w:rPr>
                <w:b/>
                <w:bCs/>
                <w:color w:val="FFFFFF" w:themeColor="background1"/>
                <w:sz w:val="18"/>
                <w:szCs w:val="18"/>
              </w:rPr>
              <w:t>КФП</w:t>
            </w:r>
          </w:p>
        </w:tc>
        <w:tc>
          <w:tcPr>
            <w:tcW w:w="1146" w:type="dxa"/>
            <w:tcBorders>
              <w:top w:val="single" w:sz="8" w:space="0" w:color="FFFFFF" w:themeColor="background1"/>
              <w:left w:val="nil"/>
              <w:bottom w:val="single" w:sz="8" w:space="0" w:color="FFFFFF"/>
              <w:right w:val="single" w:sz="8" w:space="0" w:color="FFFFFF"/>
            </w:tcBorders>
            <w:shd w:val="clear" w:color="000000" w:fill="800000"/>
            <w:hideMark/>
          </w:tcPr>
          <w:p w14:paraId="542D380D" w14:textId="77777777" w:rsidR="009B6AC4" w:rsidRPr="006116BC" w:rsidRDefault="009B6AC4" w:rsidP="005D4BE5">
            <w:pPr>
              <w:jc w:val="center"/>
              <w:rPr>
                <w:b/>
                <w:bCs/>
                <w:color w:val="FFFFFF" w:themeColor="background1"/>
                <w:sz w:val="18"/>
                <w:szCs w:val="18"/>
              </w:rPr>
            </w:pPr>
            <w:r w:rsidRPr="006116BC">
              <w:rPr>
                <w:b/>
                <w:bCs/>
                <w:color w:val="FFFFFF" w:themeColor="background1"/>
                <w:sz w:val="18"/>
                <w:szCs w:val="18"/>
              </w:rPr>
              <w:t xml:space="preserve">Национален бюджет </w:t>
            </w:r>
          </w:p>
        </w:tc>
        <w:tc>
          <w:tcPr>
            <w:tcW w:w="1123" w:type="dxa"/>
            <w:tcBorders>
              <w:top w:val="single" w:sz="8" w:space="0" w:color="FFFFFF" w:themeColor="background1"/>
              <w:left w:val="nil"/>
              <w:bottom w:val="single" w:sz="8" w:space="0" w:color="FFFFFF"/>
              <w:right w:val="single" w:sz="8" w:space="0" w:color="FFFFFF"/>
            </w:tcBorders>
            <w:shd w:val="clear" w:color="000000" w:fill="800000"/>
            <w:hideMark/>
          </w:tcPr>
          <w:p w14:paraId="65CC38B7" w14:textId="77777777" w:rsidR="009B6AC4" w:rsidRPr="006116BC" w:rsidRDefault="009B6AC4" w:rsidP="005D4BE5">
            <w:pPr>
              <w:jc w:val="center"/>
              <w:rPr>
                <w:b/>
                <w:bCs/>
                <w:color w:val="FFFFFF" w:themeColor="background1"/>
                <w:sz w:val="18"/>
                <w:szCs w:val="18"/>
              </w:rPr>
            </w:pPr>
            <w:r w:rsidRPr="006116BC">
              <w:rPr>
                <w:b/>
                <w:bCs/>
                <w:color w:val="FFFFFF" w:themeColor="background1"/>
                <w:sz w:val="18"/>
                <w:szCs w:val="18"/>
              </w:rPr>
              <w:t>Европейски средства</w:t>
            </w:r>
          </w:p>
        </w:tc>
        <w:tc>
          <w:tcPr>
            <w:tcW w:w="959" w:type="dxa"/>
            <w:vMerge/>
            <w:tcBorders>
              <w:left w:val="single" w:sz="8" w:space="0" w:color="FFFFFF"/>
              <w:bottom w:val="single" w:sz="8" w:space="0" w:color="FFFFFF"/>
              <w:right w:val="single" w:sz="8" w:space="0" w:color="FFFFFF"/>
            </w:tcBorders>
            <w:shd w:val="clear" w:color="000000" w:fill="800000"/>
            <w:vAlign w:val="bottom"/>
            <w:hideMark/>
          </w:tcPr>
          <w:p w14:paraId="66A8B732" w14:textId="73573F0A" w:rsidR="009B6AC4" w:rsidRPr="006116BC" w:rsidRDefault="009B6AC4" w:rsidP="005D4BE5">
            <w:pPr>
              <w:jc w:val="center"/>
              <w:rPr>
                <w:b/>
                <w:bCs/>
                <w:color w:val="FFFFFF" w:themeColor="background1"/>
                <w:sz w:val="18"/>
                <w:szCs w:val="18"/>
              </w:rPr>
            </w:pPr>
          </w:p>
        </w:tc>
        <w:tc>
          <w:tcPr>
            <w:tcW w:w="988" w:type="dxa"/>
            <w:vMerge/>
            <w:tcBorders>
              <w:left w:val="single" w:sz="8" w:space="0" w:color="FFFFFF"/>
              <w:bottom w:val="single" w:sz="8" w:space="0" w:color="FFFFFF"/>
              <w:right w:val="double" w:sz="6" w:space="0" w:color="800000"/>
            </w:tcBorders>
            <w:shd w:val="clear" w:color="000000" w:fill="800000"/>
            <w:vAlign w:val="bottom"/>
            <w:hideMark/>
          </w:tcPr>
          <w:p w14:paraId="7188D686" w14:textId="62740E64" w:rsidR="009B6AC4" w:rsidRPr="006116BC" w:rsidRDefault="009B6AC4" w:rsidP="005D4BE5">
            <w:pPr>
              <w:jc w:val="center"/>
              <w:rPr>
                <w:b/>
                <w:bCs/>
                <w:color w:val="FFFFFF" w:themeColor="background1"/>
                <w:sz w:val="18"/>
                <w:szCs w:val="18"/>
              </w:rPr>
            </w:pPr>
          </w:p>
        </w:tc>
      </w:tr>
      <w:tr w:rsidR="00677E5F" w:rsidRPr="00A10474" w14:paraId="17426F2B" w14:textId="77777777" w:rsidTr="005D4BE5">
        <w:trPr>
          <w:trHeight w:val="530"/>
        </w:trPr>
        <w:tc>
          <w:tcPr>
            <w:tcW w:w="2401" w:type="dxa"/>
            <w:tcBorders>
              <w:top w:val="nil"/>
              <w:left w:val="double" w:sz="6" w:space="0" w:color="800000"/>
              <w:bottom w:val="double" w:sz="6" w:space="0" w:color="800000"/>
              <w:right w:val="single" w:sz="8" w:space="0" w:color="FFFFFF"/>
            </w:tcBorders>
            <w:shd w:val="clear" w:color="000000" w:fill="800000"/>
            <w:noWrap/>
            <w:vAlign w:val="bottom"/>
            <w:hideMark/>
          </w:tcPr>
          <w:p w14:paraId="2FB66699" w14:textId="77777777" w:rsidR="00677E5F" w:rsidRPr="00A10474" w:rsidRDefault="00677E5F" w:rsidP="005D4BE5">
            <w:pPr>
              <w:jc w:val="center"/>
              <w:rPr>
                <w:color w:val="FFFFFF" w:themeColor="background1"/>
                <w:sz w:val="18"/>
                <w:szCs w:val="14"/>
              </w:rPr>
            </w:pPr>
            <w:r w:rsidRPr="00A10474">
              <w:rPr>
                <w:color w:val="FFFFFF" w:themeColor="background1"/>
                <w:sz w:val="18"/>
                <w:szCs w:val="14"/>
              </w:rPr>
              <w:t>к.1</w:t>
            </w:r>
          </w:p>
        </w:tc>
        <w:tc>
          <w:tcPr>
            <w:tcW w:w="907" w:type="dxa"/>
            <w:tcBorders>
              <w:top w:val="nil"/>
              <w:left w:val="nil"/>
              <w:bottom w:val="double" w:sz="6" w:space="0" w:color="FFFFFF" w:themeColor="background1"/>
              <w:right w:val="single" w:sz="8" w:space="0" w:color="FFFFFF"/>
            </w:tcBorders>
            <w:shd w:val="clear" w:color="000000" w:fill="800000"/>
            <w:vAlign w:val="bottom"/>
            <w:hideMark/>
          </w:tcPr>
          <w:p w14:paraId="038ABC06" w14:textId="77777777" w:rsidR="00677E5F" w:rsidRPr="00A10474" w:rsidRDefault="00677E5F" w:rsidP="005D4BE5">
            <w:pPr>
              <w:jc w:val="center"/>
              <w:rPr>
                <w:color w:val="FFFFFF" w:themeColor="background1"/>
                <w:sz w:val="18"/>
                <w:szCs w:val="14"/>
              </w:rPr>
            </w:pPr>
            <w:r w:rsidRPr="00A10474">
              <w:rPr>
                <w:color w:val="FFFFFF" w:themeColor="background1"/>
                <w:sz w:val="18"/>
                <w:szCs w:val="14"/>
              </w:rPr>
              <w:t>к.2</w:t>
            </w:r>
          </w:p>
        </w:tc>
        <w:tc>
          <w:tcPr>
            <w:tcW w:w="1059" w:type="dxa"/>
            <w:tcBorders>
              <w:top w:val="nil"/>
              <w:left w:val="nil"/>
              <w:bottom w:val="double" w:sz="6" w:space="0" w:color="800000"/>
              <w:right w:val="single" w:sz="8" w:space="0" w:color="FFFFFF"/>
            </w:tcBorders>
            <w:shd w:val="clear" w:color="000000" w:fill="800000"/>
            <w:noWrap/>
            <w:vAlign w:val="bottom"/>
            <w:hideMark/>
          </w:tcPr>
          <w:p w14:paraId="7C5BEDBF" w14:textId="77777777" w:rsidR="00677E5F" w:rsidRPr="00A10474" w:rsidRDefault="00677E5F" w:rsidP="005D4BE5">
            <w:pPr>
              <w:jc w:val="center"/>
              <w:rPr>
                <w:color w:val="FFFFFF" w:themeColor="background1"/>
                <w:sz w:val="18"/>
                <w:szCs w:val="14"/>
              </w:rPr>
            </w:pPr>
            <w:r w:rsidRPr="00A10474">
              <w:rPr>
                <w:color w:val="FFFFFF" w:themeColor="background1"/>
                <w:sz w:val="18"/>
                <w:szCs w:val="14"/>
              </w:rPr>
              <w:t>к.3</w:t>
            </w:r>
          </w:p>
        </w:tc>
        <w:tc>
          <w:tcPr>
            <w:tcW w:w="1011" w:type="dxa"/>
            <w:tcBorders>
              <w:top w:val="nil"/>
              <w:left w:val="nil"/>
              <w:bottom w:val="double" w:sz="6" w:space="0" w:color="800000"/>
              <w:right w:val="single" w:sz="8" w:space="0" w:color="FFFFFF"/>
            </w:tcBorders>
            <w:shd w:val="clear" w:color="000000" w:fill="800000"/>
            <w:noWrap/>
            <w:vAlign w:val="bottom"/>
            <w:hideMark/>
          </w:tcPr>
          <w:p w14:paraId="6DBCA1BC" w14:textId="77777777" w:rsidR="00677E5F" w:rsidRPr="00A10474" w:rsidRDefault="00677E5F" w:rsidP="005D4BE5">
            <w:pPr>
              <w:jc w:val="center"/>
              <w:rPr>
                <w:color w:val="FFFFFF" w:themeColor="background1"/>
                <w:sz w:val="18"/>
                <w:szCs w:val="14"/>
              </w:rPr>
            </w:pPr>
            <w:r w:rsidRPr="00A10474">
              <w:rPr>
                <w:color w:val="FFFFFF" w:themeColor="background1"/>
                <w:sz w:val="18"/>
                <w:szCs w:val="14"/>
              </w:rPr>
              <w:t>к.4=к.5+к.6</w:t>
            </w:r>
          </w:p>
        </w:tc>
        <w:tc>
          <w:tcPr>
            <w:tcW w:w="1146" w:type="dxa"/>
            <w:tcBorders>
              <w:top w:val="nil"/>
              <w:left w:val="nil"/>
              <w:bottom w:val="double" w:sz="6" w:space="0" w:color="800000"/>
              <w:right w:val="single" w:sz="8" w:space="0" w:color="FFFFFF"/>
            </w:tcBorders>
            <w:shd w:val="clear" w:color="000000" w:fill="800000"/>
            <w:noWrap/>
            <w:vAlign w:val="bottom"/>
            <w:hideMark/>
          </w:tcPr>
          <w:p w14:paraId="7895921E" w14:textId="77777777" w:rsidR="00677E5F" w:rsidRPr="00A10474" w:rsidRDefault="00677E5F" w:rsidP="005D4BE5">
            <w:pPr>
              <w:jc w:val="center"/>
              <w:rPr>
                <w:color w:val="FFFFFF" w:themeColor="background1"/>
                <w:sz w:val="18"/>
                <w:szCs w:val="14"/>
              </w:rPr>
            </w:pPr>
            <w:r w:rsidRPr="00A10474">
              <w:rPr>
                <w:color w:val="FFFFFF" w:themeColor="background1"/>
                <w:sz w:val="18"/>
                <w:szCs w:val="14"/>
              </w:rPr>
              <w:t>к.5</w:t>
            </w:r>
          </w:p>
        </w:tc>
        <w:tc>
          <w:tcPr>
            <w:tcW w:w="1123" w:type="dxa"/>
            <w:tcBorders>
              <w:top w:val="nil"/>
              <w:left w:val="nil"/>
              <w:bottom w:val="double" w:sz="6" w:space="0" w:color="800000"/>
              <w:right w:val="single" w:sz="8" w:space="0" w:color="FFFFFF"/>
            </w:tcBorders>
            <w:shd w:val="clear" w:color="000000" w:fill="800000"/>
            <w:noWrap/>
            <w:vAlign w:val="bottom"/>
            <w:hideMark/>
          </w:tcPr>
          <w:p w14:paraId="1D138D99" w14:textId="77777777" w:rsidR="00677E5F" w:rsidRPr="00A10474" w:rsidRDefault="00677E5F" w:rsidP="005D4BE5">
            <w:pPr>
              <w:jc w:val="center"/>
              <w:rPr>
                <w:color w:val="FFFFFF" w:themeColor="background1"/>
                <w:sz w:val="18"/>
                <w:szCs w:val="14"/>
              </w:rPr>
            </w:pPr>
            <w:r w:rsidRPr="00A10474">
              <w:rPr>
                <w:color w:val="FFFFFF" w:themeColor="background1"/>
                <w:sz w:val="18"/>
                <w:szCs w:val="14"/>
              </w:rPr>
              <w:t>к.6</w:t>
            </w:r>
          </w:p>
        </w:tc>
        <w:tc>
          <w:tcPr>
            <w:tcW w:w="959" w:type="dxa"/>
            <w:tcBorders>
              <w:top w:val="nil"/>
              <w:left w:val="nil"/>
              <w:bottom w:val="double" w:sz="6" w:space="0" w:color="800000"/>
              <w:right w:val="single" w:sz="8" w:space="0" w:color="FFFFFF"/>
            </w:tcBorders>
            <w:shd w:val="clear" w:color="000000" w:fill="800000"/>
            <w:noWrap/>
            <w:vAlign w:val="bottom"/>
            <w:hideMark/>
          </w:tcPr>
          <w:p w14:paraId="122BF470" w14:textId="77777777" w:rsidR="00677E5F" w:rsidRPr="00A10474" w:rsidRDefault="00677E5F" w:rsidP="005D4BE5">
            <w:pPr>
              <w:jc w:val="center"/>
              <w:rPr>
                <w:color w:val="FFFFFF" w:themeColor="background1"/>
                <w:sz w:val="18"/>
                <w:szCs w:val="14"/>
              </w:rPr>
            </w:pPr>
            <w:r w:rsidRPr="00A10474">
              <w:rPr>
                <w:color w:val="FFFFFF" w:themeColor="background1"/>
                <w:sz w:val="18"/>
                <w:szCs w:val="14"/>
              </w:rPr>
              <w:t>к.7=к.4:к.2</w:t>
            </w:r>
          </w:p>
        </w:tc>
        <w:tc>
          <w:tcPr>
            <w:tcW w:w="988" w:type="dxa"/>
            <w:tcBorders>
              <w:top w:val="nil"/>
              <w:left w:val="nil"/>
              <w:bottom w:val="double" w:sz="6" w:space="0" w:color="800000"/>
              <w:right w:val="double" w:sz="6" w:space="0" w:color="800000"/>
            </w:tcBorders>
            <w:shd w:val="clear" w:color="000000" w:fill="800000"/>
            <w:vAlign w:val="bottom"/>
            <w:hideMark/>
          </w:tcPr>
          <w:p w14:paraId="3B4D1599" w14:textId="77777777" w:rsidR="00677E5F" w:rsidRPr="00A10474" w:rsidRDefault="00677E5F" w:rsidP="005D4BE5">
            <w:pPr>
              <w:jc w:val="center"/>
              <w:rPr>
                <w:color w:val="FFFFFF" w:themeColor="background1"/>
                <w:sz w:val="18"/>
                <w:szCs w:val="14"/>
              </w:rPr>
            </w:pPr>
            <w:r w:rsidRPr="00A10474">
              <w:rPr>
                <w:color w:val="FFFFFF" w:themeColor="background1"/>
                <w:sz w:val="18"/>
                <w:szCs w:val="14"/>
              </w:rPr>
              <w:t>к.8=к.4:к.3</w:t>
            </w:r>
          </w:p>
        </w:tc>
      </w:tr>
      <w:tr w:rsidR="00677E5F" w:rsidRPr="00E56679" w14:paraId="73190B6F" w14:textId="77777777" w:rsidTr="005D4BE5">
        <w:trPr>
          <w:trHeight w:val="271"/>
        </w:trPr>
        <w:tc>
          <w:tcPr>
            <w:tcW w:w="2401" w:type="dxa"/>
            <w:tcBorders>
              <w:top w:val="nil"/>
              <w:left w:val="double" w:sz="6" w:space="0" w:color="800000"/>
              <w:bottom w:val="nil"/>
              <w:right w:val="single" w:sz="8" w:space="0" w:color="800000"/>
            </w:tcBorders>
            <w:shd w:val="clear" w:color="000000" w:fill="FFFFCC"/>
            <w:noWrap/>
            <w:vAlign w:val="bottom"/>
            <w:hideMark/>
          </w:tcPr>
          <w:p w14:paraId="6AAF7D44" w14:textId="77777777" w:rsidR="00677E5F" w:rsidRPr="00054589" w:rsidRDefault="00677E5F" w:rsidP="005D4BE5">
            <w:pPr>
              <w:rPr>
                <w:b/>
                <w:bCs/>
                <w:sz w:val="18"/>
                <w:szCs w:val="18"/>
              </w:rPr>
            </w:pPr>
            <w:r w:rsidRPr="00054589">
              <w:rPr>
                <w:b/>
                <w:bCs/>
                <w:sz w:val="18"/>
                <w:szCs w:val="18"/>
              </w:rPr>
              <w:t>ПРИХОДИ, ПОМОЩИ И ДАРЕНИЯ</w:t>
            </w:r>
          </w:p>
        </w:tc>
        <w:tc>
          <w:tcPr>
            <w:tcW w:w="907" w:type="dxa"/>
            <w:tcBorders>
              <w:top w:val="double" w:sz="6" w:space="0" w:color="FFFFFF" w:themeColor="background1"/>
              <w:left w:val="nil"/>
              <w:bottom w:val="nil"/>
              <w:right w:val="single" w:sz="8" w:space="0" w:color="800000"/>
            </w:tcBorders>
            <w:shd w:val="clear" w:color="000000" w:fill="FFFFCC"/>
            <w:vAlign w:val="bottom"/>
            <w:hideMark/>
          </w:tcPr>
          <w:p w14:paraId="69657FD4" w14:textId="77777777" w:rsidR="00677E5F" w:rsidRPr="00054589" w:rsidRDefault="00677E5F" w:rsidP="005D4BE5">
            <w:pPr>
              <w:jc w:val="right"/>
              <w:rPr>
                <w:b/>
                <w:bCs/>
                <w:sz w:val="18"/>
                <w:szCs w:val="18"/>
              </w:rPr>
            </w:pPr>
            <w:r w:rsidRPr="00054589">
              <w:rPr>
                <w:b/>
                <w:bCs/>
                <w:sz w:val="18"/>
                <w:szCs w:val="18"/>
              </w:rPr>
              <w:t>31 405,0</w:t>
            </w:r>
          </w:p>
        </w:tc>
        <w:tc>
          <w:tcPr>
            <w:tcW w:w="1059" w:type="dxa"/>
            <w:tcBorders>
              <w:top w:val="double" w:sz="6" w:space="0" w:color="800000"/>
              <w:left w:val="single" w:sz="8" w:space="0" w:color="800000"/>
              <w:bottom w:val="nil"/>
              <w:right w:val="single" w:sz="8" w:space="0" w:color="800000"/>
            </w:tcBorders>
            <w:shd w:val="clear" w:color="000000" w:fill="FFFFCC"/>
            <w:vAlign w:val="bottom"/>
            <w:hideMark/>
          </w:tcPr>
          <w:p w14:paraId="75E5D7F5" w14:textId="77777777" w:rsidR="00677E5F" w:rsidRPr="00E56679" w:rsidRDefault="00677E5F" w:rsidP="005D4BE5">
            <w:pPr>
              <w:jc w:val="right"/>
              <w:rPr>
                <w:b/>
                <w:bCs/>
                <w:color w:val="0070C0"/>
                <w:sz w:val="18"/>
                <w:szCs w:val="18"/>
              </w:rPr>
            </w:pPr>
            <w:r>
              <w:rPr>
                <w:b/>
                <w:bCs/>
                <w:sz w:val="18"/>
                <w:szCs w:val="18"/>
              </w:rPr>
              <w:t>75 289,7</w:t>
            </w:r>
          </w:p>
        </w:tc>
        <w:tc>
          <w:tcPr>
            <w:tcW w:w="1011" w:type="dxa"/>
            <w:tcBorders>
              <w:top w:val="double" w:sz="6" w:space="0" w:color="800000"/>
              <w:left w:val="nil"/>
              <w:bottom w:val="nil"/>
              <w:right w:val="single" w:sz="8" w:space="0" w:color="800000"/>
            </w:tcBorders>
            <w:shd w:val="clear" w:color="000000" w:fill="FFFFCC"/>
            <w:vAlign w:val="bottom"/>
            <w:hideMark/>
          </w:tcPr>
          <w:p w14:paraId="0D9ABA15" w14:textId="77777777" w:rsidR="00677E5F" w:rsidRPr="00E56679" w:rsidRDefault="00677E5F" w:rsidP="005D4BE5">
            <w:pPr>
              <w:jc w:val="right"/>
              <w:rPr>
                <w:b/>
                <w:bCs/>
                <w:color w:val="0070C0"/>
                <w:sz w:val="18"/>
                <w:szCs w:val="18"/>
              </w:rPr>
            </w:pPr>
            <w:r>
              <w:rPr>
                <w:b/>
                <w:bCs/>
                <w:sz w:val="18"/>
                <w:szCs w:val="18"/>
              </w:rPr>
              <w:t>34 495,4</w:t>
            </w:r>
          </w:p>
        </w:tc>
        <w:tc>
          <w:tcPr>
            <w:tcW w:w="1146" w:type="dxa"/>
            <w:tcBorders>
              <w:top w:val="double" w:sz="6" w:space="0" w:color="800000"/>
              <w:left w:val="nil"/>
              <w:bottom w:val="nil"/>
              <w:right w:val="single" w:sz="8" w:space="0" w:color="800000"/>
            </w:tcBorders>
            <w:shd w:val="clear" w:color="000000" w:fill="FFFFCC"/>
            <w:vAlign w:val="bottom"/>
            <w:hideMark/>
          </w:tcPr>
          <w:p w14:paraId="03E176A6" w14:textId="77777777" w:rsidR="00677E5F" w:rsidRPr="00E56679" w:rsidRDefault="00677E5F" w:rsidP="005D4BE5">
            <w:pPr>
              <w:jc w:val="right"/>
              <w:rPr>
                <w:b/>
                <w:bCs/>
                <w:color w:val="0070C0"/>
                <w:sz w:val="18"/>
                <w:szCs w:val="18"/>
              </w:rPr>
            </w:pPr>
            <w:r>
              <w:rPr>
                <w:b/>
                <w:bCs/>
                <w:sz w:val="18"/>
                <w:szCs w:val="18"/>
              </w:rPr>
              <w:t>32 625,1</w:t>
            </w:r>
          </w:p>
        </w:tc>
        <w:tc>
          <w:tcPr>
            <w:tcW w:w="1123" w:type="dxa"/>
            <w:tcBorders>
              <w:top w:val="double" w:sz="6" w:space="0" w:color="800000"/>
              <w:left w:val="nil"/>
              <w:bottom w:val="nil"/>
              <w:right w:val="single" w:sz="8" w:space="0" w:color="800000"/>
            </w:tcBorders>
            <w:shd w:val="clear" w:color="000000" w:fill="FFFFCC"/>
            <w:vAlign w:val="bottom"/>
            <w:hideMark/>
          </w:tcPr>
          <w:p w14:paraId="7B916890" w14:textId="77777777" w:rsidR="00677E5F" w:rsidRPr="00E56679" w:rsidRDefault="00677E5F" w:rsidP="005D4BE5">
            <w:pPr>
              <w:jc w:val="right"/>
              <w:rPr>
                <w:b/>
                <w:bCs/>
                <w:color w:val="0070C0"/>
                <w:sz w:val="18"/>
                <w:szCs w:val="18"/>
              </w:rPr>
            </w:pPr>
            <w:r>
              <w:rPr>
                <w:b/>
                <w:bCs/>
                <w:sz w:val="18"/>
                <w:szCs w:val="18"/>
              </w:rPr>
              <w:t>1 870,3</w:t>
            </w:r>
          </w:p>
        </w:tc>
        <w:tc>
          <w:tcPr>
            <w:tcW w:w="959" w:type="dxa"/>
            <w:tcBorders>
              <w:top w:val="double" w:sz="6" w:space="0" w:color="800000"/>
              <w:left w:val="nil"/>
              <w:bottom w:val="nil"/>
              <w:right w:val="single" w:sz="8" w:space="0" w:color="800000"/>
            </w:tcBorders>
            <w:shd w:val="clear" w:color="000000" w:fill="FFFFCC"/>
            <w:noWrap/>
            <w:vAlign w:val="bottom"/>
            <w:hideMark/>
          </w:tcPr>
          <w:p w14:paraId="1465473D" w14:textId="77777777" w:rsidR="00677E5F" w:rsidRPr="00E56679" w:rsidRDefault="00677E5F" w:rsidP="005D4BE5">
            <w:pPr>
              <w:jc w:val="right"/>
              <w:rPr>
                <w:b/>
                <w:bCs/>
                <w:color w:val="0070C0"/>
                <w:sz w:val="18"/>
                <w:szCs w:val="18"/>
              </w:rPr>
            </w:pPr>
            <w:r>
              <w:rPr>
                <w:b/>
                <w:bCs/>
                <w:sz w:val="18"/>
                <w:szCs w:val="18"/>
              </w:rPr>
              <w:t>109,8%</w:t>
            </w:r>
          </w:p>
        </w:tc>
        <w:tc>
          <w:tcPr>
            <w:tcW w:w="988" w:type="dxa"/>
            <w:tcBorders>
              <w:top w:val="double" w:sz="6" w:space="0" w:color="800000"/>
              <w:left w:val="nil"/>
              <w:bottom w:val="nil"/>
              <w:right w:val="double" w:sz="6" w:space="0" w:color="800000"/>
            </w:tcBorders>
            <w:shd w:val="clear" w:color="000000" w:fill="FFFFCC"/>
            <w:vAlign w:val="bottom"/>
            <w:hideMark/>
          </w:tcPr>
          <w:p w14:paraId="0C6AAA6F" w14:textId="77777777" w:rsidR="00677E5F" w:rsidRPr="00E56679" w:rsidRDefault="00677E5F" w:rsidP="005D4BE5">
            <w:pPr>
              <w:jc w:val="right"/>
              <w:rPr>
                <w:b/>
                <w:bCs/>
                <w:color w:val="0070C0"/>
                <w:sz w:val="18"/>
                <w:szCs w:val="18"/>
              </w:rPr>
            </w:pPr>
            <w:r>
              <w:rPr>
                <w:b/>
                <w:bCs/>
                <w:sz w:val="18"/>
                <w:szCs w:val="18"/>
              </w:rPr>
              <w:t>45,8%</w:t>
            </w:r>
          </w:p>
        </w:tc>
      </w:tr>
      <w:tr w:rsidR="00677E5F" w:rsidRPr="00E56679" w14:paraId="6F53988C" w14:textId="77777777" w:rsidTr="005D4BE5">
        <w:trPr>
          <w:trHeight w:val="259"/>
        </w:trPr>
        <w:tc>
          <w:tcPr>
            <w:tcW w:w="2401" w:type="dxa"/>
            <w:tcBorders>
              <w:top w:val="nil"/>
              <w:left w:val="double" w:sz="6" w:space="0" w:color="800000"/>
              <w:bottom w:val="nil"/>
              <w:right w:val="single" w:sz="8" w:space="0" w:color="800000"/>
            </w:tcBorders>
            <w:shd w:val="clear" w:color="000000" w:fill="FFFFCC"/>
            <w:noWrap/>
            <w:vAlign w:val="bottom"/>
            <w:hideMark/>
          </w:tcPr>
          <w:p w14:paraId="22D89A7C" w14:textId="77777777" w:rsidR="00677E5F" w:rsidRPr="00054589" w:rsidRDefault="00677E5F" w:rsidP="005D4BE5">
            <w:pPr>
              <w:rPr>
                <w:sz w:val="18"/>
                <w:szCs w:val="18"/>
              </w:rPr>
            </w:pPr>
            <w:r w:rsidRPr="00054589">
              <w:rPr>
                <w:sz w:val="18"/>
                <w:szCs w:val="18"/>
              </w:rPr>
              <w:t>Данъчни приходи</w:t>
            </w:r>
          </w:p>
        </w:tc>
        <w:tc>
          <w:tcPr>
            <w:tcW w:w="907" w:type="dxa"/>
            <w:tcBorders>
              <w:top w:val="nil"/>
              <w:left w:val="nil"/>
              <w:bottom w:val="nil"/>
              <w:right w:val="single" w:sz="8" w:space="0" w:color="800000"/>
            </w:tcBorders>
            <w:shd w:val="clear" w:color="000000" w:fill="FFFFCC"/>
            <w:vAlign w:val="bottom"/>
            <w:hideMark/>
          </w:tcPr>
          <w:p w14:paraId="6AAB55F2" w14:textId="77777777" w:rsidR="00677E5F" w:rsidRPr="00054589" w:rsidRDefault="00677E5F" w:rsidP="005D4BE5">
            <w:pPr>
              <w:jc w:val="right"/>
              <w:rPr>
                <w:sz w:val="18"/>
                <w:szCs w:val="18"/>
              </w:rPr>
            </w:pPr>
            <w:r w:rsidRPr="00054589">
              <w:rPr>
                <w:sz w:val="18"/>
                <w:szCs w:val="18"/>
              </w:rPr>
              <w:t>24 580,6</w:t>
            </w:r>
          </w:p>
        </w:tc>
        <w:tc>
          <w:tcPr>
            <w:tcW w:w="1059" w:type="dxa"/>
            <w:tcBorders>
              <w:top w:val="nil"/>
              <w:left w:val="single" w:sz="8" w:space="0" w:color="800000"/>
              <w:bottom w:val="nil"/>
              <w:right w:val="single" w:sz="8" w:space="0" w:color="800000"/>
            </w:tcBorders>
            <w:shd w:val="clear" w:color="000000" w:fill="FFFFCC"/>
            <w:noWrap/>
            <w:vAlign w:val="bottom"/>
            <w:hideMark/>
          </w:tcPr>
          <w:p w14:paraId="4A0D0905" w14:textId="77777777" w:rsidR="00677E5F" w:rsidRPr="00E56679" w:rsidRDefault="00677E5F" w:rsidP="005D4BE5">
            <w:pPr>
              <w:jc w:val="right"/>
              <w:rPr>
                <w:color w:val="0070C0"/>
                <w:sz w:val="18"/>
                <w:szCs w:val="18"/>
              </w:rPr>
            </w:pPr>
            <w:r>
              <w:rPr>
                <w:sz w:val="18"/>
                <w:szCs w:val="18"/>
              </w:rPr>
              <w:t>57 950,8</w:t>
            </w:r>
          </w:p>
        </w:tc>
        <w:tc>
          <w:tcPr>
            <w:tcW w:w="1011" w:type="dxa"/>
            <w:tcBorders>
              <w:top w:val="nil"/>
              <w:left w:val="nil"/>
              <w:bottom w:val="nil"/>
              <w:right w:val="single" w:sz="8" w:space="0" w:color="800000"/>
            </w:tcBorders>
            <w:shd w:val="clear" w:color="000000" w:fill="FFFFCC"/>
            <w:noWrap/>
            <w:vAlign w:val="bottom"/>
            <w:hideMark/>
          </w:tcPr>
          <w:p w14:paraId="711FD211" w14:textId="77777777" w:rsidR="00677E5F" w:rsidRPr="00E56679" w:rsidRDefault="00677E5F" w:rsidP="005D4BE5">
            <w:pPr>
              <w:jc w:val="right"/>
              <w:rPr>
                <w:color w:val="0070C0"/>
                <w:sz w:val="18"/>
                <w:szCs w:val="18"/>
              </w:rPr>
            </w:pPr>
            <w:r>
              <w:rPr>
                <w:sz w:val="18"/>
                <w:szCs w:val="18"/>
              </w:rPr>
              <w:t>27 204,5</w:t>
            </w:r>
          </w:p>
        </w:tc>
        <w:tc>
          <w:tcPr>
            <w:tcW w:w="1146" w:type="dxa"/>
            <w:tcBorders>
              <w:top w:val="nil"/>
              <w:left w:val="nil"/>
              <w:bottom w:val="nil"/>
              <w:right w:val="single" w:sz="8" w:space="0" w:color="800000"/>
            </w:tcBorders>
            <w:shd w:val="clear" w:color="000000" w:fill="FFFFCC"/>
            <w:noWrap/>
            <w:vAlign w:val="bottom"/>
            <w:hideMark/>
          </w:tcPr>
          <w:p w14:paraId="6CCABA6D" w14:textId="77777777" w:rsidR="00677E5F" w:rsidRPr="00E56679" w:rsidRDefault="00677E5F" w:rsidP="005D4BE5">
            <w:pPr>
              <w:jc w:val="right"/>
              <w:rPr>
                <w:color w:val="0070C0"/>
                <w:sz w:val="18"/>
                <w:szCs w:val="18"/>
              </w:rPr>
            </w:pPr>
            <w:r>
              <w:rPr>
                <w:sz w:val="18"/>
                <w:szCs w:val="18"/>
              </w:rPr>
              <w:t>27 204,5</w:t>
            </w:r>
          </w:p>
        </w:tc>
        <w:tc>
          <w:tcPr>
            <w:tcW w:w="1123" w:type="dxa"/>
            <w:tcBorders>
              <w:top w:val="nil"/>
              <w:left w:val="nil"/>
              <w:bottom w:val="nil"/>
              <w:right w:val="single" w:sz="8" w:space="0" w:color="800000"/>
            </w:tcBorders>
            <w:shd w:val="clear" w:color="000000" w:fill="FFFFCC"/>
            <w:noWrap/>
            <w:vAlign w:val="bottom"/>
            <w:hideMark/>
          </w:tcPr>
          <w:p w14:paraId="385EE94D" w14:textId="77777777" w:rsidR="00677E5F" w:rsidRPr="00E56679" w:rsidRDefault="00677E5F" w:rsidP="005D4BE5">
            <w:pPr>
              <w:jc w:val="right"/>
              <w:rPr>
                <w:color w:val="0070C0"/>
                <w:sz w:val="18"/>
                <w:szCs w:val="18"/>
              </w:rPr>
            </w:pPr>
            <w:r>
              <w:rPr>
                <w:sz w:val="18"/>
                <w:szCs w:val="18"/>
              </w:rPr>
              <w:t> </w:t>
            </w:r>
          </w:p>
        </w:tc>
        <w:tc>
          <w:tcPr>
            <w:tcW w:w="959" w:type="dxa"/>
            <w:tcBorders>
              <w:top w:val="nil"/>
              <w:left w:val="nil"/>
              <w:bottom w:val="nil"/>
              <w:right w:val="single" w:sz="8" w:space="0" w:color="800000"/>
            </w:tcBorders>
            <w:shd w:val="clear" w:color="000000" w:fill="FFFFCC"/>
            <w:noWrap/>
            <w:vAlign w:val="bottom"/>
            <w:hideMark/>
          </w:tcPr>
          <w:p w14:paraId="2C28F2A2" w14:textId="77777777" w:rsidR="00677E5F" w:rsidRPr="00E56679" w:rsidRDefault="00677E5F" w:rsidP="005D4BE5">
            <w:pPr>
              <w:jc w:val="right"/>
              <w:rPr>
                <w:color w:val="0070C0"/>
                <w:sz w:val="18"/>
                <w:szCs w:val="18"/>
              </w:rPr>
            </w:pPr>
            <w:r>
              <w:rPr>
                <w:sz w:val="18"/>
                <w:szCs w:val="18"/>
              </w:rPr>
              <w:t>110,7%</w:t>
            </w:r>
          </w:p>
        </w:tc>
        <w:tc>
          <w:tcPr>
            <w:tcW w:w="988" w:type="dxa"/>
            <w:tcBorders>
              <w:top w:val="nil"/>
              <w:left w:val="nil"/>
              <w:bottom w:val="nil"/>
              <w:right w:val="double" w:sz="6" w:space="0" w:color="800000"/>
            </w:tcBorders>
            <w:shd w:val="clear" w:color="000000" w:fill="FFFFCC"/>
            <w:vAlign w:val="bottom"/>
            <w:hideMark/>
          </w:tcPr>
          <w:p w14:paraId="39F10B84" w14:textId="77777777" w:rsidR="00677E5F" w:rsidRPr="00E56679" w:rsidRDefault="00677E5F" w:rsidP="005D4BE5">
            <w:pPr>
              <w:jc w:val="right"/>
              <w:rPr>
                <w:color w:val="0070C0"/>
                <w:sz w:val="18"/>
                <w:szCs w:val="18"/>
              </w:rPr>
            </w:pPr>
            <w:r>
              <w:rPr>
                <w:sz w:val="18"/>
                <w:szCs w:val="18"/>
              </w:rPr>
              <w:t>46,9%</w:t>
            </w:r>
          </w:p>
        </w:tc>
      </w:tr>
      <w:tr w:rsidR="00677E5F" w:rsidRPr="00E56679" w14:paraId="61D9A60B" w14:textId="77777777" w:rsidTr="005D4BE5">
        <w:trPr>
          <w:trHeight w:val="259"/>
        </w:trPr>
        <w:tc>
          <w:tcPr>
            <w:tcW w:w="2401" w:type="dxa"/>
            <w:tcBorders>
              <w:top w:val="nil"/>
              <w:left w:val="double" w:sz="6" w:space="0" w:color="800000"/>
              <w:bottom w:val="nil"/>
              <w:right w:val="single" w:sz="8" w:space="0" w:color="800000"/>
            </w:tcBorders>
            <w:shd w:val="clear" w:color="000000" w:fill="FFFFCC"/>
            <w:noWrap/>
            <w:vAlign w:val="bottom"/>
            <w:hideMark/>
          </w:tcPr>
          <w:p w14:paraId="75102BA4" w14:textId="77777777" w:rsidR="00677E5F" w:rsidRPr="00054589" w:rsidRDefault="00677E5F" w:rsidP="005D4BE5">
            <w:pPr>
              <w:rPr>
                <w:sz w:val="18"/>
                <w:szCs w:val="18"/>
              </w:rPr>
            </w:pPr>
            <w:r w:rsidRPr="00054589">
              <w:rPr>
                <w:sz w:val="18"/>
                <w:szCs w:val="18"/>
              </w:rPr>
              <w:t xml:space="preserve">   Преки данъци</w:t>
            </w:r>
          </w:p>
        </w:tc>
        <w:tc>
          <w:tcPr>
            <w:tcW w:w="907" w:type="dxa"/>
            <w:tcBorders>
              <w:top w:val="nil"/>
              <w:left w:val="nil"/>
              <w:bottom w:val="nil"/>
              <w:right w:val="single" w:sz="8" w:space="0" w:color="800000"/>
            </w:tcBorders>
            <w:shd w:val="clear" w:color="000000" w:fill="FFFFCC"/>
            <w:vAlign w:val="bottom"/>
            <w:hideMark/>
          </w:tcPr>
          <w:p w14:paraId="08672B4B" w14:textId="77777777" w:rsidR="00677E5F" w:rsidRPr="00054589" w:rsidRDefault="00677E5F" w:rsidP="005D4BE5">
            <w:pPr>
              <w:jc w:val="right"/>
              <w:rPr>
                <w:sz w:val="18"/>
                <w:szCs w:val="18"/>
              </w:rPr>
            </w:pPr>
            <w:r w:rsidRPr="00054589">
              <w:rPr>
                <w:sz w:val="18"/>
                <w:szCs w:val="18"/>
              </w:rPr>
              <w:t>4 946,1</w:t>
            </w:r>
          </w:p>
        </w:tc>
        <w:tc>
          <w:tcPr>
            <w:tcW w:w="1059" w:type="dxa"/>
            <w:tcBorders>
              <w:top w:val="nil"/>
              <w:left w:val="single" w:sz="8" w:space="0" w:color="800000"/>
              <w:bottom w:val="nil"/>
              <w:right w:val="single" w:sz="8" w:space="0" w:color="800000"/>
            </w:tcBorders>
            <w:shd w:val="clear" w:color="000000" w:fill="FFFFCC"/>
            <w:vAlign w:val="bottom"/>
            <w:hideMark/>
          </w:tcPr>
          <w:p w14:paraId="78F48155" w14:textId="77777777" w:rsidR="00677E5F" w:rsidRPr="00E56679" w:rsidRDefault="00677E5F" w:rsidP="005D4BE5">
            <w:pPr>
              <w:jc w:val="right"/>
              <w:rPr>
                <w:color w:val="0070C0"/>
                <w:sz w:val="18"/>
                <w:szCs w:val="18"/>
              </w:rPr>
            </w:pPr>
            <w:r>
              <w:rPr>
                <w:sz w:val="18"/>
                <w:szCs w:val="18"/>
              </w:rPr>
              <w:t>12 868,8</w:t>
            </w:r>
          </w:p>
        </w:tc>
        <w:tc>
          <w:tcPr>
            <w:tcW w:w="1011" w:type="dxa"/>
            <w:tcBorders>
              <w:top w:val="nil"/>
              <w:left w:val="nil"/>
              <w:bottom w:val="nil"/>
              <w:right w:val="single" w:sz="8" w:space="0" w:color="800000"/>
            </w:tcBorders>
            <w:shd w:val="clear" w:color="000000" w:fill="FFFFCC"/>
            <w:vAlign w:val="bottom"/>
            <w:hideMark/>
          </w:tcPr>
          <w:p w14:paraId="571296B5" w14:textId="77777777" w:rsidR="00677E5F" w:rsidRPr="00E56679" w:rsidRDefault="00677E5F" w:rsidP="005D4BE5">
            <w:pPr>
              <w:jc w:val="right"/>
              <w:rPr>
                <w:color w:val="0070C0"/>
                <w:sz w:val="18"/>
                <w:szCs w:val="18"/>
              </w:rPr>
            </w:pPr>
            <w:r>
              <w:rPr>
                <w:sz w:val="18"/>
                <w:szCs w:val="18"/>
              </w:rPr>
              <w:t>5 418,9</w:t>
            </w:r>
          </w:p>
        </w:tc>
        <w:tc>
          <w:tcPr>
            <w:tcW w:w="1146" w:type="dxa"/>
            <w:tcBorders>
              <w:top w:val="nil"/>
              <w:left w:val="nil"/>
              <w:bottom w:val="nil"/>
              <w:right w:val="single" w:sz="8" w:space="0" w:color="800000"/>
            </w:tcBorders>
            <w:shd w:val="clear" w:color="000000" w:fill="FFFFCC"/>
            <w:noWrap/>
            <w:vAlign w:val="bottom"/>
            <w:hideMark/>
          </w:tcPr>
          <w:p w14:paraId="7F2C8F44" w14:textId="77777777" w:rsidR="00677E5F" w:rsidRPr="00E56679" w:rsidRDefault="00677E5F" w:rsidP="005D4BE5">
            <w:pPr>
              <w:jc w:val="right"/>
              <w:rPr>
                <w:color w:val="0070C0"/>
                <w:sz w:val="18"/>
                <w:szCs w:val="18"/>
              </w:rPr>
            </w:pPr>
            <w:r>
              <w:rPr>
                <w:sz w:val="18"/>
                <w:szCs w:val="18"/>
              </w:rPr>
              <w:t>5 418,9</w:t>
            </w:r>
          </w:p>
        </w:tc>
        <w:tc>
          <w:tcPr>
            <w:tcW w:w="1123" w:type="dxa"/>
            <w:tcBorders>
              <w:top w:val="nil"/>
              <w:left w:val="nil"/>
              <w:bottom w:val="nil"/>
              <w:right w:val="single" w:sz="8" w:space="0" w:color="800000"/>
            </w:tcBorders>
            <w:shd w:val="clear" w:color="000000" w:fill="FFFFCC"/>
            <w:noWrap/>
            <w:vAlign w:val="bottom"/>
            <w:hideMark/>
          </w:tcPr>
          <w:p w14:paraId="6B812B05" w14:textId="77777777" w:rsidR="00677E5F" w:rsidRPr="00E56679" w:rsidRDefault="00677E5F" w:rsidP="005D4BE5">
            <w:pPr>
              <w:jc w:val="right"/>
              <w:rPr>
                <w:color w:val="0070C0"/>
                <w:sz w:val="18"/>
                <w:szCs w:val="18"/>
              </w:rPr>
            </w:pPr>
            <w:r>
              <w:rPr>
                <w:sz w:val="18"/>
                <w:szCs w:val="18"/>
              </w:rPr>
              <w:t> </w:t>
            </w:r>
          </w:p>
        </w:tc>
        <w:tc>
          <w:tcPr>
            <w:tcW w:w="959" w:type="dxa"/>
            <w:tcBorders>
              <w:top w:val="nil"/>
              <w:left w:val="nil"/>
              <w:bottom w:val="nil"/>
              <w:right w:val="single" w:sz="8" w:space="0" w:color="800000"/>
            </w:tcBorders>
            <w:shd w:val="clear" w:color="000000" w:fill="FFFFCC"/>
            <w:noWrap/>
            <w:vAlign w:val="bottom"/>
            <w:hideMark/>
          </w:tcPr>
          <w:p w14:paraId="555C60D1" w14:textId="77777777" w:rsidR="00677E5F" w:rsidRPr="00E56679" w:rsidRDefault="00677E5F" w:rsidP="005D4BE5">
            <w:pPr>
              <w:jc w:val="right"/>
              <w:rPr>
                <w:color w:val="0070C0"/>
                <w:sz w:val="18"/>
                <w:szCs w:val="18"/>
              </w:rPr>
            </w:pPr>
            <w:r>
              <w:rPr>
                <w:sz w:val="18"/>
                <w:szCs w:val="18"/>
              </w:rPr>
              <w:t>109,6%</w:t>
            </w:r>
          </w:p>
        </w:tc>
        <w:tc>
          <w:tcPr>
            <w:tcW w:w="988" w:type="dxa"/>
            <w:tcBorders>
              <w:top w:val="nil"/>
              <w:left w:val="nil"/>
              <w:bottom w:val="nil"/>
              <w:right w:val="double" w:sz="6" w:space="0" w:color="800000"/>
            </w:tcBorders>
            <w:shd w:val="clear" w:color="000000" w:fill="FFFFCC"/>
            <w:vAlign w:val="bottom"/>
            <w:hideMark/>
          </w:tcPr>
          <w:p w14:paraId="53FB1175" w14:textId="77777777" w:rsidR="00677E5F" w:rsidRPr="00E56679" w:rsidRDefault="00677E5F" w:rsidP="005D4BE5">
            <w:pPr>
              <w:jc w:val="right"/>
              <w:rPr>
                <w:color w:val="0070C0"/>
                <w:sz w:val="18"/>
                <w:szCs w:val="18"/>
              </w:rPr>
            </w:pPr>
            <w:r>
              <w:rPr>
                <w:sz w:val="18"/>
                <w:szCs w:val="18"/>
              </w:rPr>
              <w:t>42,1%</w:t>
            </w:r>
          </w:p>
        </w:tc>
      </w:tr>
      <w:tr w:rsidR="00677E5F" w:rsidRPr="00E56679" w14:paraId="1ECAD99A" w14:textId="77777777" w:rsidTr="005D4BE5">
        <w:trPr>
          <w:trHeight w:val="259"/>
        </w:trPr>
        <w:tc>
          <w:tcPr>
            <w:tcW w:w="2401" w:type="dxa"/>
            <w:tcBorders>
              <w:top w:val="nil"/>
              <w:left w:val="double" w:sz="6" w:space="0" w:color="800000"/>
              <w:bottom w:val="nil"/>
              <w:right w:val="single" w:sz="8" w:space="0" w:color="800000"/>
            </w:tcBorders>
            <w:shd w:val="clear" w:color="000000" w:fill="FFFFCC"/>
            <w:noWrap/>
            <w:vAlign w:val="bottom"/>
            <w:hideMark/>
          </w:tcPr>
          <w:p w14:paraId="75C3ED74" w14:textId="77777777" w:rsidR="00677E5F" w:rsidRPr="00054589" w:rsidRDefault="00677E5F" w:rsidP="005D4BE5">
            <w:pPr>
              <w:rPr>
                <w:sz w:val="18"/>
                <w:szCs w:val="18"/>
              </w:rPr>
            </w:pPr>
            <w:r w:rsidRPr="00054589">
              <w:rPr>
                <w:sz w:val="18"/>
                <w:szCs w:val="18"/>
              </w:rPr>
              <w:t xml:space="preserve">   Косвени данъци</w:t>
            </w:r>
          </w:p>
        </w:tc>
        <w:tc>
          <w:tcPr>
            <w:tcW w:w="907" w:type="dxa"/>
            <w:tcBorders>
              <w:top w:val="nil"/>
              <w:left w:val="nil"/>
              <w:bottom w:val="nil"/>
              <w:right w:val="single" w:sz="8" w:space="0" w:color="800000"/>
            </w:tcBorders>
            <w:shd w:val="clear" w:color="000000" w:fill="FFFFCC"/>
            <w:vAlign w:val="bottom"/>
            <w:hideMark/>
          </w:tcPr>
          <w:p w14:paraId="787965D6" w14:textId="77777777" w:rsidR="00677E5F" w:rsidRPr="00054589" w:rsidRDefault="00677E5F" w:rsidP="005D4BE5">
            <w:pPr>
              <w:jc w:val="right"/>
              <w:rPr>
                <w:sz w:val="18"/>
                <w:szCs w:val="18"/>
              </w:rPr>
            </w:pPr>
            <w:r w:rsidRPr="00054589">
              <w:rPr>
                <w:sz w:val="18"/>
                <w:szCs w:val="18"/>
              </w:rPr>
              <w:t>10 454,4</w:t>
            </w:r>
          </w:p>
        </w:tc>
        <w:tc>
          <w:tcPr>
            <w:tcW w:w="1059" w:type="dxa"/>
            <w:tcBorders>
              <w:top w:val="nil"/>
              <w:left w:val="single" w:sz="8" w:space="0" w:color="800000"/>
              <w:bottom w:val="nil"/>
              <w:right w:val="single" w:sz="8" w:space="0" w:color="800000"/>
            </w:tcBorders>
            <w:shd w:val="clear" w:color="000000" w:fill="FFFFCC"/>
            <w:vAlign w:val="bottom"/>
            <w:hideMark/>
          </w:tcPr>
          <w:p w14:paraId="6444B5C1" w14:textId="77777777" w:rsidR="00677E5F" w:rsidRPr="00E56679" w:rsidRDefault="00677E5F" w:rsidP="005D4BE5">
            <w:pPr>
              <w:jc w:val="right"/>
              <w:rPr>
                <w:color w:val="0070C0"/>
                <w:sz w:val="18"/>
                <w:szCs w:val="18"/>
              </w:rPr>
            </w:pPr>
            <w:r>
              <w:rPr>
                <w:sz w:val="18"/>
                <w:szCs w:val="18"/>
              </w:rPr>
              <w:t>25 504,1</w:t>
            </w:r>
          </w:p>
        </w:tc>
        <w:tc>
          <w:tcPr>
            <w:tcW w:w="1011" w:type="dxa"/>
            <w:tcBorders>
              <w:top w:val="nil"/>
              <w:left w:val="nil"/>
              <w:bottom w:val="nil"/>
              <w:right w:val="single" w:sz="8" w:space="0" w:color="800000"/>
            </w:tcBorders>
            <w:shd w:val="clear" w:color="000000" w:fill="FFFFCC"/>
            <w:vAlign w:val="bottom"/>
            <w:hideMark/>
          </w:tcPr>
          <w:p w14:paraId="3AFDA66C" w14:textId="77777777" w:rsidR="00677E5F" w:rsidRPr="00E56679" w:rsidRDefault="00677E5F" w:rsidP="005D4BE5">
            <w:pPr>
              <w:jc w:val="right"/>
              <w:rPr>
                <w:color w:val="0070C0"/>
                <w:sz w:val="18"/>
                <w:szCs w:val="18"/>
              </w:rPr>
            </w:pPr>
            <w:r>
              <w:rPr>
                <w:sz w:val="18"/>
                <w:szCs w:val="18"/>
              </w:rPr>
              <w:t>11 810,8</w:t>
            </w:r>
          </w:p>
        </w:tc>
        <w:tc>
          <w:tcPr>
            <w:tcW w:w="1146" w:type="dxa"/>
            <w:tcBorders>
              <w:top w:val="nil"/>
              <w:left w:val="nil"/>
              <w:bottom w:val="nil"/>
              <w:right w:val="single" w:sz="8" w:space="0" w:color="800000"/>
            </w:tcBorders>
            <w:shd w:val="clear" w:color="000000" w:fill="FFFFCC"/>
            <w:noWrap/>
            <w:vAlign w:val="bottom"/>
            <w:hideMark/>
          </w:tcPr>
          <w:p w14:paraId="2FE659FF" w14:textId="77777777" w:rsidR="00677E5F" w:rsidRPr="00E56679" w:rsidRDefault="00677E5F" w:rsidP="005D4BE5">
            <w:pPr>
              <w:jc w:val="right"/>
              <w:rPr>
                <w:color w:val="0070C0"/>
                <w:sz w:val="18"/>
                <w:szCs w:val="18"/>
              </w:rPr>
            </w:pPr>
            <w:r>
              <w:rPr>
                <w:sz w:val="18"/>
                <w:szCs w:val="18"/>
              </w:rPr>
              <w:t>11 810,8</w:t>
            </w:r>
          </w:p>
        </w:tc>
        <w:tc>
          <w:tcPr>
            <w:tcW w:w="1123" w:type="dxa"/>
            <w:tcBorders>
              <w:top w:val="nil"/>
              <w:left w:val="nil"/>
              <w:bottom w:val="nil"/>
              <w:right w:val="single" w:sz="8" w:space="0" w:color="800000"/>
            </w:tcBorders>
            <w:shd w:val="clear" w:color="000000" w:fill="FFFFCC"/>
            <w:noWrap/>
            <w:vAlign w:val="bottom"/>
            <w:hideMark/>
          </w:tcPr>
          <w:p w14:paraId="33176088" w14:textId="77777777" w:rsidR="00677E5F" w:rsidRPr="00E56679" w:rsidRDefault="00677E5F" w:rsidP="005D4BE5">
            <w:pPr>
              <w:jc w:val="right"/>
              <w:rPr>
                <w:color w:val="0070C0"/>
                <w:sz w:val="18"/>
                <w:szCs w:val="18"/>
              </w:rPr>
            </w:pPr>
            <w:r>
              <w:rPr>
                <w:sz w:val="18"/>
                <w:szCs w:val="18"/>
              </w:rPr>
              <w:t> </w:t>
            </w:r>
          </w:p>
        </w:tc>
        <w:tc>
          <w:tcPr>
            <w:tcW w:w="959" w:type="dxa"/>
            <w:tcBorders>
              <w:top w:val="nil"/>
              <w:left w:val="nil"/>
              <w:bottom w:val="nil"/>
              <w:right w:val="single" w:sz="8" w:space="0" w:color="800000"/>
            </w:tcBorders>
            <w:shd w:val="clear" w:color="000000" w:fill="FFFFCC"/>
            <w:noWrap/>
            <w:vAlign w:val="bottom"/>
            <w:hideMark/>
          </w:tcPr>
          <w:p w14:paraId="22DF1388" w14:textId="77777777" w:rsidR="00677E5F" w:rsidRPr="00E56679" w:rsidRDefault="00677E5F" w:rsidP="005D4BE5">
            <w:pPr>
              <w:jc w:val="right"/>
              <w:rPr>
                <w:color w:val="0070C0"/>
                <w:sz w:val="18"/>
                <w:szCs w:val="18"/>
              </w:rPr>
            </w:pPr>
            <w:r>
              <w:rPr>
                <w:sz w:val="18"/>
                <w:szCs w:val="18"/>
              </w:rPr>
              <w:t>113,0%</w:t>
            </w:r>
          </w:p>
        </w:tc>
        <w:tc>
          <w:tcPr>
            <w:tcW w:w="988" w:type="dxa"/>
            <w:tcBorders>
              <w:top w:val="nil"/>
              <w:left w:val="nil"/>
              <w:bottom w:val="nil"/>
              <w:right w:val="double" w:sz="6" w:space="0" w:color="800000"/>
            </w:tcBorders>
            <w:shd w:val="clear" w:color="000000" w:fill="FFFFCC"/>
            <w:vAlign w:val="bottom"/>
            <w:hideMark/>
          </w:tcPr>
          <w:p w14:paraId="62FCFEE1" w14:textId="77777777" w:rsidR="00677E5F" w:rsidRPr="00E56679" w:rsidRDefault="00677E5F" w:rsidP="005D4BE5">
            <w:pPr>
              <w:jc w:val="right"/>
              <w:rPr>
                <w:color w:val="0070C0"/>
                <w:sz w:val="18"/>
                <w:szCs w:val="18"/>
              </w:rPr>
            </w:pPr>
            <w:r>
              <w:rPr>
                <w:sz w:val="18"/>
                <w:szCs w:val="18"/>
              </w:rPr>
              <w:t>46,3%</w:t>
            </w:r>
          </w:p>
        </w:tc>
      </w:tr>
      <w:tr w:rsidR="00677E5F" w:rsidRPr="00E56679" w14:paraId="55B408C7" w14:textId="77777777" w:rsidTr="005D4BE5">
        <w:trPr>
          <w:trHeight w:val="259"/>
        </w:trPr>
        <w:tc>
          <w:tcPr>
            <w:tcW w:w="2401" w:type="dxa"/>
            <w:tcBorders>
              <w:top w:val="nil"/>
              <w:left w:val="double" w:sz="6" w:space="0" w:color="800000"/>
              <w:bottom w:val="nil"/>
              <w:right w:val="single" w:sz="8" w:space="0" w:color="800000"/>
            </w:tcBorders>
            <w:shd w:val="clear" w:color="000000" w:fill="FFFFCC"/>
            <w:noWrap/>
            <w:vAlign w:val="bottom"/>
            <w:hideMark/>
          </w:tcPr>
          <w:p w14:paraId="670AB6F2" w14:textId="77777777" w:rsidR="00677E5F" w:rsidRPr="00054589" w:rsidRDefault="00677E5F" w:rsidP="005D4BE5">
            <w:pPr>
              <w:rPr>
                <w:sz w:val="18"/>
                <w:szCs w:val="18"/>
              </w:rPr>
            </w:pPr>
            <w:r w:rsidRPr="00054589">
              <w:rPr>
                <w:sz w:val="18"/>
                <w:szCs w:val="18"/>
              </w:rPr>
              <w:t xml:space="preserve">   Приходи от социално и здравно осигурителни вноски</w:t>
            </w:r>
          </w:p>
        </w:tc>
        <w:tc>
          <w:tcPr>
            <w:tcW w:w="907" w:type="dxa"/>
            <w:tcBorders>
              <w:top w:val="nil"/>
              <w:left w:val="nil"/>
              <w:bottom w:val="nil"/>
              <w:right w:val="single" w:sz="8" w:space="0" w:color="800000"/>
            </w:tcBorders>
            <w:shd w:val="clear" w:color="000000" w:fill="FFFFCC"/>
            <w:vAlign w:val="bottom"/>
            <w:hideMark/>
          </w:tcPr>
          <w:p w14:paraId="21193F21" w14:textId="77777777" w:rsidR="00677E5F" w:rsidRPr="00054589" w:rsidRDefault="00677E5F" w:rsidP="005D4BE5">
            <w:pPr>
              <w:jc w:val="right"/>
              <w:rPr>
                <w:sz w:val="18"/>
                <w:szCs w:val="18"/>
              </w:rPr>
            </w:pPr>
            <w:r w:rsidRPr="00054589">
              <w:rPr>
                <w:sz w:val="18"/>
                <w:szCs w:val="18"/>
              </w:rPr>
              <w:t>7 459,5</w:t>
            </w:r>
          </w:p>
        </w:tc>
        <w:tc>
          <w:tcPr>
            <w:tcW w:w="1059" w:type="dxa"/>
            <w:tcBorders>
              <w:top w:val="nil"/>
              <w:left w:val="single" w:sz="8" w:space="0" w:color="800000"/>
              <w:bottom w:val="nil"/>
              <w:right w:val="single" w:sz="8" w:space="0" w:color="800000"/>
            </w:tcBorders>
            <w:shd w:val="clear" w:color="000000" w:fill="FFFFCC"/>
            <w:vAlign w:val="bottom"/>
            <w:hideMark/>
          </w:tcPr>
          <w:p w14:paraId="609786F7" w14:textId="77777777" w:rsidR="00677E5F" w:rsidRPr="00E56679" w:rsidRDefault="00677E5F" w:rsidP="005D4BE5">
            <w:pPr>
              <w:jc w:val="right"/>
              <w:rPr>
                <w:color w:val="0070C0"/>
                <w:sz w:val="18"/>
                <w:szCs w:val="18"/>
              </w:rPr>
            </w:pPr>
            <w:r>
              <w:rPr>
                <w:sz w:val="18"/>
                <w:szCs w:val="18"/>
              </w:rPr>
              <w:t>17 726,4</w:t>
            </w:r>
          </w:p>
        </w:tc>
        <w:tc>
          <w:tcPr>
            <w:tcW w:w="1011" w:type="dxa"/>
            <w:tcBorders>
              <w:top w:val="nil"/>
              <w:left w:val="nil"/>
              <w:bottom w:val="nil"/>
              <w:right w:val="single" w:sz="8" w:space="0" w:color="800000"/>
            </w:tcBorders>
            <w:shd w:val="clear" w:color="000000" w:fill="FFFFCC"/>
            <w:vAlign w:val="bottom"/>
            <w:hideMark/>
          </w:tcPr>
          <w:p w14:paraId="3021917D" w14:textId="77777777" w:rsidR="00677E5F" w:rsidRPr="00E56679" w:rsidRDefault="00677E5F" w:rsidP="005D4BE5">
            <w:pPr>
              <w:jc w:val="right"/>
              <w:rPr>
                <w:color w:val="0070C0"/>
                <w:sz w:val="18"/>
                <w:szCs w:val="18"/>
              </w:rPr>
            </w:pPr>
            <w:r>
              <w:rPr>
                <w:sz w:val="18"/>
                <w:szCs w:val="18"/>
              </w:rPr>
              <w:t>8 698,2</w:t>
            </w:r>
          </w:p>
        </w:tc>
        <w:tc>
          <w:tcPr>
            <w:tcW w:w="1146" w:type="dxa"/>
            <w:tcBorders>
              <w:top w:val="nil"/>
              <w:left w:val="nil"/>
              <w:bottom w:val="nil"/>
              <w:right w:val="single" w:sz="8" w:space="0" w:color="800000"/>
            </w:tcBorders>
            <w:shd w:val="clear" w:color="000000" w:fill="FFFFCC"/>
            <w:noWrap/>
            <w:vAlign w:val="bottom"/>
            <w:hideMark/>
          </w:tcPr>
          <w:p w14:paraId="12D7477F" w14:textId="77777777" w:rsidR="00677E5F" w:rsidRPr="00E56679" w:rsidRDefault="00677E5F" w:rsidP="005D4BE5">
            <w:pPr>
              <w:jc w:val="right"/>
              <w:rPr>
                <w:color w:val="0070C0"/>
                <w:sz w:val="18"/>
                <w:szCs w:val="18"/>
              </w:rPr>
            </w:pPr>
            <w:r>
              <w:rPr>
                <w:sz w:val="18"/>
                <w:szCs w:val="18"/>
              </w:rPr>
              <w:t>8 698,2</w:t>
            </w:r>
          </w:p>
        </w:tc>
        <w:tc>
          <w:tcPr>
            <w:tcW w:w="1123" w:type="dxa"/>
            <w:tcBorders>
              <w:top w:val="nil"/>
              <w:left w:val="nil"/>
              <w:bottom w:val="nil"/>
              <w:right w:val="single" w:sz="8" w:space="0" w:color="800000"/>
            </w:tcBorders>
            <w:shd w:val="clear" w:color="000000" w:fill="FFFFCC"/>
            <w:noWrap/>
            <w:vAlign w:val="bottom"/>
            <w:hideMark/>
          </w:tcPr>
          <w:p w14:paraId="67DE99DE" w14:textId="77777777" w:rsidR="00677E5F" w:rsidRPr="00E56679" w:rsidRDefault="00677E5F" w:rsidP="005D4BE5">
            <w:pPr>
              <w:jc w:val="right"/>
              <w:rPr>
                <w:color w:val="0070C0"/>
                <w:sz w:val="18"/>
                <w:szCs w:val="18"/>
              </w:rPr>
            </w:pPr>
            <w:r>
              <w:rPr>
                <w:sz w:val="18"/>
                <w:szCs w:val="18"/>
              </w:rPr>
              <w:t> </w:t>
            </w:r>
          </w:p>
        </w:tc>
        <w:tc>
          <w:tcPr>
            <w:tcW w:w="959" w:type="dxa"/>
            <w:tcBorders>
              <w:top w:val="nil"/>
              <w:left w:val="nil"/>
              <w:bottom w:val="nil"/>
              <w:right w:val="single" w:sz="8" w:space="0" w:color="800000"/>
            </w:tcBorders>
            <w:shd w:val="clear" w:color="000000" w:fill="FFFFCC"/>
            <w:noWrap/>
            <w:vAlign w:val="bottom"/>
            <w:hideMark/>
          </w:tcPr>
          <w:p w14:paraId="61C1C578" w14:textId="77777777" w:rsidR="00677E5F" w:rsidRPr="00E56679" w:rsidRDefault="00677E5F" w:rsidP="005D4BE5">
            <w:pPr>
              <w:jc w:val="right"/>
              <w:rPr>
                <w:color w:val="0070C0"/>
                <w:sz w:val="18"/>
                <w:szCs w:val="18"/>
              </w:rPr>
            </w:pPr>
            <w:r>
              <w:rPr>
                <w:sz w:val="18"/>
                <w:szCs w:val="18"/>
              </w:rPr>
              <w:t>116,6%</w:t>
            </w:r>
          </w:p>
        </w:tc>
        <w:tc>
          <w:tcPr>
            <w:tcW w:w="988" w:type="dxa"/>
            <w:tcBorders>
              <w:top w:val="nil"/>
              <w:left w:val="nil"/>
              <w:bottom w:val="nil"/>
              <w:right w:val="double" w:sz="6" w:space="0" w:color="800000"/>
            </w:tcBorders>
            <w:shd w:val="clear" w:color="000000" w:fill="FFFFCC"/>
            <w:vAlign w:val="bottom"/>
            <w:hideMark/>
          </w:tcPr>
          <w:p w14:paraId="61C1750B" w14:textId="77777777" w:rsidR="00677E5F" w:rsidRPr="00E56679" w:rsidRDefault="00677E5F" w:rsidP="005D4BE5">
            <w:pPr>
              <w:jc w:val="right"/>
              <w:rPr>
                <w:color w:val="0070C0"/>
                <w:sz w:val="18"/>
                <w:szCs w:val="18"/>
              </w:rPr>
            </w:pPr>
            <w:r>
              <w:rPr>
                <w:sz w:val="18"/>
                <w:szCs w:val="18"/>
              </w:rPr>
              <w:t>49,1%</w:t>
            </w:r>
          </w:p>
        </w:tc>
      </w:tr>
      <w:tr w:rsidR="00677E5F" w:rsidRPr="00E56679" w14:paraId="53B17A9F" w14:textId="77777777" w:rsidTr="005D4BE5">
        <w:trPr>
          <w:trHeight w:val="259"/>
        </w:trPr>
        <w:tc>
          <w:tcPr>
            <w:tcW w:w="2401" w:type="dxa"/>
            <w:tcBorders>
              <w:top w:val="nil"/>
              <w:left w:val="double" w:sz="6" w:space="0" w:color="800000"/>
              <w:bottom w:val="nil"/>
              <w:right w:val="single" w:sz="8" w:space="0" w:color="800000"/>
            </w:tcBorders>
            <w:shd w:val="clear" w:color="000000" w:fill="FFFFCC"/>
            <w:noWrap/>
            <w:vAlign w:val="bottom"/>
            <w:hideMark/>
          </w:tcPr>
          <w:p w14:paraId="76C195B4" w14:textId="77777777" w:rsidR="00677E5F" w:rsidRPr="00054589" w:rsidRDefault="00677E5F" w:rsidP="005D4BE5">
            <w:pPr>
              <w:rPr>
                <w:sz w:val="18"/>
                <w:szCs w:val="18"/>
              </w:rPr>
            </w:pPr>
            <w:r w:rsidRPr="00054589">
              <w:rPr>
                <w:sz w:val="18"/>
                <w:szCs w:val="18"/>
              </w:rPr>
              <w:t xml:space="preserve">   Други данъци</w:t>
            </w:r>
          </w:p>
        </w:tc>
        <w:tc>
          <w:tcPr>
            <w:tcW w:w="907" w:type="dxa"/>
            <w:tcBorders>
              <w:top w:val="nil"/>
              <w:left w:val="nil"/>
              <w:bottom w:val="nil"/>
              <w:right w:val="single" w:sz="8" w:space="0" w:color="800000"/>
            </w:tcBorders>
            <w:shd w:val="clear" w:color="000000" w:fill="FFFFCC"/>
            <w:vAlign w:val="bottom"/>
            <w:hideMark/>
          </w:tcPr>
          <w:p w14:paraId="7B990B4E" w14:textId="77777777" w:rsidR="00677E5F" w:rsidRPr="00054589" w:rsidRDefault="00677E5F" w:rsidP="005D4BE5">
            <w:pPr>
              <w:jc w:val="right"/>
              <w:rPr>
                <w:sz w:val="18"/>
                <w:szCs w:val="18"/>
              </w:rPr>
            </w:pPr>
            <w:r w:rsidRPr="00054589">
              <w:rPr>
                <w:sz w:val="18"/>
                <w:szCs w:val="18"/>
              </w:rPr>
              <w:t>1 720,6</w:t>
            </w:r>
          </w:p>
        </w:tc>
        <w:tc>
          <w:tcPr>
            <w:tcW w:w="1059" w:type="dxa"/>
            <w:tcBorders>
              <w:top w:val="nil"/>
              <w:left w:val="single" w:sz="8" w:space="0" w:color="800000"/>
              <w:bottom w:val="nil"/>
              <w:right w:val="single" w:sz="8" w:space="0" w:color="800000"/>
            </w:tcBorders>
            <w:shd w:val="clear" w:color="000000" w:fill="FFFFCC"/>
            <w:vAlign w:val="bottom"/>
            <w:hideMark/>
          </w:tcPr>
          <w:p w14:paraId="3953A559" w14:textId="77777777" w:rsidR="00677E5F" w:rsidRPr="00E56679" w:rsidRDefault="00677E5F" w:rsidP="005D4BE5">
            <w:pPr>
              <w:jc w:val="right"/>
              <w:rPr>
                <w:color w:val="0070C0"/>
                <w:sz w:val="18"/>
                <w:szCs w:val="18"/>
              </w:rPr>
            </w:pPr>
            <w:r>
              <w:rPr>
                <w:sz w:val="18"/>
                <w:szCs w:val="18"/>
              </w:rPr>
              <w:t>1 851,5</w:t>
            </w:r>
          </w:p>
        </w:tc>
        <w:tc>
          <w:tcPr>
            <w:tcW w:w="1011" w:type="dxa"/>
            <w:tcBorders>
              <w:top w:val="nil"/>
              <w:left w:val="nil"/>
              <w:bottom w:val="nil"/>
              <w:right w:val="single" w:sz="8" w:space="0" w:color="800000"/>
            </w:tcBorders>
            <w:shd w:val="clear" w:color="000000" w:fill="FFFFCC"/>
            <w:vAlign w:val="bottom"/>
            <w:hideMark/>
          </w:tcPr>
          <w:p w14:paraId="58FB2477" w14:textId="77777777" w:rsidR="00677E5F" w:rsidRPr="00E56679" w:rsidRDefault="00677E5F" w:rsidP="005D4BE5">
            <w:pPr>
              <w:jc w:val="right"/>
              <w:rPr>
                <w:color w:val="0070C0"/>
                <w:sz w:val="18"/>
                <w:szCs w:val="18"/>
              </w:rPr>
            </w:pPr>
            <w:r>
              <w:rPr>
                <w:sz w:val="18"/>
                <w:szCs w:val="18"/>
              </w:rPr>
              <w:t>1 276,5</w:t>
            </w:r>
          </w:p>
        </w:tc>
        <w:tc>
          <w:tcPr>
            <w:tcW w:w="1146" w:type="dxa"/>
            <w:tcBorders>
              <w:top w:val="nil"/>
              <w:left w:val="nil"/>
              <w:bottom w:val="nil"/>
              <w:right w:val="single" w:sz="8" w:space="0" w:color="800000"/>
            </w:tcBorders>
            <w:shd w:val="clear" w:color="000000" w:fill="FFFFCC"/>
            <w:noWrap/>
            <w:vAlign w:val="bottom"/>
            <w:hideMark/>
          </w:tcPr>
          <w:p w14:paraId="35B2E0F8" w14:textId="77777777" w:rsidR="00677E5F" w:rsidRPr="00E56679" w:rsidRDefault="00677E5F" w:rsidP="005D4BE5">
            <w:pPr>
              <w:jc w:val="right"/>
              <w:rPr>
                <w:color w:val="0070C0"/>
                <w:sz w:val="18"/>
                <w:szCs w:val="18"/>
              </w:rPr>
            </w:pPr>
            <w:r>
              <w:rPr>
                <w:sz w:val="18"/>
                <w:szCs w:val="18"/>
              </w:rPr>
              <w:t>1 276,5</w:t>
            </w:r>
          </w:p>
        </w:tc>
        <w:tc>
          <w:tcPr>
            <w:tcW w:w="1123" w:type="dxa"/>
            <w:tcBorders>
              <w:top w:val="nil"/>
              <w:left w:val="nil"/>
              <w:bottom w:val="nil"/>
              <w:right w:val="single" w:sz="8" w:space="0" w:color="800000"/>
            </w:tcBorders>
            <w:shd w:val="clear" w:color="000000" w:fill="FFFFCC"/>
            <w:noWrap/>
            <w:vAlign w:val="bottom"/>
            <w:hideMark/>
          </w:tcPr>
          <w:p w14:paraId="2A6D479D" w14:textId="77777777" w:rsidR="00677E5F" w:rsidRPr="00E56679" w:rsidRDefault="00677E5F" w:rsidP="005D4BE5">
            <w:pPr>
              <w:jc w:val="right"/>
              <w:rPr>
                <w:color w:val="0070C0"/>
                <w:sz w:val="18"/>
                <w:szCs w:val="18"/>
              </w:rPr>
            </w:pPr>
            <w:r>
              <w:rPr>
                <w:sz w:val="18"/>
                <w:szCs w:val="18"/>
              </w:rPr>
              <w:t> </w:t>
            </w:r>
          </w:p>
        </w:tc>
        <w:tc>
          <w:tcPr>
            <w:tcW w:w="959" w:type="dxa"/>
            <w:tcBorders>
              <w:top w:val="nil"/>
              <w:left w:val="nil"/>
              <w:bottom w:val="nil"/>
              <w:right w:val="single" w:sz="8" w:space="0" w:color="800000"/>
            </w:tcBorders>
            <w:shd w:val="clear" w:color="000000" w:fill="FFFFCC"/>
            <w:noWrap/>
            <w:vAlign w:val="bottom"/>
            <w:hideMark/>
          </w:tcPr>
          <w:p w14:paraId="3D610A62" w14:textId="77777777" w:rsidR="00677E5F" w:rsidRPr="00E56679" w:rsidRDefault="00677E5F" w:rsidP="005D4BE5">
            <w:pPr>
              <w:jc w:val="right"/>
              <w:rPr>
                <w:color w:val="0070C0"/>
                <w:sz w:val="18"/>
                <w:szCs w:val="18"/>
              </w:rPr>
            </w:pPr>
            <w:r>
              <w:rPr>
                <w:sz w:val="18"/>
                <w:szCs w:val="18"/>
              </w:rPr>
              <w:t>74,2%</w:t>
            </w:r>
          </w:p>
        </w:tc>
        <w:tc>
          <w:tcPr>
            <w:tcW w:w="988" w:type="dxa"/>
            <w:tcBorders>
              <w:top w:val="nil"/>
              <w:left w:val="nil"/>
              <w:bottom w:val="nil"/>
              <w:right w:val="double" w:sz="6" w:space="0" w:color="800000"/>
            </w:tcBorders>
            <w:shd w:val="clear" w:color="000000" w:fill="FFFFCC"/>
            <w:vAlign w:val="bottom"/>
            <w:hideMark/>
          </w:tcPr>
          <w:p w14:paraId="4ED81BDB" w14:textId="77777777" w:rsidR="00677E5F" w:rsidRPr="00E56679" w:rsidRDefault="00677E5F" w:rsidP="005D4BE5">
            <w:pPr>
              <w:jc w:val="right"/>
              <w:rPr>
                <w:color w:val="0070C0"/>
                <w:sz w:val="18"/>
                <w:szCs w:val="18"/>
              </w:rPr>
            </w:pPr>
            <w:r>
              <w:rPr>
                <w:sz w:val="18"/>
                <w:szCs w:val="18"/>
              </w:rPr>
              <w:t>68,9%</w:t>
            </w:r>
          </w:p>
        </w:tc>
      </w:tr>
      <w:tr w:rsidR="00677E5F" w:rsidRPr="00E56679" w14:paraId="51B878EA" w14:textId="77777777" w:rsidTr="005D4BE5">
        <w:trPr>
          <w:trHeight w:val="259"/>
        </w:trPr>
        <w:tc>
          <w:tcPr>
            <w:tcW w:w="2401" w:type="dxa"/>
            <w:tcBorders>
              <w:top w:val="nil"/>
              <w:left w:val="double" w:sz="6" w:space="0" w:color="800000"/>
              <w:bottom w:val="nil"/>
              <w:right w:val="single" w:sz="8" w:space="0" w:color="800000"/>
            </w:tcBorders>
            <w:shd w:val="clear" w:color="000000" w:fill="FFFFCC"/>
            <w:noWrap/>
            <w:vAlign w:val="bottom"/>
            <w:hideMark/>
          </w:tcPr>
          <w:p w14:paraId="5ABA0C56" w14:textId="77777777" w:rsidR="00677E5F" w:rsidRPr="00054589" w:rsidRDefault="00677E5F" w:rsidP="005D4BE5">
            <w:pPr>
              <w:rPr>
                <w:sz w:val="18"/>
                <w:szCs w:val="18"/>
              </w:rPr>
            </w:pPr>
            <w:r w:rsidRPr="00054589">
              <w:rPr>
                <w:sz w:val="18"/>
                <w:szCs w:val="18"/>
              </w:rPr>
              <w:t>Неданъчни приходи</w:t>
            </w:r>
          </w:p>
        </w:tc>
        <w:tc>
          <w:tcPr>
            <w:tcW w:w="907" w:type="dxa"/>
            <w:tcBorders>
              <w:top w:val="nil"/>
              <w:left w:val="nil"/>
              <w:bottom w:val="nil"/>
              <w:right w:val="single" w:sz="8" w:space="0" w:color="800000"/>
            </w:tcBorders>
            <w:shd w:val="clear" w:color="000000" w:fill="FFFFCC"/>
            <w:vAlign w:val="bottom"/>
            <w:hideMark/>
          </w:tcPr>
          <w:p w14:paraId="2E7832A2" w14:textId="77777777" w:rsidR="00677E5F" w:rsidRPr="00054589" w:rsidRDefault="00677E5F" w:rsidP="005D4BE5">
            <w:pPr>
              <w:jc w:val="right"/>
              <w:rPr>
                <w:sz w:val="18"/>
                <w:szCs w:val="18"/>
              </w:rPr>
            </w:pPr>
            <w:r w:rsidRPr="00054589">
              <w:rPr>
                <w:sz w:val="18"/>
                <w:szCs w:val="18"/>
              </w:rPr>
              <w:t>5 621,0</w:t>
            </w:r>
          </w:p>
        </w:tc>
        <w:tc>
          <w:tcPr>
            <w:tcW w:w="1059" w:type="dxa"/>
            <w:tcBorders>
              <w:top w:val="nil"/>
              <w:left w:val="single" w:sz="8" w:space="0" w:color="800000"/>
              <w:bottom w:val="nil"/>
              <w:right w:val="single" w:sz="8" w:space="0" w:color="800000"/>
            </w:tcBorders>
            <w:shd w:val="clear" w:color="000000" w:fill="FFFFCC"/>
            <w:vAlign w:val="bottom"/>
            <w:hideMark/>
          </w:tcPr>
          <w:p w14:paraId="543B4033" w14:textId="77777777" w:rsidR="00677E5F" w:rsidRPr="00E56679" w:rsidRDefault="00677E5F" w:rsidP="005D4BE5">
            <w:pPr>
              <w:jc w:val="right"/>
              <w:rPr>
                <w:color w:val="0070C0"/>
                <w:sz w:val="18"/>
                <w:szCs w:val="18"/>
              </w:rPr>
            </w:pPr>
            <w:r>
              <w:rPr>
                <w:sz w:val="18"/>
                <w:szCs w:val="18"/>
              </w:rPr>
              <w:t>10 258,2</w:t>
            </w:r>
          </w:p>
        </w:tc>
        <w:tc>
          <w:tcPr>
            <w:tcW w:w="1011" w:type="dxa"/>
            <w:tcBorders>
              <w:top w:val="nil"/>
              <w:left w:val="nil"/>
              <w:bottom w:val="nil"/>
              <w:right w:val="single" w:sz="8" w:space="0" w:color="800000"/>
            </w:tcBorders>
            <w:shd w:val="clear" w:color="000000" w:fill="FFFFCC"/>
            <w:vAlign w:val="bottom"/>
            <w:hideMark/>
          </w:tcPr>
          <w:p w14:paraId="001ACC15" w14:textId="77777777" w:rsidR="00677E5F" w:rsidRPr="00E56679" w:rsidRDefault="00677E5F" w:rsidP="005D4BE5">
            <w:pPr>
              <w:jc w:val="right"/>
              <w:rPr>
                <w:color w:val="0070C0"/>
                <w:sz w:val="18"/>
                <w:szCs w:val="18"/>
              </w:rPr>
            </w:pPr>
            <w:r>
              <w:rPr>
                <w:sz w:val="18"/>
                <w:szCs w:val="18"/>
              </w:rPr>
              <w:t>5 291,3</w:t>
            </w:r>
          </w:p>
        </w:tc>
        <w:tc>
          <w:tcPr>
            <w:tcW w:w="1146" w:type="dxa"/>
            <w:tcBorders>
              <w:top w:val="nil"/>
              <w:left w:val="nil"/>
              <w:bottom w:val="nil"/>
              <w:right w:val="single" w:sz="8" w:space="0" w:color="800000"/>
            </w:tcBorders>
            <w:shd w:val="clear" w:color="000000" w:fill="FFFFCC"/>
            <w:noWrap/>
            <w:vAlign w:val="bottom"/>
            <w:hideMark/>
          </w:tcPr>
          <w:p w14:paraId="1F13F628" w14:textId="77777777" w:rsidR="00677E5F" w:rsidRPr="00E56679" w:rsidRDefault="00677E5F" w:rsidP="005D4BE5">
            <w:pPr>
              <w:jc w:val="right"/>
              <w:rPr>
                <w:color w:val="0070C0"/>
                <w:sz w:val="18"/>
                <w:szCs w:val="18"/>
              </w:rPr>
            </w:pPr>
            <w:r>
              <w:rPr>
                <w:sz w:val="18"/>
                <w:szCs w:val="18"/>
              </w:rPr>
              <w:t>5 295,4</w:t>
            </w:r>
          </w:p>
        </w:tc>
        <w:tc>
          <w:tcPr>
            <w:tcW w:w="1123" w:type="dxa"/>
            <w:tcBorders>
              <w:top w:val="nil"/>
              <w:left w:val="nil"/>
              <w:bottom w:val="nil"/>
              <w:right w:val="single" w:sz="8" w:space="0" w:color="800000"/>
            </w:tcBorders>
            <w:shd w:val="clear" w:color="000000" w:fill="FFFFCC"/>
            <w:noWrap/>
            <w:vAlign w:val="bottom"/>
            <w:hideMark/>
          </w:tcPr>
          <w:p w14:paraId="5BD71CAC" w14:textId="77777777" w:rsidR="00677E5F" w:rsidRPr="00E56679" w:rsidRDefault="00677E5F" w:rsidP="005D4BE5">
            <w:pPr>
              <w:jc w:val="right"/>
              <w:rPr>
                <w:color w:val="0070C0"/>
                <w:sz w:val="18"/>
                <w:szCs w:val="18"/>
              </w:rPr>
            </w:pPr>
            <w:r>
              <w:rPr>
                <w:sz w:val="18"/>
                <w:szCs w:val="18"/>
              </w:rPr>
              <w:t>-4,1</w:t>
            </w:r>
          </w:p>
        </w:tc>
        <w:tc>
          <w:tcPr>
            <w:tcW w:w="959" w:type="dxa"/>
            <w:tcBorders>
              <w:top w:val="nil"/>
              <w:left w:val="nil"/>
              <w:bottom w:val="nil"/>
              <w:right w:val="single" w:sz="8" w:space="0" w:color="800000"/>
            </w:tcBorders>
            <w:shd w:val="clear" w:color="000000" w:fill="FFFFCC"/>
            <w:noWrap/>
            <w:vAlign w:val="bottom"/>
            <w:hideMark/>
          </w:tcPr>
          <w:p w14:paraId="6673C6ED" w14:textId="77777777" w:rsidR="00677E5F" w:rsidRPr="00E56679" w:rsidRDefault="00677E5F" w:rsidP="005D4BE5">
            <w:pPr>
              <w:jc w:val="right"/>
              <w:rPr>
                <w:color w:val="0070C0"/>
                <w:sz w:val="18"/>
                <w:szCs w:val="18"/>
              </w:rPr>
            </w:pPr>
            <w:r>
              <w:rPr>
                <w:sz w:val="18"/>
                <w:szCs w:val="18"/>
              </w:rPr>
              <w:t>94,1%</w:t>
            </w:r>
          </w:p>
        </w:tc>
        <w:tc>
          <w:tcPr>
            <w:tcW w:w="988" w:type="dxa"/>
            <w:tcBorders>
              <w:top w:val="nil"/>
              <w:left w:val="nil"/>
              <w:bottom w:val="nil"/>
              <w:right w:val="double" w:sz="6" w:space="0" w:color="800000"/>
            </w:tcBorders>
            <w:shd w:val="clear" w:color="000000" w:fill="FFFFCC"/>
            <w:vAlign w:val="bottom"/>
            <w:hideMark/>
          </w:tcPr>
          <w:p w14:paraId="02A36724" w14:textId="77777777" w:rsidR="00677E5F" w:rsidRPr="00E56679" w:rsidRDefault="00677E5F" w:rsidP="005D4BE5">
            <w:pPr>
              <w:jc w:val="right"/>
              <w:rPr>
                <w:color w:val="0070C0"/>
                <w:sz w:val="18"/>
                <w:szCs w:val="18"/>
              </w:rPr>
            </w:pPr>
            <w:r>
              <w:rPr>
                <w:sz w:val="18"/>
                <w:szCs w:val="18"/>
              </w:rPr>
              <w:t>51,6%</w:t>
            </w:r>
          </w:p>
        </w:tc>
      </w:tr>
      <w:tr w:rsidR="00677E5F" w:rsidRPr="00E56679" w14:paraId="7B3417CD" w14:textId="77777777" w:rsidTr="005D4BE5">
        <w:trPr>
          <w:trHeight w:val="271"/>
        </w:trPr>
        <w:tc>
          <w:tcPr>
            <w:tcW w:w="2401" w:type="dxa"/>
            <w:tcBorders>
              <w:top w:val="nil"/>
              <w:left w:val="double" w:sz="6" w:space="0" w:color="800000"/>
              <w:bottom w:val="nil"/>
              <w:right w:val="single" w:sz="8" w:space="0" w:color="800000"/>
            </w:tcBorders>
            <w:shd w:val="clear" w:color="000000" w:fill="FFFFCC"/>
            <w:noWrap/>
            <w:vAlign w:val="bottom"/>
            <w:hideMark/>
          </w:tcPr>
          <w:p w14:paraId="2D0382A0" w14:textId="77777777" w:rsidR="00677E5F" w:rsidRPr="00054589" w:rsidRDefault="00677E5F" w:rsidP="005D4BE5">
            <w:pPr>
              <w:rPr>
                <w:sz w:val="18"/>
                <w:szCs w:val="18"/>
              </w:rPr>
            </w:pPr>
            <w:r w:rsidRPr="00054589">
              <w:rPr>
                <w:sz w:val="18"/>
                <w:szCs w:val="18"/>
              </w:rPr>
              <w:t>Помощи и дарения</w:t>
            </w:r>
          </w:p>
        </w:tc>
        <w:tc>
          <w:tcPr>
            <w:tcW w:w="907" w:type="dxa"/>
            <w:tcBorders>
              <w:top w:val="nil"/>
              <w:left w:val="nil"/>
              <w:bottom w:val="nil"/>
              <w:right w:val="single" w:sz="8" w:space="0" w:color="800000"/>
            </w:tcBorders>
            <w:shd w:val="clear" w:color="000000" w:fill="FFFFCC"/>
            <w:vAlign w:val="bottom"/>
            <w:hideMark/>
          </w:tcPr>
          <w:p w14:paraId="7AB707E4" w14:textId="77777777" w:rsidR="00677E5F" w:rsidRPr="00054589" w:rsidRDefault="00677E5F" w:rsidP="005D4BE5">
            <w:pPr>
              <w:jc w:val="right"/>
              <w:rPr>
                <w:sz w:val="18"/>
                <w:szCs w:val="18"/>
              </w:rPr>
            </w:pPr>
            <w:r w:rsidRPr="00054589">
              <w:rPr>
                <w:sz w:val="18"/>
                <w:szCs w:val="18"/>
              </w:rPr>
              <w:t>1 203,4</w:t>
            </w:r>
          </w:p>
        </w:tc>
        <w:tc>
          <w:tcPr>
            <w:tcW w:w="1059" w:type="dxa"/>
            <w:tcBorders>
              <w:top w:val="nil"/>
              <w:left w:val="single" w:sz="8" w:space="0" w:color="800000"/>
              <w:bottom w:val="nil"/>
              <w:right w:val="single" w:sz="8" w:space="0" w:color="800000"/>
            </w:tcBorders>
            <w:shd w:val="clear" w:color="000000" w:fill="FFFFCC"/>
            <w:vAlign w:val="bottom"/>
            <w:hideMark/>
          </w:tcPr>
          <w:p w14:paraId="5AB6B8E0" w14:textId="77777777" w:rsidR="00677E5F" w:rsidRPr="00E56679" w:rsidRDefault="00677E5F" w:rsidP="005D4BE5">
            <w:pPr>
              <w:jc w:val="right"/>
              <w:rPr>
                <w:color w:val="0070C0"/>
                <w:sz w:val="18"/>
                <w:szCs w:val="18"/>
              </w:rPr>
            </w:pPr>
            <w:r>
              <w:rPr>
                <w:sz w:val="18"/>
                <w:szCs w:val="18"/>
              </w:rPr>
              <w:t>7 080,7</w:t>
            </w:r>
          </w:p>
        </w:tc>
        <w:tc>
          <w:tcPr>
            <w:tcW w:w="1011" w:type="dxa"/>
            <w:tcBorders>
              <w:top w:val="nil"/>
              <w:left w:val="nil"/>
              <w:bottom w:val="nil"/>
              <w:right w:val="single" w:sz="8" w:space="0" w:color="800000"/>
            </w:tcBorders>
            <w:shd w:val="clear" w:color="000000" w:fill="FFFFCC"/>
            <w:vAlign w:val="bottom"/>
            <w:hideMark/>
          </w:tcPr>
          <w:p w14:paraId="2EDF5DBD" w14:textId="77777777" w:rsidR="00677E5F" w:rsidRPr="00E56679" w:rsidRDefault="00677E5F" w:rsidP="005D4BE5">
            <w:pPr>
              <w:jc w:val="right"/>
              <w:rPr>
                <w:color w:val="0070C0"/>
                <w:sz w:val="18"/>
                <w:szCs w:val="18"/>
              </w:rPr>
            </w:pPr>
            <w:r>
              <w:rPr>
                <w:sz w:val="18"/>
                <w:szCs w:val="18"/>
              </w:rPr>
              <w:t>1 999,6</w:t>
            </w:r>
          </w:p>
        </w:tc>
        <w:tc>
          <w:tcPr>
            <w:tcW w:w="1146" w:type="dxa"/>
            <w:tcBorders>
              <w:top w:val="nil"/>
              <w:left w:val="nil"/>
              <w:bottom w:val="nil"/>
              <w:right w:val="single" w:sz="8" w:space="0" w:color="800000"/>
            </w:tcBorders>
            <w:shd w:val="clear" w:color="000000" w:fill="FFFFCC"/>
            <w:noWrap/>
            <w:vAlign w:val="bottom"/>
            <w:hideMark/>
          </w:tcPr>
          <w:p w14:paraId="4A1BF8DF" w14:textId="77777777" w:rsidR="00677E5F" w:rsidRPr="00E56679" w:rsidRDefault="00677E5F" w:rsidP="005D4BE5">
            <w:pPr>
              <w:jc w:val="right"/>
              <w:rPr>
                <w:color w:val="0070C0"/>
                <w:sz w:val="18"/>
                <w:szCs w:val="18"/>
              </w:rPr>
            </w:pPr>
            <w:r>
              <w:rPr>
                <w:sz w:val="18"/>
                <w:szCs w:val="18"/>
              </w:rPr>
              <w:t>125,3</w:t>
            </w:r>
          </w:p>
        </w:tc>
        <w:tc>
          <w:tcPr>
            <w:tcW w:w="1123" w:type="dxa"/>
            <w:tcBorders>
              <w:top w:val="nil"/>
              <w:left w:val="nil"/>
              <w:bottom w:val="nil"/>
              <w:right w:val="single" w:sz="8" w:space="0" w:color="800000"/>
            </w:tcBorders>
            <w:shd w:val="clear" w:color="000000" w:fill="FFFFCC"/>
            <w:noWrap/>
            <w:vAlign w:val="bottom"/>
            <w:hideMark/>
          </w:tcPr>
          <w:p w14:paraId="2E275B5B" w14:textId="77777777" w:rsidR="00677E5F" w:rsidRPr="00E56679" w:rsidRDefault="00677E5F" w:rsidP="005D4BE5">
            <w:pPr>
              <w:jc w:val="right"/>
              <w:rPr>
                <w:color w:val="0070C0"/>
                <w:sz w:val="18"/>
                <w:szCs w:val="18"/>
              </w:rPr>
            </w:pPr>
            <w:r>
              <w:rPr>
                <w:sz w:val="18"/>
                <w:szCs w:val="18"/>
              </w:rPr>
              <w:t>1 874,4</w:t>
            </w:r>
          </w:p>
        </w:tc>
        <w:tc>
          <w:tcPr>
            <w:tcW w:w="959" w:type="dxa"/>
            <w:tcBorders>
              <w:top w:val="nil"/>
              <w:left w:val="nil"/>
              <w:bottom w:val="nil"/>
              <w:right w:val="single" w:sz="8" w:space="0" w:color="800000"/>
            </w:tcBorders>
            <w:shd w:val="clear" w:color="000000" w:fill="FFFFCC"/>
            <w:noWrap/>
            <w:vAlign w:val="bottom"/>
            <w:hideMark/>
          </w:tcPr>
          <w:p w14:paraId="36E86B74" w14:textId="77777777" w:rsidR="00677E5F" w:rsidRPr="00E56679" w:rsidRDefault="00677E5F" w:rsidP="005D4BE5">
            <w:pPr>
              <w:jc w:val="right"/>
              <w:rPr>
                <w:color w:val="0070C0"/>
                <w:sz w:val="18"/>
                <w:szCs w:val="18"/>
              </w:rPr>
            </w:pPr>
            <w:r>
              <w:rPr>
                <w:sz w:val="18"/>
                <w:szCs w:val="18"/>
              </w:rPr>
              <w:t>166,2%</w:t>
            </w:r>
          </w:p>
        </w:tc>
        <w:tc>
          <w:tcPr>
            <w:tcW w:w="988" w:type="dxa"/>
            <w:tcBorders>
              <w:top w:val="nil"/>
              <w:left w:val="nil"/>
              <w:bottom w:val="nil"/>
              <w:right w:val="double" w:sz="6" w:space="0" w:color="800000"/>
            </w:tcBorders>
            <w:shd w:val="clear" w:color="000000" w:fill="FFFFCC"/>
            <w:vAlign w:val="bottom"/>
            <w:hideMark/>
          </w:tcPr>
          <w:p w14:paraId="0D6F203A" w14:textId="77777777" w:rsidR="00677E5F" w:rsidRPr="00E56679" w:rsidRDefault="00677E5F" w:rsidP="005D4BE5">
            <w:pPr>
              <w:jc w:val="right"/>
              <w:rPr>
                <w:color w:val="0070C0"/>
                <w:sz w:val="18"/>
                <w:szCs w:val="18"/>
              </w:rPr>
            </w:pPr>
            <w:r>
              <w:rPr>
                <w:sz w:val="18"/>
                <w:szCs w:val="18"/>
              </w:rPr>
              <w:t>28,2%</w:t>
            </w:r>
          </w:p>
        </w:tc>
      </w:tr>
      <w:tr w:rsidR="00677E5F" w:rsidRPr="00E56679" w14:paraId="2AA235F9" w14:textId="77777777" w:rsidTr="005D4BE5">
        <w:trPr>
          <w:trHeight w:val="459"/>
        </w:trPr>
        <w:tc>
          <w:tcPr>
            <w:tcW w:w="2401" w:type="dxa"/>
            <w:tcBorders>
              <w:top w:val="single" w:sz="8" w:space="0" w:color="800000"/>
              <w:left w:val="double" w:sz="6" w:space="0" w:color="800000"/>
              <w:bottom w:val="nil"/>
              <w:right w:val="single" w:sz="8" w:space="0" w:color="800000"/>
            </w:tcBorders>
            <w:shd w:val="clear" w:color="000000" w:fill="FFFFCC"/>
            <w:vAlign w:val="bottom"/>
            <w:hideMark/>
          </w:tcPr>
          <w:p w14:paraId="1881FF4C" w14:textId="77777777" w:rsidR="00677E5F" w:rsidRPr="00054589" w:rsidRDefault="00677E5F" w:rsidP="005D4BE5">
            <w:pPr>
              <w:rPr>
                <w:b/>
                <w:bCs/>
                <w:sz w:val="18"/>
                <w:szCs w:val="18"/>
              </w:rPr>
            </w:pPr>
            <w:r w:rsidRPr="00054589">
              <w:rPr>
                <w:b/>
                <w:bCs/>
                <w:sz w:val="18"/>
                <w:szCs w:val="18"/>
              </w:rPr>
              <w:t>РАЗХОДИ И ВНОСКА ЗА ОБЩИЯ БЮДЖЕТ НА ЕС</w:t>
            </w:r>
          </w:p>
        </w:tc>
        <w:tc>
          <w:tcPr>
            <w:tcW w:w="907" w:type="dxa"/>
            <w:tcBorders>
              <w:top w:val="single" w:sz="8" w:space="0" w:color="800000"/>
              <w:left w:val="nil"/>
              <w:bottom w:val="nil"/>
              <w:right w:val="single" w:sz="8" w:space="0" w:color="800000"/>
            </w:tcBorders>
            <w:shd w:val="clear" w:color="000000" w:fill="FFFFCC"/>
            <w:vAlign w:val="bottom"/>
            <w:hideMark/>
          </w:tcPr>
          <w:p w14:paraId="4E2BC8C5" w14:textId="77777777" w:rsidR="00677E5F" w:rsidRPr="00054589" w:rsidRDefault="00677E5F" w:rsidP="005D4BE5">
            <w:pPr>
              <w:jc w:val="right"/>
              <w:rPr>
                <w:b/>
                <w:bCs/>
                <w:sz w:val="18"/>
                <w:szCs w:val="18"/>
              </w:rPr>
            </w:pPr>
            <w:r w:rsidRPr="00054589">
              <w:rPr>
                <w:b/>
                <w:bCs/>
                <w:sz w:val="18"/>
                <w:szCs w:val="18"/>
              </w:rPr>
              <w:t>31 230,6</w:t>
            </w:r>
          </w:p>
        </w:tc>
        <w:tc>
          <w:tcPr>
            <w:tcW w:w="1059" w:type="dxa"/>
            <w:tcBorders>
              <w:top w:val="single" w:sz="8" w:space="0" w:color="800000"/>
              <w:left w:val="single" w:sz="8" w:space="0" w:color="800000"/>
              <w:bottom w:val="nil"/>
              <w:right w:val="single" w:sz="8" w:space="0" w:color="800000"/>
            </w:tcBorders>
            <w:shd w:val="clear" w:color="000000" w:fill="FFFFCC"/>
            <w:vAlign w:val="bottom"/>
            <w:hideMark/>
          </w:tcPr>
          <w:p w14:paraId="00C21652" w14:textId="77777777" w:rsidR="00677E5F" w:rsidRPr="00E56679" w:rsidRDefault="00677E5F" w:rsidP="005D4BE5">
            <w:pPr>
              <w:jc w:val="right"/>
              <w:rPr>
                <w:b/>
                <w:bCs/>
                <w:color w:val="0070C0"/>
                <w:sz w:val="18"/>
                <w:szCs w:val="18"/>
              </w:rPr>
            </w:pPr>
            <w:r>
              <w:rPr>
                <w:b/>
                <w:bCs/>
                <w:sz w:val="18"/>
                <w:szCs w:val="18"/>
              </w:rPr>
              <w:t>81 509,0</w:t>
            </w:r>
          </w:p>
        </w:tc>
        <w:tc>
          <w:tcPr>
            <w:tcW w:w="1011" w:type="dxa"/>
            <w:tcBorders>
              <w:top w:val="single" w:sz="8" w:space="0" w:color="800000"/>
              <w:left w:val="nil"/>
              <w:bottom w:val="nil"/>
              <w:right w:val="single" w:sz="8" w:space="0" w:color="800000"/>
            </w:tcBorders>
            <w:shd w:val="clear" w:color="000000" w:fill="FFFFCC"/>
            <w:vAlign w:val="bottom"/>
            <w:hideMark/>
          </w:tcPr>
          <w:p w14:paraId="30DEF8B8" w14:textId="77777777" w:rsidR="00677E5F" w:rsidRPr="00E56679" w:rsidRDefault="00677E5F" w:rsidP="005D4BE5">
            <w:pPr>
              <w:jc w:val="right"/>
              <w:rPr>
                <w:b/>
                <w:bCs/>
                <w:color w:val="0070C0"/>
                <w:sz w:val="18"/>
                <w:szCs w:val="18"/>
              </w:rPr>
            </w:pPr>
            <w:r>
              <w:rPr>
                <w:b/>
                <w:bCs/>
                <w:sz w:val="18"/>
                <w:szCs w:val="18"/>
              </w:rPr>
              <w:t>35 091,3</w:t>
            </w:r>
          </w:p>
        </w:tc>
        <w:tc>
          <w:tcPr>
            <w:tcW w:w="1146" w:type="dxa"/>
            <w:tcBorders>
              <w:top w:val="single" w:sz="8" w:space="0" w:color="800000"/>
              <w:left w:val="nil"/>
              <w:bottom w:val="nil"/>
              <w:right w:val="single" w:sz="8" w:space="0" w:color="800000"/>
            </w:tcBorders>
            <w:shd w:val="clear" w:color="000000" w:fill="FFFFCC"/>
            <w:vAlign w:val="bottom"/>
            <w:hideMark/>
          </w:tcPr>
          <w:p w14:paraId="74F875C5" w14:textId="77777777" w:rsidR="00677E5F" w:rsidRPr="00E56679" w:rsidRDefault="00677E5F" w:rsidP="005D4BE5">
            <w:pPr>
              <w:jc w:val="right"/>
              <w:rPr>
                <w:b/>
                <w:bCs/>
                <w:color w:val="0070C0"/>
                <w:sz w:val="18"/>
                <w:szCs w:val="18"/>
              </w:rPr>
            </w:pPr>
            <w:r>
              <w:rPr>
                <w:b/>
                <w:bCs/>
                <w:sz w:val="18"/>
                <w:szCs w:val="18"/>
              </w:rPr>
              <w:t>33 569,4</w:t>
            </w:r>
          </w:p>
        </w:tc>
        <w:tc>
          <w:tcPr>
            <w:tcW w:w="1123" w:type="dxa"/>
            <w:tcBorders>
              <w:top w:val="single" w:sz="8" w:space="0" w:color="800000"/>
              <w:left w:val="nil"/>
              <w:bottom w:val="nil"/>
              <w:right w:val="single" w:sz="8" w:space="0" w:color="800000"/>
            </w:tcBorders>
            <w:shd w:val="clear" w:color="000000" w:fill="FFFFCC"/>
            <w:vAlign w:val="bottom"/>
            <w:hideMark/>
          </w:tcPr>
          <w:p w14:paraId="7ACB047B" w14:textId="77777777" w:rsidR="00677E5F" w:rsidRPr="00E56679" w:rsidRDefault="00677E5F" w:rsidP="005D4BE5">
            <w:pPr>
              <w:jc w:val="right"/>
              <w:rPr>
                <w:b/>
                <w:bCs/>
                <w:color w:val="0070C0"/>
                <w:sz w:val="18"/>
                <w:szCs w:val="18"/>
              </w:rPr>
            </w:pPr>
            <w:r>
              <w:rPr>
                <w:b/>
                <w:bCs/>
                <w:sz w:val="18"/>
                <w:szCs w:val="18"/>
              </w:rPr>
              <w:t>1 522,0</w:t>
            </w:r>
          </w:p>
        </w:tc>
        <w:tc>
          <w:tcPr>
            <w:tcW w:w="959" w:type="dxa"/>
            <w:tcBorders>
              <w:top w:val="single" w:sz="8" w:space="0" w:color="800000"/>
              <w:left w:val="nil"/>
              <w:bottom w:val="nil"/>
              <w:right w:val="single" w:sz="8" w:space="0" w:color="800000"/>
            </w:tcBorders>
            <w:shd w:val="clear" w:color="000000" w:fill="FFFFCC"/>
            <w:noWrap/>
            <w:vAlign w:val="bottom"/>
            <w:hideMark/>
          </w:tcPr>
          <w:p w14:paraId="5977D94B" w14:textId="77777777" w:rsidR="00677E5F" w:rsidRPr="00E56679" w:rsidRDefault="00677E5F" w:rsidP="005D4BE5">
            <w:pPr>
              <w:jc w:val="right"/>
              <w:rPr>
                <w:b/>
                <w:bCs/>
                <w:color w:val="0070C0"/>
                <w:sz w:val="18"/>
                <w:szCs w:val="18"/>
              </w:rPr>
            </w:pPr>
            <w:r>
              <w:rPr>
                <w:b/>
                <w:bCs/>
                <w:sz w:val="18"/>
                <w:szCs w:val="18"/>
              </w:rPr>
              <w:t>112,4%</w:t>
            </w:r>
          </w:p>
        </w:tc>
        <w:tc>
          <w:tcPr>
            <w:tcW w:w="988" w:type="dxa"/>
            <w:tcBorders>
              <w:top w:val="single" w:sz="8" w:space="0" w:color="800000"/>
              <w:left w:val="nil"/>
              <w:bottom w:val="nil"/>
              <w:right w:val="double" w:sz="6" w:space="0" w:color="800000"/>
            </w:tcBorders>
            <w:shd w:val="clear" w:color="000000" w:fill="FFFFCC"/>
            <w:vAlign w:val="bottom"/>
            <w:hideMark/>
          </w:tcPr>
          <w:p w14:paraId="65D800C3" w14:textId="77777777" w:rsidR="00677E5F" w:rsidRPr="00E56679" w:rsidRDefault="00677E5F" w:rsidP="005D4BE5">
            <w:pPr>
              <w:jc w:val="right"/>
              <w:rPr>
                <w:b/>
                <w:bCs/>
                <w:color w:val="0070C0"/>
                <w:sz w:val="18"/>
                <w:szCs w:val="18"/>
              </w:rPr>
            </w:pPr>
            <w:r>
              <w:rPr>
                <w:b/>
                <w:bCs/>
                <w:sz w:val="18"/>
                <w:szCs w:val="18"/>
              </w:rPr>
              <w:t>43,1%</w:t>
            </w:r>
          </w:p>
        </w:tc>
      </w:tr>
      <w:tr w:rsidR="00677E5F" w:rsidRPr="00E56679" w14:paraId="41B7F78E" w14:textId="77777777" w:rsidTr="005D4BE5">
        <w:trPr>
          <w:trHeight w:val="259"/>
        </w:trPr>
        <w:tc>
          <w:tcPr>
            <w:tcW w:w="2401" w:type="dxa"/>
            <w:tcBorders>
              <w:top w:val="nil"/>
              <w:left w:val="double" w:sz="6" w:space="0" w:color="800000"/>
              <w:bottom w:val="nil"/>
              <w:right w:val="single" w:sz="8" w:space="0" w:color="800000"/>
            </w:tcBorders>
            <w:shd w:val="clear" w:color="000000" w:fill="FFFFCC"/>
            <w:noWrap/>
            <w:vAlign w:val="bottom"/>
            <w:hideMark/>
          </w:tcPr>
          <w:p w14:paraId="2BFD51F9" w14:textId="77777777" w:rsidR="00677E5F" w:rsidRPr="00054589" w:rsidRDefault="00677E5F" w:rsidP="005D4BE5">
            <w:pPr>
              <w:rPr>
                <w:sz w:val="18"/>
                <w:szCs w:val="18"/>
              </w:rPr>
            </w:pPr>
            <w:r w:rsidRPr="00054589">
              <w:rPr>
                <w:sz w:val="18"/>
                <w:szCs w:val="18"/>
              </w:rPr>
              <w:t xml:space="preserve">  Нелихвени</w:t>
            </w:r>
          </w:p>
        </w:tc>
        <w:tc>
          <w:tcPr>
            <w:tcW w:w="907" w:type="dxa"/>
            <w:tcBorders>
              <w:top w:val="nil"/>
              <w:left w:val="nil"/>
              <w:bottom w:val="nil"/>
              <w:right w:val="single" w:sz="8" w:space="0" w:color="800000"/>
            </w:tcBorders>
            <w:shd w:val="clear" w:color="000000" w:fill="FFFFCC"/>
            <w:noWrap/>
            <w:vAlign w:val="bottom"/>
            <w:hideMark/>
          </w:tcPr>
          <w:p w14:paraId="303E7FFF" w14:textId="77777777" w:rsidR="00677E5F" w:rsidRPr="00054589" w:rsidRDefault="00677E5F" w:rsidP="005D4BE5">
            <w:pPr>
              <w:jc w:val="right"/>
              <w:rPr>
                <w:sz w:val="18"/>
                <w:szCs w:val="18"/>
              </w:rPr>
            </w:pPr>
            <w:r w:rsidRPr="00054589">
              <w:rPr>
                <w:sz w:val="18"/>
                <w:szCs w:val="18"/>
              </w:rPr>
              <w:t>30 033,3</w:t>
            </w:r>
          </w:p>
        </w:tc>
        <w:tc>
          <w:tcPr>
            <w:tcW w:w="1059" w:type="dxa"/>
            <w:tcBorders>
              <w:top w:val="nil"/>
              <w:left w:val="single" w:sz="8" w:space="0" w:color="800000"/>
              <w:bottom w:val="nil"/>
              <w:right w:val="single" w:sz="8" w:space="0" w:color="800000"/>
            </w:tcBorders>
            <w:shd w:val="clear" w:color="000000" w:fill="FFFFCC"/>
            <w:noWrap/>
            <w:vAlign w:val="bottom"/>
            <w:hideMark/>
          </w:tcPr>
          <w:p w14:paraId="68C11880" w14:textId="77777777" w:rsidR="00677E5F" w:rsidRPr="00E56679" w:rsidRDefault="00677E5F" w:rsidP="005D4BE5">
            <w:pPr>
              <w:jc w:val="right"/>
              <w:rPr>
                <w:color w:val="0070C0"/>
                <w:sz w:val="18"/>
                <w:szCs w:val="18"/>
              </w:rPr>
            </w:pPr>
            <w:r>
              <w:rPr>
                <w:sz w:val="18"/>
                <w:szCs w:val="18"/>
              </w:rPr>
              <w:t>77 857,2</w:t>
            </w:r>
          </w:p>
        </w:tc>
        <w:tc>
          <w:tcPr>
            <w:tcW w:w="1011" w:type="dxa"/>
            <w:tcBorders>
              <w:top w:val="nil"/>
              <w:left w:val="nil"/>
              <w:bottom w:val="nil"/>
              <w:right w:val="single" w:sz="8" w:space="0" w:color="800000"/>
            </w:tcBorders>
            <w:shd w:val="clear" w:color="000000" w:fill="FFFFCC"/>
            <w:noWrap/>
            <w:vAlign w:val="bottom"/>
            <w:hideMark/>
          </w:tcPr>
          <w:p w14:paraId="52D5CF8C" w14:textId="77777777" w:rsidR="00677E5F" w:rsidRPr="00E56679" w:rsidRDefault="00677E5F" w:rsidP="005D4BE5">
            <w:pPr>
              <w:jc w:val="right"/>
              <w:rPr>
                <w:color w:val="0070C0"/>
                <w:sz w:val="18"/>
                <w:szCs w:val="18"/>
              </w:rPr>
            </w:pPr>
            <w:r>
              <w:rPr>
                <w:sz w:val="18"/>
                <w:szCs w:val="18"/>
              </w:rPr>
              <w:t>33 880,6</w:t>
            </w:r>
          </w:p>
        </w:tc>
        <w:tc>
          <w:tcPr>
            <w:tcW w:w="1146" w:type="dxa"/>
            <w:tcBorders>
              <w:top w:val="nil"/>
              <w:left w:val="nil"/>
              <w:bottom w:val="nil"/>
              <w:right w:val="single" w:sz="8" w:space="0" w:color="800000"/>
            </w:tcBorders>
            <w:shd w:val="clear" w:color="000000" w:fill="FFFFCC"/>
            <w:noWrap/>
            <w:vAlign w:val="bottom"/>
            <w:hideMark/>
          </w:tcPr>
          <w:p w14:paraId="6F882106" w14:textId="77777777" w:rsidR="00677E5F" w:rsidRPr="00E56679" w:rsidRDefault="00677E5F" w:rsidP="005D4BE5">
            <w:pPr>
              <w:jc w:val="right"/>
              <w:rPr>
                <w:color w:val="0070C0"/>
                <w:sz w:val="18"/>
                <w:szCs w:val="18"/>
              </w:rPr>
            </w:pPr>
            <w:r>
              <w:rPr>
                <w:sz w:val="18"/>
                <w:szCs w:val="18"/>
              </w:rPr>
              <w:t>32 358,6</w:t>
            </w:r>
          </w:p>
        </w:tc>
        <w:tc>
          <w:tcPr>
            <w:tcW w:w="1123" w:type="dxa"/>
            <w:tcBorders>
              <w:top w:val="nil"/>
              <w:left w:val="nil"/>
              <w:bottom w:val="nil"/>
              <w:right w:val="single" w:sz="8" w:space="0" w:color="800000"/>
            </w:tcBorders>
            <w:shd w:val="clear" w:color="000000" w:fill="FFFFCC"/>
            <w:noWrap/>
            <w:vAlign w:val="bottom"/>
            <w:hideMark/>
          </w:tcPr>
          <w:p w14:paraId="5467C3FC" w14:textId="77777777" w:rsidR="00677E5F" w:rsidRPr="00E56679" w:rsidRDefault="00677E5F" w:rsidP="005D4BE5">
            <w:pPr>
              <w:jc w:val="right"/>
              <w:rPr>
                <w:color w:val="0070C0"/>
                <w:sz w:val="18"/>
                <w:szCs w:val="18"/>
              </w:rPr>
            </w:pPr>
            <w:r>
              <w:rPr>
                <w:sz w:val="18"/>
                <w:szCs w:val="18"/>
              </w:rPr>
              <w:t>1 521,9</w:t>
            </w:r>
          </w:p>
        </w:tc>
        <w:tc>
          <w:tcPr>
            <w:tcW w:w="959" w:type="dxa"/>
            <w:tcBorders>
              <w:top w:val="nil"/>
              <w:left w:val="nil"/>
              <w:bottom w:val="nil"/>
              <w:right w:val="single" w:sz="8" w:space="0" w:color="800000"/>
            </w:tcBorders>
            <w:shd w:val="clear" w:color="000000" w:fill="FFFFCC"/>
            <w:noWrap/>
            <w:vAlign w:val="bottom"/>
            <w:hideMark/>
          </w:tcPr>
          <w:p w14:paraId="2BD68E76" w14:textId="77777777" w:rsidR="00677E5F" w:rsidRPr="00E56679" w:rsidRDefault="00677E5F" w:rsidP="005D4BE5">
            <w:pPr>
              <w:jc w:val="right"/>
              <w:rPr>
                <w:color w:val="0070C0"/>
                <w:sz w:val="18"/>
                <w:szCs w:val="18"/>
              </w:rPr>
            </w:pPr>
            <w:r>
              <w:rPr>
                <w:sz w:val="18"/>
                <w:szCs w:val="18"/>
              </w:rPr>
              <w:t>112,8%</w:t>
            </w:r>
          </w:p>
        </w:tc>
        <w:tc>
          <w:tcPr>
            <w:tcW w:w="988" w:type="dxa"/>
            <w:tcBorders>
              <w:top w:val="nil"/>
              <w:left w:val="nil"/>
              <w:bottom w:val="nil"/>
              <w:right w:val="double" w:sz="6" w:space="0" w:color="800000"/>
            </w:tcBorders>
            <w:shd w:val="clear" w:color="000000" w:fill="FFFFCC"/>
            <w:vAlign w:val="bottom"/>
            <w:hideMark/>
          </w:tcPr>
          <w:p w14:paraId="61241EA1" w14:textId="77777777" w:rsidR="00677E5F" w:rsidRPr="00E56679" w:rsidRDefault="00677E5F" w:rsidP="005D4BE5">
            <w:pPr>
              <w:jc w:val="right"/>
              <w:rPr>
                <w:color w:val="0070C0"/>
                <w:sz w:val="18"/>
                <w:szCs w:val="18"/>
              </w:rPr>
            </w:pPr>
            <w:r>
              <w:rPr>
                <w:sz w:val="18"/>
                <w:szCs w:val="18"/>
              </w:rPr>
              <w:t>43,5%</w:t>
            </w:r>
          </w:p>
        </w:tc>
      </w:tr>
      <w:tr w:rsidR="00677E5F" w:rsidRPr="00E56679" w14:paraId="74DE5924" w14:textId="77777777" w:rsidTr="005D4BE5">
        <w:trPr>
          <w:trHeight w:val="259"/>
        </w:trPr>
        <w:tc>
          <w:tcPr>
            <w:tcW w:w="2401" w:type="dxa"/>
            <w:tcBorders>
              <w:top w:val="nil"/>
              <w:left w:val="double" w:sz="6" w:space="0" w:color="800000"/>
              <w:bottom w:val="nil"/>
              <w:right w:val="single" w:sz="8" w:space="0" w:color="800000"/>
            </w:tcBorders>
            <w:shd w:val="clear" w:color="000000" w:fill="FFFFCC"/>
            <w:noWrap/>
            <w:vAlign w:val="bottom"/>
            <w:hideMark/>
          </w:tcPr>
          <w:p w14:paraId="49A0E019" w14:textId="77777777" w:rsidR="00677E5F" w:rsidRPr="00054589" w:rsidRDefault="00677E5F" w:rsidP="005D4BE5">
            <w:pPr>
              <w:rPr>
                <w:sz w:val="18"/>
                <w:szCs w:val="18"/>
              </w:rPr>
            </w:pPr>
            <w:r w:rsidRPr="00054589">
              <w:rPr>
                <w:sz w:val="18"/>
                <w:szCs w:val="18"/>
              </w:rPr>
              <w:t xml:space="preserve">    Текущи</w:t>
            </w:r>
          </w:p>
        </w:tc>
        <w:tc>
          <w:tcPr>
            <w:tcW w:w="907" w:type="dxa"/>
            <w:tcBorders>
              <w:top w:val="nil"/>
              <w:left w:val="nil"/>
              <w:bottom w:val="nil"/>
              <w:right w:val="single" w:sz="8" w:space="0" w:color="800000"/>
            </w:tcBorders>
            <w:shd w:val="clear" w:color="000000" w:fill="FFFFCC"/>
            <w:noWrap/>
            <w:vAlign w:val="bottom"/>
            <w:hideMark/>
          </w:tcPr>
          <w:p w14:paraId="3BC1ECEF" w14:textId="77777777" w:rsidR="00677E5F" w:rsidRPr="00054589" w:rsidRDefault="00677E5F" w:rsidP="005D4BE5">
            <w:pPr>
              <w:jc w:val="right"/>
              <w:rPr>
                <w:sz w:val="18"/>
                <w:szCs w:val="18"/>
              </w:rPr>
            </w:pPr>
            <w:r w:rsidRPr="00054589">
              <w:rPr>
                <w:sz w:val="18"/>
                <w:szCs w:val="18"/>
              </w:rPr>
              <w:t>27 818,4</w:t>
            </w:r>
          </w:p>
        </w:tc>
        <w:tc>
          <w:tcPr>
            <w:tcW w:w="1059" w:type="dxa"/>
            <w:tcBorders>
              <w:top w:val="nil"/>
              <w:left w:val="single" w:sz="8" w:space="0" w:color="800000"/>
              <w:bottom w:val="nil"/>
              <w:right w:val="single" w:sz="8" w:space="0" w:color="800000"/>
            </w:tcBorders>
            <w:shd w:val="clear" w:color="000000" w:fill="FFFFCC"/>
            <w:vAlign w:val="bottom"/>
            <w:hideMark/>
          </w:tcPr>
          <w:p w14:paraId="19AB5C1A" w14:textId="77777777" w:rsidR="00677E5F" w:rsidRPr="00E56679" w:rsidRDefault="00677E5F" w:rsidP="005D4BE5">
            <w:pPr>
              <w:jc w:val="right"/>
              <w:rPr>
                <w:color w:val="0070C0"/>
                <w:sz w:val="18"/>
                <w:szCs w:val="18"/>
              </w:rPr>
            </w:pPr>
            <w:r>
              <w:rPr>
                <w:sz w:val="18"/>
                <w:szCs w:val="18"/>
              </w:rPr>
              <w:t>67 804,4</w:t>
            </w:r>
          </w:p>
        </w:tc>
        <w:tc>
          <w:tcPr>
            <w:tcW w:w="1011" w:type="dxa"/>
            <w:tcBorders>
              <w:top w:val="nil"/>
              <w:left w:val="nil"/>
              <w:bottom w:val="nil"/>
              <w:right w:val="single" w:sz="8" w:space="0" w:color="800000"/>
            </w:tcBorders>
            <w:shd w:val="clear" w:color="000000" w:fill="FFFFCC"/>
            <w:noWrap/>
            <w:vAlign w:val="bottom"/>
            <w:hideMark/>
          </w:tcPr>
          <w:p w14:paraId="5DF90BAA" w14:textId="77777777" w:rsidR="00677E5F" w:rsidRPr="00E56679" w:rsidRDefault="00677E5F" w:rsidP="005D4BE5">
            <w:pPr>
              <w:jc w:val="right"/>
              <w:rPr>
                <w:color w:val="0070C0"/>
                <w:sz w:val="18"/>
                <w:szCs w:val="18"/>
              </w:rPr>
            </w:pPr>
            <w:r>
              <w:rPr>
                <w:sz w:val="18"/>
                <w:szCs w:val="18"/>
              </w:rPr>
              <w:t>31 981,4</w:t>
            </w:r>
          </w:p>
        </w:tc>
        <w:tc>
          <w:tcPr>
            <w:tcW w:w="1146" w:type="dxa"/>
            <w:tcBorders>
              <w:top w:val="nil"/>
              <w:left w:val="nil"/>
              <w:bottom w:val="nil"/>
              <w:right w:val="single" w:sz="8" w:space="0" w:color="800000"/>
            </w:tcBorders>
            <w:shd w:val="clear" w:color="000000" w:fill="FFFFCC"/>
            <w:noWrap/>
            <w:vAlign w:val="bottom"/>
            <w:hideMark/>
          </w:tcPr>
          <w:p w14:paraId="364157C5" w14:textId="77777777" w:rsidR="00677E5F" w:rsidRPr="00E56679" w:rsidRDefault="00677E5F" w:rsidP="005D4BE5">
            <w:pPr>
              <w:jc w:val="right"/>
              <w:rPr>
                <w:color w:val="0070C0"/>
                <w:sz w:val="18"/>
                <w:szCs w:val="18"/>
              </w:rPr>
            </w:pPr>
            <w:r>
              <w:rPr>
                <w:sz w:val="18"/>
                <w:szCs w:val="18"/>
              </w:rPr>
              <w:t>31 376,7</w:t>
            </w:r>
          </w:p>
        </w:tc>
        <w:tc>
          <w:tcPr>
            <w:tcW w:w="1123" w:type="dxa"/>
            <w:tcBorders>
              <w:top w:val="nil"/>
              <w:left w:val="nil"/>
              <w:bottom w:val="nil"/>
              <w:right w:val="single" w:sz="8" w:space="0" w:color="800000"/>
            </w:tcBorders>
            <w:shd w:val="clear" w:color="000000" w:fill="FFFFCC"/>
            <w:noWrap/>
            <w:vAlign w:val="bottom"/>
            <w:hideMark/>
          </w:tcPr>
          <w:p w14:paraId="03D0E056" w14:textId="77777777" w:rsidR="00677E5F" w:rsidRPr="00E56679" w:rsidRDefault="00677E5F" w:rsidP="005D4BE5">
            <w:pPr>
              <w:jc w:val="right"/>
              <w:rPr>
                <w:color w:val="0070C0"/>
                <w:sz w:val="18"/>
                <w:szCs w:val="18"/>
              </w:rPr>
            </w:pPr>
            <w:r>
              <w:rPr>
                <w:sz w:val="18"/>
                <w:szCs w:val="18"/>
              </w:rPr>
              <w:t>604,7</w:t>
            </w:r>
          </w:p>
        </w:tc>
        <w:tc>
          <w:tcPr>
            <w:tcW w:w="959" w:type="dxa"/>
            <w:tcBorders>
              <w:top w:val="nil"/>
              <w:left w:val="nil"/>
              <w:bottom w:val="nil"/>
              <w:right w:val="single" w:sz="8" w:space="0" w:color="800000"/>
            </w:tcBorders>
            <w:shd w:val="clear" w:color="000000" w:fill="FFFFCC"/>
            <w:noWrap/>
            <w:vAlign w:val="bottom"/>
            <w:hideMark/>
          </w:tcPr>
          <w:p w14:paraId="7F3AE674" w14:textId="77777777" w:rsidR="00677E5F" w:rsidRPr="00E56679" w:rsidRDefault="00677E5F" w:rsidP="005D4BE5">
            <w:pPr>
              <w:jc w:val="right"/>
              <w:rPr>
                <w:color w:val="0070C0"/>
                <w:sz w:val="18"/>
                <w:szCs w:val="18"/>
              </w:rPr>
            </w:pPr>
            <w:r>
              <w:rPr>
                <w:sz w:val="18"/>
                <w:szCs w:val="18"/>
              </w:rPr>
              <w:t>115,0%</w:t>
            </w:r>
          </w:p>
        </w:tc>
        <w:tc>
          <w:tcPr>
            <w:tcW w:w="988" w:type="dxa"/>
            <w:tcBorders>
              <w:top w:val="nil"/>
              <w:left w:val="nil"/>
              <w:bottom w:val="nil"/>
              <w:right w:val="double" w:sz="6" w:space="0" w:color="800000"/>
            </w:tcBorders>
            <w:shd w:val="clear" w:color="000000" w:fill="FFFFCC"/>
            <w:vAlign w:val="bottom"/>
            <w:hideMark/>
          </w:tcPr>
          <w:p w14:paraId="11A7FE95" w14:textId="77777777" w:rsidR="00677E5F" w:rsidRPr="00E56679" w:rsidRDefault="00677E5F" w:rsidP="005D4BE5">
            <w:pPr>
              <w:jc w:val="right"/>
              <w:rPr>
                <w:color w:val="0070C0"/>
                <w:sz w:val="18"/>
                <w:szCs w:val="18"/>
              </w:rPr>
            </w:pPr>
            <w:r>
              <w:rPr>
                <w:sz w:val="18"/>
                <w:szCs w:val="18"/>
              </w:rPr>
              <w:t>47,2%</w:t>
            </w:r>
          </w:p>
        </w:tc>
      </w:tr>
      <w:tr w:rsidR="00677E5F" w:rsidRPr="00E56679" w14:paraId="6A82FE41" w14:textId="77777777" w:rsidTr="005D4BE5">
        <w:trPr>
          <w:trHeight w:val="259"/>
        </w:trPr>
        <w:tc>
          <w:tcPr>
            <w:tcW w:w="2401" w:type="dxa"/>
            <w:tcBorders>
              <w:top w:val="nil"/>
              <w:left w:val="double" w:sz="6" w:space="0" w:color="800000"/>
              <w:bottom w:val="nil"/>
              <w:right w:val="single" w:sz="8" w:space="0" w:color="800000"/>
            </w:tcBorders>
            <w:shd w:val="clear" w:color="000000" w:fill="FFFFCC"/>
            <w:noWrap/>
            <w:vAlign w:val="bottom"/>
            <w:hideMark/>
          </w:tcPr>
          <w:p w14:paraId="110EB111" w14:textId="77777777" w:rsidR="00677E5F" w:rsidRPr="00054589" w:rsidRDefault="00677E5F" w:rsidP="005D4BE5">
            <w:pPr>
              <w:rPr>
                <w:sz w:val="18"/>
                <w:szCs w:val="18"/>
              </w:rPr>
            </w:pPr>
            <w:r w:rsidRPr="00054589">
              <w:rPr>
                <w:sz w:val="18"/>
                <w:szCs w:val="18"/>
              </w:rPr>
              <w:t xml:space="preserve">    Капиталови</w:t>
            </w:r>
          </w:p>
        </w:tc>
        <w:tc>
          <w:tcPr>
            <w:tcW w:w="907" w:type="dxa"/>
            <w:tcBorders>
              <w:top w:val="nil"/>
              <w:left w:val="nil"/>
              <w:bottom w:val="nil"/>
              <w:right w:val="single" w:sz="8" w:space="0" w:color="800000"/>
            </w:tcBorders>
            <w:shd w:val="clear" w:color="000000" w:fill="FFFFCC"/>
            <w:noWrap/>
            <w:vAlign w:val="bottom"/>
            <w:hideMark/>
          </w:tcPr>
          <w:p w14:paraId="7BAB9DBB" w14:textId="77777777" w:rsidR="00677E5F" w:rsidRPr="00054589" w:rsidRDefault="00677E5F" w:rsidP="005D4BE5">
            <w:pPr>
              <w:jc w:val="right"/>
              <w:rPr>
                <w:sz w:val="18"/>
                <w:szCs w:val="18"/>
              </w:rPr>
            </w:pPr>
            <w:r w:rsidRPr="00054589">
              <w:rPr>
                <w:sz w:val="18"/>
                <w:szCs w:val="18"/>
              </w:rPr>
              <w:t>2 180,8</w:t>
            </w:r>
          </w:p>
        </w:tc>
        <w:tc>
          <w:tcPr>
            <w:tcW w:w="1059" w:type="dxa"/>
            <w:tcBorders>
              <w:top w:val="nil"/>
              <w:left w:val="single" w:sz="8" w:space="0" w:color="800000"/>
              <w:bottom w:val="nil"/>
              <w:right w:val="single" w:sz="8" w:space="0" w:color="800000"/>
            </w:tcBorders>
            <w:shd w:val="clear" w:color="000000" w:fill="FFFFCC"/>
            <w:vAlign w:val="bottom"/>
            <w:hideMark/>
          </w:tcPr>
          <w:p w14:paraId="01CF16DC" w14:textId="77777777" w:rsidR="00677E5F" w:rsidRPr="00E56679" w:rsidRDefault="00677E5F" w:rsidP="005D4BE5">
            <w:pPr>
              <w:jc w:val="right"/>
              <w:rPr>
                <w:color w:val="0070C0"/>
                <w:sz w:val="18"/>
                <w:szCs w:val="18"/>
              </w:rPr>
            </w:pPr>
            <w:r>
              <w:rPr>
                <w:sz w:val="18"/>
                <w:szCs w:val="18"/>
              </w:rPr>
              <w:t>10 025,3</w:t>
            </w:r>
          </w:p>
        </w:tc>
        <w:tc>
          <w:tcPr>
            <w:tcW w:w="1011" w:type="dxa"/>
            <w:tcBorders>
              <w:top w:val="nil"/>
              <w:left w:val="nil"/>
              <w:bottom w:val="nil"/>
              <w:right w:val="single" w:sz="8" w:space="0" w:color="800000"/>
            </w:tcBorders>
            <w:shd w:val="clear" w:color="000000" w:fill="FFFFCC"/>
            <w:noWrap/>
            <w:vAlign w:val="bottom"/>
            <w:hideMark/>
          </w:tcPr>
          <w:p w14:paraId="00AC9638" w14:textId="77777777" w:rsidR="00677E5F" w:rsidRPr="00E56679" w:rsidRDefault="00677E5F" w:rsidP="005D4BE5">
            <w:pPr>
              <w:jc w:val="right"/>
              <w:rPr>
                <w:color w:val="0070C0"/>
                <w:sz w:val="18"/>
                <w:szCs w:val="18"/>
              </w:rPr>
            </w:pPr>
            <w:r>
              <w:rPr>
                <w:sz w:val="18"/>
                <w:szCs w:val="18"/>
              </w:rPr>
              <w:t>1 880,0</w:t>
            </w:r>
          </w:p>
        </w:tc>
        <w:tc>
          <w:tcPr>
            <w:tcW w:w="1146" w:type="dxa"/>
            <w:tcBorders>
              <w:top w:val="nil"/>
              <w:left w:val="nil"/>
              <w:bottom w:val="nil"/>
              <w:right w:val="single" w:sz="8" w:space="0" w:color="800000"/>
            </w:tcBorders>
            <w:shd w:val="clear" w:color="000000" w:fill="FFFFCC"/>
            <w:noWrap/>
            <w:vAlign w:val="bottom"/>
            <w:hideMark/>
          </w:tcPr>
          <w:p w14:paraId="780BA0D5" w14:textId="77777777" w:rsidR="00677E5F" w:rsidRPr="00E56679" w:rsidRDefault="00677E5F" w:rsidP="005D4BE5">
            <w:pPr>
              <w:jc w:val="right"/>
              <w:rPr>
                <w:color w:val="0070C0"/>
                <w:sz w:val="18"/>
                <w:szCs w:val="18"/>
              </w:rPr>
            </w:pPr>
            <w:r>
              <w:rPr>
                <w:sz w:val="18"/>
                <w:szCs w:val="18"/>
              </w:rPr>
              <w:t>972,4</w:t>
            </w:r>
          </w:p>
        </w:tc>
        <w:tc>
          <w:tcPr>
            <w:tcW w:w="1123" w:type="dxa"/>
            <w:tcBorders>
              <w:top w:val="nil"/>
              <w:left w:val="nil"/>
              <w:bottom w:val="nil"/>
              <w:right w:val="single" w:sz="8" w:space="0" w:color="800000"/>
            </w:tcBorders>
            <w:shd w:val="clear" w:color="000000" w:fill="FFFFCC"/>
            <w:noWrap/>
            <w:vAlign w:val="bottom"/>
            <w:hideMark/>
          </w:tcPr>
          <w:p w14:paraId="71260EF2" w14:textId="77777777" w:rsidR="00677E5F" w:rsidRPr="00E56679" w:rsidRDefault="00677E5F" w:rsidP="005D4BE5">
            <w:pPr>
              <w:jc w:val="right"/>
              <w:rPr>
                <w:color w:val="0070C0"/>
                <w:sz w:val="18"/>
                <w:szCs w:val="18"/>
              </w:rPr>
            </w:pPr>
            <w:r>
              <w:rPr>
                <w:sz w:val="18"/>
                <w:szCs w:val="18"/>
              </w:rPr>
              <w:t>907,6</w:t>
            </w:r>
          </w:p>
        </w:tc>
        <w:tc>
          <w:tcPr>
            <w:tcW w:w="959" w:type="dxa"/>
            <w:tcBorders>
              <w:top w:val="nil"/>
              <w:left w:val="nil"/>
              <w:bottom w:val="nil"/>
              <w:right w:val="single" w:sz="8" w:space="0" w:color="800000"/>
            </w:tcBorders>
            <w:shd w:val="clear" w:color="000000" w:fill="FFFFCC"/>
            <w:noWrap/>
            <w:vAlign w:val="bottom"/>
            <w:hideMark/>
          </w:tcPr>
          <w:p w14:paraId="5C184596" w14:textId="77777777" w:rsidR="00677E5F" w:rsidRPr="00E56679" w:rsidRDefault="00677E5F" w:rsidP="005D4BE5">
            <w:pPr>
              <w:jc w:val="right"/>
              <w:rPr>
                <w:color w:val="0070C0"/>
                <w:sz w:val="18"/>
                <w:szCs w:val="18"/>
              </w:rPr>
            </w:pPr>
            <w:r>
              <w:rPr>
                <w:sz w:val="18"/>
                <w:szCs w:val="18"/>
              </w:rPr>
              <w:t>86,2%</w:t>
            </w:r>
          </w:p>
        </w:tc>
        <w:tc>
          <w:tcPr>
            <w:tcW w:w="988" w:type="dxa"/>
            <w:tcBorders>
              <w:top w:val="nil"/>
              <w:left w:val="nil"/>
              <w:bottom w:val="nil"/>
              <w:right w:val="double" w:sz="6" w:space="0" w:color="800000"/>
            </w:tcBorders>
            <w:shd w:val="clear" w:color="000000" w:fill="FFFFCC"/>
            <w:vAlign w:val="bottom"/>
            <w:hideMark/>
          </w:tcPr>
          <w:p w14:paraId="2A326615" w14:textId="77777777" w:rsidR="00677E5F" w:rsidRPr="00E56679" w:rsidRDefault="00677E5F" w:rsidP="005D4BE5">
            <w:pPr>
              <w:jc w:val="right"/>
              <w:rPr>
                <w:color w:val="0070C0"/>
                <w:sz w:val="18"/>
                <w:szCs w:val="18"/>
              </w:rPr>
            </w:pPr>
            <w:r>
              <w:rPr>
                <w:sz w:val="18"/>
                <w:szCs w:val="18"/>
              </w:rPr>
              <w:t>18,8%</w:t>
            </w:r>
          </w:p>
        </w:tc>
      </w:tr>
      <w:tr w:rsidR="00677E5F" w:rsidRPr="00E56679" w14:paraId="5384D7B1" w14:textId="77777777" w:rsidTr="005D4BE5">
        <w:trPr>
          <w:trHeight w:val="259"/>
        </w:trPr>
        <w:tc>
          <w:tcPr>
            <w:tcW w:w="2401" w:type="dxa"/>
            <w:tcBorders>
              <w:top w:val="nil"/>
              <w:left w:val="double" w:sz="6" w:space="0" w:color="800000"/>
              <w:bottom w:val="nil"/>
              <w:right w:val="single" w:sz="8" w:space="0" w:color="800000"/>
            </w:tcBorders>
            <w:shd w:val="clear" w:color="000000" w:fill="FFFFCC"/>
            <w:noWrap/>
            <w:vAlign w:val="bottom"/>
            <w:hideMark/>
          </w:tcPr>
          <w:p w14:paraId="3E610085" w14:textId="77777777" w:rsidR="00677E5F" w:rsidRPr="00054589" w:rsidRDefault="00677E5F" w:rsidP="005D4BE5">
            <w:pPr>
              <w:rPr>
                <w:sz w:val="18"/>
                <w:szCs w:val="18"/>
              </w:rPr>
            </w:pPr>
            <w:r w:rsidRPr="00054589">
              <w:rPr>
                <w:sz w:val="18"/>
                <w:szCs w:val="18"/>
              </w:rPr>
              <w:t xml:space="preserve">    </w:t>
            </w:r>
            <w:proofErr w:type="spellStart"/>
            <w:r w:rsidRPr="00054589">
              <w:rPr>
                <w:sz w:val="18"/>
                <w:szCs w:val="18"/>
              </w:rPr>
              <w:t>Предост</w:t>
            </w:r>
            <w:proofErr w:type="spellEnd"/>
            <w:r w:rsidRPr="00054589">
              <w:rPr>
                <w:sz w:val="18"/>
                <w:szCs w:val="18"/>
              </w:rPr>
              <w:t xml:space="preserve">. </w:t>
            </w:r>
            <w:proofErr w:type="spellStart"/>
            <w:r w:rsidRPr="00054589">
              <w:rPr>
                <w:sz w:val="18"/>
                <w:szCs w:val="18"/>
              </w:rPr>
              <w:t>тек</w:t>
            </w:r>
            <w:proofErr w:type="spellEnd"/>
            <w:r w:rsidRPr="00054589">
              <w:rPr>
                <w:sz w:val="18"/>
                <w:szCs w:val="18"/>
              </w:rPr>
              <w:t xml:space="preserve">. и </w:t>
            </w:r>
            <w:proofErr w:type="spellStart"/>
            <w:r w:rsidRPr="00054589">
              <w:rPr>
                <w:sz w:val="18"/>
                <w:szCs w:val="18"/>
              </w:rPr>
              <w:t>капит</w:t>
            </w:r>
            <w:proofErr w:type="spellEnd"/>
            <w:r w:rsidRPr="00054589">
              <w:rPr>
                <w:sz w:val="18"/>
                <w:szCs w:val="18"/>
              </w:rPr>
              <w:t>. трансфери за чужбина</w:t>
            </w:r>
          </w:p>
        </w:tc>
        <w:tc>
          <w:tcPr>
            <w:tcW w:w="907" w:type="dxa"/>
            <w:tcBorders>
              <w:top w:val="nil"/>
              <w:left w:val="nil"/>
              <w:bottom w:val="nil"/>
              <w:right w:val="single" w:sz="8" w:space="0" w:color="800000"/>
            </w:tcBorders>
            <w:shd w:val="clear" w:color="000000" w:fill="FFFFCC"/>
            <w:noWrap/>
            <w:vAlign w:val="bottom"/>
            <w:hideMark/>
          </w:tcPr>
          <w:p w14:paraId="2A5DC04A" w14:textId="77777777" w:rsidR="00677E5F" w:rsidRPr="00054589" w:rsidRDefault="00677E5F" w:rsidP="005D4BE5">
            <w:pPr>
              <w:jc w:val="right"/>
              <w:rPr>
                <w:sz w:val="18"/>
                <w:szCs w:val="18"/>
              </w:rPr>
            </w:pPr>
            <w:r w:rsidRPr="00054589">
              <w:rPr>
                <w:sz w:val="18"/>
                <w:szCs w:val="18"/>
              </w:rPr>
              <w:t>34,1</w:t>
            </w:r>
          </w:p>
        </w:tc>
        <w:tc>
          <w:tcPr>
            <w:tcW w:w="1059" w:type="dxa"/>
            <w:tcBorders>
              <w:top w:val="nil"/>
              <w:left w:val="single" w:sz="8" w:space="0" w:color="800000"/>
              <w:bottom w:val="nil"/>
              <w:right w:val="single" w:sz="8" w:space="0" w:color="800000"/>
            </w:tcBorders>
            <w:shd w:val="clear" w:color="000000" w:fill="FFFFCC"/>
            <w:vAlign w:val="bottom"/>
            <w:hideMark/>
          </w:tcPr>
          <w:p w14:paraId="69A6A5C8" w14:textId="77777777" w:rsidR="00677E5F" w:rsidRPr="00E56679" w:rsidRDefault="00677E5F" w:rsidP="005D4BE5">
            <w:pPr>
              <w:jc w:val="right"/>
              <w:rPr>
                <w:color w:val="0070C0"/>
                <w:sz w:val="18"/>
                <w:szCs w:val="18"/>
              </w:rPr>
            </w:pPr>
            <w:r>
              <w:rPr>
                <w:sz w:val="18"/>
                <w:szCs w:val="18"/>
              </w:rPr>
              <w:t>27,5</w:t>
            </w:r>
          </w:p>
        </w:tc>
        <w:tc>
          <w:tcPr>
            <w:tcW w:w="1011" w:type="dxa"/>
            <w:tcBorders>
              <w:top w:val="nil"/>
              <w:left w:val="nil"/>
              <w:bottom w:val="nil"/>
              <w:right w:val="single" w:sz="8" w:space="0" w:color="800000"/>
            </w:tcBorders>
            <w:shd w:val="clear" w:color="000000" w:fill="FFFFCC"/>
            <w:noWrap/>
            <w:vAlign w:val="bottom"/>
            <w:hideMark/>
          </w:tcPr>
          <w:p w14:paraId="3932CDC3" w14:textId="77777777" w:rsidR="00677E5F" w:rsidRPr="00E56679" w:rsidRDefault="00677E5F" w:rsidP="005D4BE5">
            <w:pPr>
              <w:jc w:val="right"/>
              <w:rPr>
                <w:color w:val="0070C0"/>
                <w:sz w:val="18"/>
                <w:szCs w:val="18"/>
              </w:rPr>
            </w:pPr>
            <w:r>
              <w:rPr>
                <w:sz w:val="18"/>
                <w:szCs w:val="18"/>
              </w:rPr>
              <w:t>19,2</w:t>
            </w:r>
          </w:p>
        </w:tc>
        <w:tc>
          <w:tcPr>
            <w:tcW w:w="1146" w:type="dxa"/>
            <w:tcBorders>
              <w:top w:val="nil"/>
              <w:left w:val="nil"/>
              <w:bottom w:val="nil"/>
              <w:right w:val="single" w:sz="8" w:space="0" w:color="800000"/>
            </w:tcBorders>
            <w:shd w:val="clear" w:color="000000" w:fill="FFFFCC"/>
            <w:noWrap/>
            <w:vAlign w:val="bottom"/>
            <w:hideMark/>
          </w:tcPr>
          <w:p w14:paraId="6D0C7F17" w14:textId="77777777" w:rsidR="00677E5F" w:rsidRPr="00E56679" w:rsidRDefault="00677E5F" w:rsidP="005D4BE5">
            <w:pPr>
              <w:jc w:val="right"/>
              <w:rPr>
                <w:color w:val="0070C0"/>
                <w:sz w:val="18"/>
                <w:szCs w:val="18"/>
              </w:rPr>
            </w:pPr>
            <w:r>
              <w:rPr>
                <w:sz w:val="18"/>
                <w:szCs w:val="18"/>
              </w:rPr>
              <w:t>9,5</w:t>
            </w:r>
          </w:p>
        </w:tc>
        <w:tc>
          <w:tcPr>
            <w:tcW w:w="1123" w:type="dxa"/>
            <w:tcBorders>
              <w:top w:val="nil"/>
              <w:left w:val="nil"/>
              <w:bottom w:val="nil"/>
              <w:right w:val="single" w:sz="8" w:space="0" w:color="800000"/>
            </w:tcBorders>
            <w:shd w:val="clear" w:color="000000" w:fill="FFFFCC"/>
            <w:noWrap/>
            <w:vAlign w:val="bottom"/>
            <w:hideMark/>
          </w:tcPr>
          <w:p w14:paraId="1374799D" w14:textId="77777777" w:rsidR="00677E5F" w:rsidRPr="00E56679" w:rsidRDefault="00677E5F" w:rsidP="005D4BE5">
            <w:pPr>
              <w:jc w:val="right"/>
              <w:rPr>
                <w:color w:val="0070C0"/>
                <w:sz w:val="18"/>
                <w:szCs w:val="18"/>
              </w:rPr>
            </w:pPr>
            <w:r>
              <w:rPr>
                <w:sz w:val="18"/>
                <w:szCs w:val="18"/>
              </w:rPr>
              <w:t>9,7</w:t>
            </w:r>
          </w:p>
        </w:tc>
        <w:tc>
          <w:tcPr>
            <w:tcW w:w="959" w:type="dxa"/>
            <w:tcBorders>
              <w:top w:val="nil"/>
              <w:left w:val="nil"/>
              <w:bottom w:val="nil"/>
              <w:right w:val="single" w:sz="8" w:space="0" w:color="800000"/>
            </w:tcBorders>
            <w:shd w:val="clear" w:color="000000" w:fill="FFFFCC"/>
            <w:noWrap/>
            <w:vAlign w:val="bottom"/>
            <w:hideMark/>
          </w:tcPr>
          <w:p w14:paraId="766A3102" w14:textId="77777777" w:rsidR="00677E5F" w:rsidRPr="00E56679" w:rsidRDefault="00677E5F" w:rsidP="005D4BE5">
            <w:pPr>
              <w:jc w:val="right"/>
              <w:rPr>
                <w:color w:val="0070C0"/>
                <w:sz w:val="18"/>
                <w:szCs w:val="18"/>
              </w:rPr>
            </w:pPr>
            <w:r>
              <w:rPr>
                <w:sz w:val="18"/>
                <w:szCs w:val="18"/>
              </w:rPr>
              <w:t>56,5%</w:t>
            </w:r>
          </w:p>
        </w:tc>
        <w:tc>
          <w:tcPr>
            <w:tcW w:w="988" w:type="dxa"/>
            <w:tcBorders>
              <w:top w:val="nil"/>
              <w:left w:val="nil"/>
              <w:bottom w:val="nil"/>
              <w:right w:val="double" w:sz="6" w:space="0" w:color="800000"/>
            </w:tcBorders>
            <w:shd w:val="clear" w:color="000000" w:fill="FFFFCC"/>
            <w:vAlign w:val="bottom"/>
            <w:hideMark/>
          </w:tcPr>
          <w:p w14:paraId="62E703AC" w14:textId="77777777" w:rsidR="00677E5F" w:rsidRPr="00E56679" w:rsidRDefault="00677E5F" w:rsidP="005D4BE5">
            <w:pPr>
              <w:jc w:val="right"/>
              <w:rPr>
                <w:color w:val="0070C0"/>
                <w:sz w:val="18"/>
                <w:szCs w:val="18"/>
              </w:rPr>
            </w:pPr>
            <w:r>
              <w:rPr>
                <w:sz w:val="18"/>
                <w:szCs w:val="18"/>
              </w:rPr>
              <w:t>69,9%</w:t>
            </w:r>
          </w:p>
        </w:tc>
      </w:tr>
      <w:tr w:rsidR="00677E5F" w:rsidRPr="00E56679" w14:paraId="0DC59779" w14:textId="77777777" w:rsidTr="005D4BE5">
        <w:trPr>
          <w:trHeight w:val="259"/>
        </w:trPr>
        <w:tc>
          <w:tcPr>
            <w:tcW w:w="2401" w:type="dxa"/>
            <w:tcBorders>
              <w:top w:val="nil"/>
              <w:left w:val="double" w:sz="6" w:space="0" w:color="800000"/>
              <w:bottom w:val="nil"/>
              <w:right w:val="single" w:sz="8" w:space="0" w:color="800000"/>
            </w:tcBorders>
            <w:shd w:val="clear" w:color="000000" w:fill="FFFFCC"/>
            <w:noWrap/>
            <w:vAlign w:val="bottom"/>
            <w:hideMark/>
          </w:tcPr>
          <w:p w14:paraId="2A5384F5" w14:textId="77777777" w:rsidR="00677E5F" w:rsidRPr="00054589" w:rsidRDefault="00677E5F" w:rsidP="005D4BE5">
            <w:pPr>
              <w:rPr>
                <w:sz w:val="18"/>
                <w:szCs w:val="18"/>
              </w:rPr>
            </w:pPr>
            <w:r w:rsidRPr="00054589">
              <w:rPr>
                <w:sz w:val="18"/>
                <w:szCs w:val="18"/>
              </w:rPr>
              <w:t xml:space="preserve"> Лихвени</w:t>
            </w:r>
          </w:p>
        </w:tc>
        <w:tc>
          <w:tcPr>
            <w:tcW w:w="907" w:type="dxa"/>
            <w:tcBorders>
              <w:top w:val="nil"/>
              <w:left w:val="nil"/>
              <w:bottom w:val="nil"/>
              <w:right w:val="single" w:sz="8" w:space="0" w:color="800000"/>
            </w:tcBorders>
            <w:shd w:val="clear" w:color="000000" w:fill="FFFFCC"/>
            <w:noWrap/>
            <w:vAlign w:val="bottom"/>
            <w:hideMark/>
          </w:tcPr>
          <w:p w14:paraId="612074CE" w14:textId="77777777" w:rsidR="00677E5F" w:rsidRPr="00054589" w:rsidRDefault="00677E5F" w:rsidP="005D4BE5">
            <w:pPr>
              <w:jc w:val="right"/>
              <w:rPr>
                <w:sz w:val="18"/>
                <w:szCs w:val="18"/>
              </w:rPr>
            </w:pPr>
            <w:r w:rsidRPr="00054589">
              <w:rPr>
                <w:sz w:val="18"/>
                <w:szCs w:val="18"/>
              </w:rPr>
              <w:t>349,6</w:t>
            </w:r>
          </w:p>
        </w:tc>
        <w:tc>
          <w:tcPr>
            <w:tcW w:w="1059" w:type="dxa"/>
            <w:tcBorders>
              <w:top w:val="nil"/>
              <w:left w:val="single" w:sz="8" w:space="0" w:color="800000"/>
              <w:bottom w:val="nil"/>
              <w:right w:val="single" w:sz="8" w:space="0" w:color="800000"/>
            </w:tcBorders>
            <w:shd w:val="clear" w:color="000000" w:fill="FFFFCC"/>
            <w:vAlign w:val="bottom"/>
            <w:hideMark/>
          </w:tcPr>
          <w:p w14:paraId="352DFFD1" w14:textId="77777777" w:rsidR="00677E5F" w:rsidRPr="00E56679" w:rsidRDefault="00677E5F" w:rsidP="005D4BE5">
            <w:pPr>
              <w:jc w:val="right"/>
              <w:rPr>
                <w:color w:val="0070C0"/>
                <w:sz w:val="18"/>
                <w:szCs w:val="18"/>
              </w:rPr>
            </w:pPr>
            <w:r>
              <w:rPr>
                <w:sz w:val="18"/>
                <w:szCs w:val="18"/>
              </w:rPr>
              <w:t>1 010,6</w:t>
            </w:r>
          </w:p>
        </w:tc>
        <w:tc>
          <w:tcPr>
            <w:tcW w:w="1011" w:type="dxa"/>
            <w:tcBorders>
              <w:top w:val="nil"/>
              <w:left w:val="nil"/>
              <w:bottom w:val="nil"/>
              <w:right w:val="single" w:sz="8" w:space="0" w:color="800000"/>
            </w:tcBorders>
            <w:shd w:val="clear" w:color="000000" w:fill="FFFFCC"/>
            <w:noWrap/>
            <w:vAlign w:val="bottom"/>
            <w:hideMark/>
          </w:tcPr>
          <w:p w14:paraId="40BBCDDE" w14:textId="77777777" w:rsidR="00677E5F" w:rsidRPr="00E56679" w:rsidRDefault="00677E5F" w:rsidP="005D4BE5">
            <w:pPr>
              <w:jc w:val="right"/>
              <w:rPr>
                <w:color w:val="0070C0"/>
                <w:sz w:val="18"/>
                <w:szCs w:val="18"/>
              </w:rPr>
            </w:pPr>
            <w:r>
              <w:rPr>
                <w:sz w:val="18"/>
                <w:szCs w:val="18"/>
              </w:rPr>
              <w:t>497,2</w:t>
            </w:r>
          </w:p>
        </w:tc>
        <w:tc>
          <w:tcPr>
            <w:tcW w:w="1146" w:type="dxa"/>
            <w:tcBorders>
              <w:top w:val="nil"/>
              <w:left w:val="nil"/>
              <w:bottom w:val="nil"/>
              <w:right w:val="single" w:sz="8" w:space="0" w:color="800000"/>
            </w:tcBorders>
            <w:shd w:val="clear" w:color="000000" w:fill="FFFFCC"/>
            <w:noWrap/>
            <w:vAlign w:val="bottom"/>
            <w:hideMark/>
          </w:tcPr>
          <w:p w14:paraId="7FD5886C" w14:textId="77777777" w:rsidR="00677E5F" w:rsidRPr="00E56679" w:rsidRDefault="00677E5F" w:rsidP="005D4BE5">
            <w:pPr>
              <w:jc w:val="right"/>
              <w:rPr>
                <w:color w:val="0070C0"/>
                <w:sz w:val="18"/>
                <w:szCs w:val="18"/>
              </w:rPr>
            </w:pPr>
            <w:r>
              <w:rPr>
                <w:sz w:val="18"/>
                <w:szCs w:val="18"/>
              </w:rPr>
              <w:t>497,2</w:t>
            </w:r>
          </w:p>
        </w:tc>
        <w:tc>
          <w:tcPr>
            <w:tcW w:w="1123" w:type="dxa"/>
            <w:tcBorders>
              <w:top w:val="nil"/>
              <w:left w:val="nil"/>
              <w:bottom w:val="nil"/>
              <w:right w:val="single" w:sz="8" w:space="0" w:color="800000"/>
            </w:tcBorders>
            <w:shd w:val="clear" w:color="000000" w:fill="FFFFCC"/>
            <w:noWrap/>
            <w:vAlign w:val="bottom"/>
            <w:hideMark/>
          </w:tcPr>
          <w:p w14:paraId="3DDFA214" w14:textId="77777777" w:rsidR="00677E5F" w:rsidRPr="00E56679" w:rsidRDefault="00677E5F" w:rsidP="005D4BE5">
            <w:pPr>
              <w:jc w:val="right"/>
              <w:rPr>
                <w:color w:val="0070C0"/>
                <w:sz w:val="18"/>
                <w:szCs w:val="18"/>
              </w:rPr>
            </w:pPr>
            <w:r>
              <w:rPr>
                <w:sz w:val="18"/>
                <w:szCs w:val="18"/>
              </w:rPr>
              <w:t>0,01</w:t>
            </w:r>
          </w:p>
        </w:tc>
        <w:tc>
          <w:tcPr>
            <w:tcW w:w="959" w:type="dxa"/>
            <w:tcBorders>
              <w:top w:val="nil"/>
              <w:left w:val="nil"/>
              <w:bottom w:val="nil"/>
              <w:right w:val="single" w:sz="8" w:space="0" w:color="800000"/>
            </w:tcBorders>
            <w:shd w:val="clear" w:color="000000" w:fill="FFFFCC"/>
            <w:noWrap/>
            <w:vAlign w:val="bottom"/>
            <w:hideMark/>
          </w:tcPr>
          <w:p w14:paraId="4759A312" w14:textId="77777777" w:rsidR="00677E5F" w:rsidRPr="00E56679" w:rsidRDefault="00677E5F" w:rsidP="005D4BE5">
            <w:pPr>
              <w:jc w:val="right"/>
              <w:rPr>
                <w:color w:val="0070C0"/>
                <w:sz w:val="18"/>
                <w:szCs w:val="18"/>
              </w:rPr>
            </w:pPr>
            <w:r>
              <w:rPr>
                <w:sz w:val="18"/>
                <w:szCs w:val="18"/>
              </w:rPr>
              <w:t>142,2%</w:t>
            </w:r>
          </w:p>
        </w:tc>
        <w:tc>
          <w:tcPr>
            <w:tcW w:w="988" w:type="dxa"/>
            <w:tcBorders>
              <w:top w:val="nil"/>
              <w:left w:val="nil"/>
              <w:bottom w:val="nil"/>
              <w:right w:val="double" w:sz="6" w:space="0" w:color="800000"/>
            </w:tcBorders>
            <w:shd w:val="clear" w:color="000000" w:fill="FFFFCC"/>
            <w:vAlign w:val="bottom"/>
            <w:hideMark/>
          </w:tcPr>
          <w:p w14:paraId="54D1C028" w14:textId="77777777" w:rsidR="00677E5F" w:rsidRPr="00E56679" w:rsidRDefault="00677E5F" w:rsidP="005D4BE5">
            <w:pPr>
              <w:jc w:val="right"/>
              <w:rPr>
                <w:color w:val="0070C0"/>
                <w:sz w:val="18"/>
                <w:szCs w:val="18"/>
              </w:rPr>
            </w:pPr>
            <w:r>
              <w:rPr>
                <w:sz w:val="18"/>
                <w:szCs w:val="18"/>
              </w:rPr>
              <w:t>49,2%</w:t>
            </w:r>
          </w:p>
        </w:tc>
      </w:tr>
      <w:tr w:rsidR="00677E5F" w:rsidRPr="00E56679" w14:paraId="5DBB214B" w14:textId="77777777" w:rsidTr="005D4BE5">
        <w:trPr>
          <w:trHeight w:val="259"/>
        </w:trPr>
        <w:tc>
          <w:tcPr>
            <w:tcW w:w="2401" w:type="dxa"/>
            <w:tcBorders>
              <w:top w:val="nil"/>
              <w:left w:val="double" w:sz="6" w:space="0" w:color="800000"/>
              <w:bottom w:val="nil"/>
              <w:right w:val="single" w:sz="8" w:space="0" w:color="800000"/>
            </w:tcBorders>
            <w:shd w:val="clear" w:color="000000" w:fill="FFFFCC"/>
            <w:noWrap/>
            <w:vAlign w:val="bottom"/>
            <w:hideMark/>
          </w:tcPr>
          <w:p w14:paraId="7050C7BC" w14:textId="77777777" w:rsidR="00677E5F" w:rsidRPr="00054589" w:rsidRDefault="00677E5F" w:rsidP="005D4BE5">
            <w:pPr>
              <w:rPr>
                <w:sz w:val="18"/>
                <w:szCs w:val="18"/>
              </w:rPr>
            </w:pPr>
            <w:r w:rsidRPr="00054589">
              <w:rPr>
                <w:sz w:val="18"/>
                <w:szCs w:val="18"/>
              </w:rPr>
              <w:t xml:space="preserve"> Резерв за непредвидени и неотложни разходи</w:t>
            </w:r>
          </w:p>
        </w:tc>
        <w:tc>
          <w:tcPr>
            <w:tcW w:w="907" w:type="dxa"/>
            <w:tcBorders>
              <w:top w:val="nil"/>
              <w:left w:val="nil"/>
              <w:bottom w:val="nil"/>
              <w:right w:val="single" w:sz="8" w:space="0" w:color="800000"/>
            </w:tcBorders>
            <w:shd w:val="clear" w:color="000000" w:fill="FFFFCC"/>
            <w:noWrap/>
            <w:vAlign w:val="bottom"/>
            <w:hideMark/>
          </w:tcPr>
          <w:p w14:paraId="660B5BC6" w14:textId="77777777" w:rsidR="00677E5F" w:rsidRPr="00054589" w:rsidRDefault="00677E5F" w:rsidP="005D4BE5">
            <w:pPr>
              <w:jc w:val="right"/>
              <w:rPr>
                <w:sz w:val="18"/>
                <w:szCs w:val="18"/>
              </w:rPr>
            </w:pPr>
            <w:r w:rsidRPr="00054589">
              <w:rPr>
                <w:sz w:val="18"/>
                <w:szCs w:val="18"/>
              </w:rPr>
              <w:t> </w:t>
            </w:r>
          </w:p>
        </w:tc>
        <w:tc>
          <w:tcPr>
            <w:tcW w:w="1059" w:type="dxa"/>
            <w:tcBorders>
              <w:top w:val="nil"/>
              <w:left w:val="single" w:sz="8" w:space="0" w:color="800000"/>
              <w:bottom w:val="nil"/>
              <w:right w:val="single" w:sz="8" w:space="0" w:color="800000"/>
            </w:tcBorders>
            <w:shd w:val="clear" w:color="000000" w:fill="FFFFCC"/>
            <w:vAlign w:val="bottom"/>
            <w:hideMark/>
          </w:tcPr>
          <w:p w14:paraId="5CCCAB19" w14:textId="77777777" w:rsidR="00677E5F" w:rsidRPr="00E56679" w:rsidRDefault="00677E5F" w:rsidP="005D4BE5">
            <w:pPr>
              <w:jc w:val="right"/>
              <w:rPr>
                <w:color w:val="0070C0"/>
                <w:sz w:val="18"/>
                <w:szCs w:val="18"/>
              </w:rPr>
            </w:pPr>
            <w:r>
              <w:rPr>
                <w:sz w:val="18"/>
                <w:szCs w:val="18"/>
              </w:rPr>
              <w:t>370,2</w:t>
            </w:r>
          </w:p>
        </w:tc>
        <w:tc>
          <w:tcPr>
            <w:tcW w:w="1011" w:type="dxa"/>
            <w:tcBorders>
              <w:top w:val="nil"/>
              <w:left w:val="nil"/>
              <w:bottom w:val="nil"/>
              <w:right w:val="single" w:sz="8" w:space="0" w:color="800000"/>
            </w:tcBorders>
            <w:shd w:val="clear" w:color="000000" w:fill="FFFFCC"/>
            <w:noWrap/>
            <w:vAlign w:val="bottom"/>
            <w:hideMark/>
          </w:tcPr>
          <w:p w14:paraId="32CCB4B3" w14:textId="77777777" w:rsidR="00677E5F" w:rsidRPr="00E56679" w:rsidRDefault="00677E5F" w:rsidP="005D4BE5">
            <w:pPr>
              <w:jc w:val="right"/>
              <w:rPr>
                <w:color w:val="0070C0"/>
                <w:sz w:val="18"/>
                <w:szCs w:val="18"/>
              </w:rPr>
            </w:pPr>
            <w:r>
              <w:rPr>
                <w:sz w:val="18"/>
                <w:szCs w:val="18"/>
              </w:rPr>
              <w:t> </w:t>
            </w:r>
          </w:p>
        </w:tc>
        <w:tc>
          <w:tcPr>
            <w:tcW w:w="1146" w:type="dxa"/>
            <w:tcBorders>
              <w:top w:val="nil"/>
              <w:left w:val="nil"/>
              <w:bottom w:val="nil"/>
              <w:right w:val="single" w:sz="8" w:space="0" w:color="800000"/>
            </w:tcBorders>
            <w:shd w:val="clear" w:color="000000" w:fill="FFFFCC"/>
            <w:noWrap/>
            <w:vAlign w:val="bottom"/>
            <w:hideMark/>
          </w:tcPr>
          <w:p w14:paraId="723D0FF7" w14:textId="77777777" w:rsidR="00677E5F" w:rsidRPr="00E56679" w:rsidRDefault="00677E5F" w:rsidP="005D4BE5">
            <w:pPr>
              <w:jc w:val="right"/>
              <w:rPr>
                <w:color w:val="0070C0"/>
                <w:sz w:val="18"/>
                <w:szCs w:val="18"/>
              </w:rPr>
            </w:pPr>
            <w:r>
              <w:rPr>
                <w:sz w:val="18"/>
                <w:szCs w:val="18"/>
              </w:rPr>
              <w:t> </w:t>
            </w:r>
          </w:p>
        </w:tc>
        <w:tc>
          <w:tcPr>
            <w:tcW w:w="1123" w:type="dxa"/>
            <w:tcBorders>
              <w:top w:val="nil"/>
              <w:left w:val="nil"/>
              <w:bottom w:val="nil"/>
              <w:right w:val="single" w:sz="8" w:space="0" w:color="800000"/>
            </w:tcBorders>
            <w:shd w:val="clear" w:color="000000" w:fill="FFFFCC"/>
            <w:noWrap/>
            <w:vAlign w:val="bottom"/>
            <w:hideMark/>
          </w:tcPr>
          <w:p w14:paraId="2B9A67E0" w14:textId="77777777" w:rsidR="00677E5F" w:rsidRPr="00E56679" w:rsidRDefault="00677E5F" w:rsidP="005D4BE5">
            <w:pPr>
              <w:rPr>
                <w:color w:val="0070C0"/>
                <w:sz w:val="18"/>
                <w:szCs w:val="18"/>
              </w:rPr>
            </w:pPr>
            <w:r>
              <w:rPr>
                <w:sz w:val="18"/>
                <w:szCs w:val="18"/>
              </w:rPr>
              <w:t> </w:t>
            </w:r>
          </w:p>
        </w:tc>
        <w:tc>
          <w:tcPr>
            <w:tcW w:w="959" w:type="dxa"/>
            <w:tcBorders>
              <w:top w:val="nil"/>
              <w:left w:val="nil"/>
              <w:bottom w:val="nil"/>
              <w:right w:val="single" w:sz="8" w:space="0" w:color="800000"/>
            </w:tcBorders>
            <w:shd w:val="clear" w:color="000000" w:fill="FFFFCC"/>
            <w:noWrap/>
            <w:vAlign w:val="bottom"/>
            <w:hideMark/>
          </w:tcPr>
          <w:p w14:paraId="5D8FBAA4" w14:textId="77777777" w:rsidR="00677E5F" w:rsidRPr="00E56679" w:rsidRDefault="00677E5F" w:rsidP="005D4BE5">
            <w:pPr>
              <w:jc w:val="right"/>
              <w:rPr>
                <w:color w:val="0070C0"/>
                <w:sz w:val="18"/>
                <w:szCs w:val="18"/>
              </w:rPr>
            </w:pPr>
            <w:r>
              <w:rPr>
                <w:sz w:val="18"/>
                <w:szCs w:val="18"/>
              </w:rPr>
              <w:t> </w:t>
            </w:r>
          </w:p>
        </w:tc>
        <w:tc>
          <w:tcPr>
            <w:tcW w:w="988" w:type="dxa"/>
            <w:tcBorders>
              <w:top w:val="nil"/>
              <w:left w:val="nil"/>
              <w:bottom w:val="nil"/>
              <w:right w:val="double" w:sz="6" w:space="0" w:color="800000"/>
            </w:tcBorders>
            <w:shd w:val="clear" w:color="000000" w:fill="FFFFCC"/>
            <w:vAlign w:val="bottom"/>
            <w:hideMark/>
          </w:tcPr>
          <w:p w14:paraId="6DF7FD3E" w14:textId="77777777" w:rsidR="00677E5F" w:rsidRPr="00E56679" w:rsidRDefault="00677E5F" w:rsidP="005D4BE5">
            <w:pPr>
              <w:jc w:val="right"/>
              <w:rPr>
                <w:color w:val="0070C0"/>
                <w:sz w:val="18"/>
                <w:szCs w:val="18"/>
              </w:rPr>
            </w:pPr>
            <w:r>
              <w:rPr>
                <w:sz w:val="18"/>
                <w:szCs w:val="18"/>
              </w:rPr>
              <w:t> </w:t>
            </w:r>
          </w:p>
        </w:tc>
      </w:tr>
      <w:tr w:rsidR="00677E5F" w:rsidRPr="00E56679" w14:paraId="2AE16F58" w14:textId="77777777" w:rsidTr="005D4BE5">
        <w:trPr>
          <w:trHeight w:val="271"/>
        </w:trPr>
        <w:tc>
          <w:tcPr>
            <w:tcW w:w="2401" w:type="dxa"/>
            <w:tcBorders>
              <w:top w:val="nil"/>
              <w:left w:val="double" w:sz="6" w:space="0" w:color="800000"/>
              <w:bottom w:val="single" w:sz="8" w:space="0" w:color="800000"/>
              <w:right w:val="single" w:sz="8" w:space="0" w:color="800000"/>
            </w:tcBorders>
            <w:shd w:val="clear" w:color="000000" w:fill="FFFFCC"/>
            <w:noWrap/>
            <w:vAlign w:val="bottom"/>
            <w:hideMark/>
          </w:tcPr>
          <w:p w14:paraId="6EF91821" w14:textId="77777777" w:rsidR="00677E5F" w:rsidRPr="00054589" w:rsidRDefault="00677E5F" w:rsidP="005D4BE5">
            <w:pPr>
              <w:rPr>
                <w:sz w:val="18"/>
                <w:szCs w:val="18"/>
              </w:rPr>
            </w:pPr>
            <w:r w:rsidRPr="00054589">
              <w:rPr>
                <w:sz w:val="18"/>
                <w:szCs w:val="18"/>
              </w:rPr>
              <w:t xml:space="preserve">  Вноска за общия бюджет на ЕС</w:t>
            </w:r>
          </w:p>
        </w:tc>
        <w:tc>
          <w:tcPr>
            <w:tcW w:w="907" w:type="dxa"/>
            <w:tcBorders>
              <w:top w:val="nil"/>
              <w:left w:val="nil"/>
              <w:bottom w:val="single" w:sz="8" w:space="0" w:color="800000"/>
              <w:right w:val="single" w:sz="8" w:space="0" w:color="800000"/>
            </w:tcBorders>
            <w:shd w:val="clear" w:color="000000" w:fill="FFFFCC"/>
            <w:noWrap/>
            <w:vAlign w:val="bottom"/>
            <w:hideMark/>
          </w:tcPr>
          <w:p w14:paraId="651F9AAE" w14:textId="77777777" w:rsidR="00677E5F" w:rsidRPr="00054589" w:rsidRDefault="00677E5F" w:rsidP="005D4BE5">
            <w:pPr>
              <w:jc w:val="right"/>
              <w:rPr>
                <w:sz w:val="18"/>
                <w:szCs w:val="18"/>
              </w:rPr>
            </w:pPr>
            <w:r w:rsidRPr="00054589">
              <w:rPr>
                <w:sz w:val="18"/>
                <w:szCs w:val="18"/>
              </w:rPr>
              <w:t>847,6</w:t>
            </w:r>
          </w:p>
        </w:tc>
        <w:tc>
          <w:tcPr>
            <w:tcW w:w="1059" w:type="dxa"/>
            <w:tcBorders>
              <w:top w:val="nil"/>
              <w:left w:val="single" w:sz="8" w:space="0" w:color="800000"/>
              <w:bottom w:val="single" w:sz="8" w:space="0" w:color="800000"/>
              <w:right w:val="single" w:sz="8" w:space="0" w:color="800000"/>
            </w:tcBorders>
            <w:shd w:val="clear" w:color="000000" w:fill="FFFFCC"/>
            <w:vAlign w:val="bottom"/>
            <w:hideMark/>
          </w:tcPr>
          <w:p w14:paraId="087DE63F" w14:textId="77777777" w:rsidR="00677E5F" w:rsidRPr="00E56679" w:rsidRDefault="00677E5F" w:rsidP="005D4BE5">
            <w:pPr>
              <w:jc w:val="right"/>
              <w:rPr>
                <w:color w:val="0070C0"/>
                <w:sz w:val="18"/>
                <w:szCs w:val="18"/>
              </w:rPr>
            </w:pPr>
            <w:r>
              <w:rPr>
                <w:sz w:val="18"/>
                <w:szCs w:val="18"/>
              </w:rPr>
              <w:t>2 271,1</w:t>
            </w:r>
          </w:p>
        </w:tc>
        <w:tc>
          <w:tcPr>
            <w:tcW w:w="1011" w:type="dxa"/>
            <w:tcBorders>
              <w:top w:val="nil"/>
              <w:left w:val="nil"/>
              <w:bottom w:val="single" w:sz="8" w:space="0" w:color="800000"/>
              <w:right w:val="single" w:sz="8" w:space="0" w:color="800000"/>
            </w:tcBorders>
            <w:shd w:val="clear" w:color="000000" w:fill="FFFFCC"/>
            <w:noWrap/>
            <w:vAlign w:val="bottom"/>
            <w:hideMark/>
          </w:tcPr>
          <w:p w14:paraId="60F6BAFA" w14:textId="77777777" w:rsidR="00677E5F" w:rsidRPr="00E56679" w:rsidRDefault="00677E5F" w:rsidP="005D4BE5">
            <w:pPr>
              <w:jc w:val="right"/>
              <w:rPr>
                <w:color w:val="0070C0"/>
                <w:sz w:val="18"/>
                <w:szCs w:val="18"/>
              </w:rPr>
            </w:pPr>
            <w:r>
              <w:rPr>
                <w:sz w:val="18"/>
                <w:szCs w:val="18"/>
              </w:rPr>
              <w:t>713,5</w:t>
            </w:r>
          </w:p>
        </w:tc>
        <w:tc>
          <w:tcPr>
            <w:tcW w:w="1146" w:type="dxa"/>
            <w:tcBorders>
              <w:top w:val="nil"/>
              <w:left w:val="nil"/>
              <w:bottom w:val="single" w:sz="8" w:space="0" w:color="800000"/>
              <w:right w:val="single" w:sz="8" w:space="0" w:color="800000"/>
            </w:tcBorders>
            <w:shd w:val="clear" w:color="000000" w:fill="FFFFCC"/>
            <w:noWrap/>
            <w:vAlign w:val="bottom"/>
            <w:hideMark/>
          </w:tcPr>
          <w:p w14:paraId="746FFC95" w14:textId="77777777" w:rsidR="00677E5F" w:rsidRPr="00E56679" w:rsidRDefault="00677E5F" w:rsidP="005D4BE5">
            <w:pPr>
              <w:jc w:val="right"/>
              <w:rPr>
                <w:color w:val="0070C0"/>
                <w:sz w:val="18"/>
                <w:szCs w:val="18"/>
              </w:rPr>
            </w:pPr>
            <w:r>
              <w:rPr>
                <w:sz w:val="18"/>
                <w:szCs w:val="18"/>
              </w:rPr>
              <w:t>713,5</w:t>
            </w:r>
          </w:p>
        </w:tc>
        <w:tc>
          <w:tcPr>
            <w:tcW w:w="1123" w:type="dxa"/>
            <w:tcBorders>
              <w:top w:val="nil"/>
              <w:left w:val="nil"/>
              <w:bottom w:val="single" w:sz="8" w:space="0" w:color="800000"/>
              <w:right w:val="single" w:sz="8" w:space="0" w:color="800000"/>
            </w:tcBorders>
            <w:shd w:val="clear" w:color="000000" w:fill="FFFFCC"/>
            <w:noWrap/>
            <w:vAlign w:val="bottom"/>
            <w:hideMark/>
          </w:tcPr>
          <w:p w14:paraId="0739D253" w14:textId="77777777" w:rsidR="00677E5F" w:rsidRPr="00E56679" w:rsidRDefault="00677E5F" w:rsidP="005D4BE5">
            <w:pPr>
              <w:rPr>
                <w:color w:val="0070C0"/>
                <w:sz w:val="18"/>
                <w:szCs w:val="18"/>
              </w:rPr>
            </w:pPr>
            <w:r>
              <w:rPr>
                <w:sz w:val="18"/>
                <w:szCs w:val="18"/>
              </w:rPr>
              <w:t> </w:t>
            </w:r>
          </w:p>
        </w:tc>
        <w:tc>
          <w:tcPr>
            <w:tcW w:w="959" w:type="dxa"/>
            <w:tcBorders>
              <w:top w:val="nil"/>
              <w:left w:val="nil"/>
              <w:bottom w:val="single" w:sz="8" w:space="0" w:color="800000"/>
              <w:right w:val="single" w:sz="8" w:space="0" w:color="800000"/>
            </w:tcBorders>
            <w:shd w:val="clear" w:color="000000" w:fill="FFFFCC"/>
            <w:noWrap/>
            <w:vAlign w:val="bottom"/>
            <w:hideMark/>
          </w:tcPr>
          <w:p w14:paraId="504666BC" w14:textId="77777777" w:rsidR="00677E5F" w:rsidRPr="00E56679" w:rsidRDefault="00677E5F" w:rsidP="005D4BE5">
            <w:pPr>
              <w:jc w:val="right"/>
              <w:rPr>
                <w:color w:val="0070C0"/>
                <w:sz w:val="18"/>
                <w:szCs w:val="18"/>
              </w:rPr>
            </w:pPr>
            <w:r>
              <w:rPr>
                <w:sz w:val="18"/>
                <w:szCs w:val="18"/>
              </w:rPr>
              <w:t>84,2%</w:t>
            </w:r>
          </w:p>
        </w:tc>
        <w:tc>
          <w:tcPr>
            <w:tcW w:w="988" w:type="dxa"/>
            <w:tcBorders>
              <w:top w:val="nil"/>
              <w:left w:val="nil"/>
              <w:bottom w:val="single" w:sz="8" w:space="0" w:color="800000"/>
              <w:right w:val="double" w:sz="6" w:space="0" w:color="800000"/>
            </w:tcBorders>
            <w:shd w:val="clear" w:color="000000" w:fill="FFFFCC"/>
            <w:vAlign w:val="bottom"/>
            <w:hideMark/>
          </w:tcPr>
          <w:p w14:paraId="37E0170F" w14:textId="77777777" w:rsidR="00677E5F" w:rsidRPr="00E56679" w:rsidRDefault="00677E5F" w:rsidP="005D4BE5">
            <w:pPr>
              <w:jc w:val="right"/>
              <w:rPr>
                <w:color w:val="0070C0"/>
                <w:sz w:val="18"/>
                <w:szCs w:val="18"/>
              </w:rPr>
            </w:pPr>
            <w:r>
              <w:rPr>
                <w:sz w:val="18"/>
                <w:szCs w:val="18"/>
              </w:rPr>
              <w:t>31,4%</w:t>
            </w:r>
          </w:p>
        </w:tc>
      </w:tr>
      <w:tr w:rsidR="00677E5F" w:rsidRPr="00E56679" w14:paraId="6D43556E" w14:textId="77777777" w:rsidTr="005D4BE5">
        <w:trPr>
          <w:trHeight w:val="271"/>
        </w:trPr>
        <w:tc>
          <w:tcPr>
            <w:tcW w:w="2401" w:type="dxa"/>
            <w:tcBorders>
              <w:top w:val="nil"/>
              <w:left w:val="double" w:sz="6" w:space="0" w:color="800000"/>
              <w:bottom w:val="single" w:sz="8" w:space="0" w:color="800000"/>
              <w:right w:val="single" w:sz="8" w:space="0" w:color="800000"/>
            </w:tcBorders>
            <w:shd w:val="clear" w:color="000000" w:fill="FFFFCC"/>
            <w:noWrap/>
            <w:vAlign w:val="bottom"/>
            <w:hideMark/>
          </w:tcPr>
          <w:p w14:paraId="25795518" w14:textId="77777777" w:rsidR="00677E5F" w:rsidRPr="00054589" w:rsidRDefault="00677E5F" w:rsidP="005D4BE5">
            <w:pPr>
              <w:rPr>
                <w:sz w:val="18"/>
                <w:szCs w:val="18"/>
              </w:rPr>
            </w:pPr>
            <w:r w:rsidRPr="00054589">
              <w:rPr>
                <w:sz w:val="18"/>
                <w:szCs w:val="18"/>
              </w:rPr>
              <w:t>Трансфери - нето</w:t>
            </w:r>
          </w:p>
        </w:tc>
        <w:tc>
          <w:tcPr>
            <w:tcW w:w="907" w:type="dxa"/>
            <w:tcBorders>
              <w:top w:val="nil"/>
              <w:left w:val="nil"/>
              <w:bottom w:val="single" w:sz="8" w:space="0" w:color="800000"/>
              <w:right w:val="single" w:sz="8" w:space="0" w:color="800000"/>
            </w:tcBorders>
            <w:shd w:val="clear" w:color="000000" w:fill="FFFFCC"/>
            <w:vAlign w:val="bottom"/>
            <w:hideMark/>
          </w:tcPr>
          <w:p w14:paraId="3AC23031" w14:textId="77777777" w:rsidR="00677E5F" w:rsidRPr="00054589" w:rsidRDefault="00677E5F" w:rsidP="005D4BE5">
            <w:pPr>
              <w:jc w:val="right"/>
              <w:rPr>
                <w:b/>
                <w:bCs/>
                <w:sz w:val="18"/>
                <w:szCs w:val="18"/>
              </w:rPr>
            </w:pPr>
            <w:r w:rsidRPr="00054589">
              <w:rPr>
                <w:sz w:val="18"/>
                <w:szCs w:val="18"/>
              </w:rPr>
              <w:t> </w:t>
            </w:r>
          </w:p>
        </w:tc>
        <w:tc>
          <w:tcPr>
            <w:tcW w:w="1059" w:type="dxa"/>
            <w:tcBorders>
              <w:top w:val="nil"/>
              <w:left w:val="single" w:sz="8" w:space="0" w:color="800000"/>
              <w:bottom w:val="single" w:sz="8" w:space="0" w:color="800000"/>
              <w:right w:val="single" w:sz="8" w:space="0" w:color="800000"/>
            </w:tcBorders>
            <w:shd w:val="clear" w:color="000000" w:fill="FFFFCC"/>
            <w:noWrap/>
            <w:vAlign w:val="bottom"/>
            <w:hideMark/>
          </w:tcPr>
          <w:p w14:paraId="46BFA3AA" w14:textId="77777777" w:rsidR="00677E5F" w:rsidRPr="00E56679" w:rsidRDefault="00677E5F" w:rsidP="005D4BE5">
            <w:pPr>
              <w:rPr>
                <w:color w:val="0070C0"/>
                <w:sz w:val="18"/>
                <w:szCs w:val="18"/>
              </w:rPr>
            </w:pPr>
            <w:r>
              <w:rPr>
                <w:color w:val="0070C0"/>
                <w:sz w:val="18"/>
                <w:szCs w:val="18"/>
              </w:rPr>
              <w:t> </w:t>
            </w:r>
          </w:p>
        </w:tc>
        <w:tc>
          <w:tcPr>
            <w:tcW w:w="1011" w:type="dxa"/>
            <w:tcBorders>
              <w:top w:val="nil"/>
              <w:left w:val="nil"/>
              <w:bottom w:val="single" w:sz="8" w:space="0" w:color="800000"/>
              <w:right w:val="single" w:sz="8" w:space="0" w:color="800000"/>
            </w:tcBorders>
            <w:shd w:val="clear" w:color="000000" w:fill="FFFFCC"/>
            <w:noWrap/>
            <w:vAlign w:val="bottom"/>
            <w:hideMark/>
          </w:tcPr>
          <w:p w14:paraId="40F67EC2" w14:textId="77777777" w:rsidR="00677E5F" w:rsidRPr="00E56679" w:rsidRDefault="00677E5F" w:rsidP="005D4BE5">
            <w:pPr>
              <w:rPr>
                <w:color w:val="0070C0"/>
                <w:sz w:val="18"/>
                <w:szCs w:val="18"/>
              </w:rPr>
            </w:pPr>
            <w:r>
              <w:rPr>
                <w:color w:val="0070C0"/>
                <w:sz w:val="18"/>
                <w:szCs w:val="18"/>
              </w:rPr>
              <w:t> </w:t>
            </w:r>
          </w:p>
        </w:tc>
        <w:tc>
          <w:tcPr>
            <w:tcW w:w="1146" w:type="dxa"/>
            <w:tcBorders>
              <w:top w:val="nil"/>
              <w:left w:val="nil"/>
              <w:bottom w:val="single" w:sz="8" w:space="0" w:color="800000"/>
              <w:right w:val="single" w:sz="8" w:space="0" w:color="800000"/>
            </w:tcBorders>
            <w:shd w:val="clear" w:color="000000" w:fill="FFFFCC"/>
            <w:noWrap/>
            <w:vAlign w:val="bottom"/>
            <w:hideMark/>
          </w:tcPr>
          <w:p w14:paraId="4B69B5B0" w14:textId="77777777" w:rsidR="00677E5F" w:rsidRPr="00E56679" w:rsidRDefault="00677E5F" w:rsidP="005D4BE5">
            <w:pPr>
              <w:jc w:val="right"/>
              <w:rPr>
                <w:color w:val="0070C0"/>
                <w:sz w:val="18"/>
                <w:szCs w:val="18"/>
              </w:rPr>
            </w:pPr>
            <w:r>
              <w:rPr>
                <w:sz w:val="18"/>
                <w:szCs w:val="18"/>
              </w:rPr>
              <w:t>-423,4</w:t>
            </w:r>
          </w:p>
        </w:tc>
        <w:tc>
          <w:tcPr>
            <w:tcW w:w="1123" w:type="dxa"/>
            <w:tcBorders>
              <w:top w:val="nil"/>
              <w:left w:val="nil"/>
              <w:bottom w:val="single" w:sz="8" w:space="0" w:color="800000"/>
              <w:right w:val="single" w:sz="8" w:space="0" w:color="800000"/>
            </w:tcBorders>
            <w:shd w:val="clear" w:color="000000" w:fill="FFFFCC"/>
            <w:noWrap/>
            <w:vAlign w:val="bottom"/>
            <w:hideMark/>
          </w:tcPr>
          <w:p w14:paraId="316BF947" w14:textId="77777777" w:rsidR="00677E5F" w:rsidRPr="00E56679" w:rsidRDefault="00677E5F" w:rsidP="005D4BE5">
            <w:pPr>
              <w:jc w:val="right"/>
              <w:rPr>
                <w:color w:val="0070C0"/>
                <w:sz w:val="18"/>
                <w:szCs w:val="18"/>
              </w:rPr>
            </w:pPr>
            <w:r>
              <w:rPr>
                <w:sz w:val="18"/>
                <w:szCs w:val="18"/>
              </w:rPr>
              <w:t>423,4</w:t>
            </w:r>
          </w:p>
        </w:tc>
        <w:tc>
          <w:tcPr>
            <w:tcW w:w="959" w:type="dxa"/>
            <w:tcBorders>
              <w:top w:val="nil"/>
              <w:left w:val="nil"/>
              <w:bottom w:val="single" w:sz="8" w:space="0" w:color="800000"/>
              <w:right w:val="single" w:sz="8" w:space="0" w:color="800000"/>
            </w:tcBorders>
            <w:shd w:val="clear" w:color="000000" w:fill="FFFFCC"/>
            <w:noWrap/>
            <w:vAlign w:val="bottom"/>
            <w:hideMark/>
          </w:tcPr>
          <w:p w14:paraId="1646F88E" w14:textId="77777777" w:rsidR="00677E5F" w:rsidRPr="00E56679" w:rsidRDefault="00677E5F" w:rsidP="005D4BE5">
            <w:pPr>
              <w:rPr>
                <w:color w:val="0070C0"/>
                <w:sz w:val="18"/>
                <w:szCs w:val="18"/>
              </w:rPr>
            </w:pPr>
            <w:r>
              <w:rPr>
                <w:sz w:val="18"/>
                <w:szCs w:val="18"/>
              </w:rPr>
              <w:t> </w:t>
            </w:r>
          </w:p>
        </w:tc>
        <w:tc>
          <w:tcPr>
            <w:tcW w:w="988" w:type="dxa"/>
            <w:tcBorders>
              <w:top w:val="nil"/>
              <w:left w:val="nil"/>
              <w:bottom w:val="single" w:sz="8" w:space="0" w:color="800000"/>
              <w:right w:val="double" w:sz="6" w:space="0" w:color="800000"/>
            </w:tcBorders>
            <w:shd w:val="clear" w:color="000000" w:fill="FFFFCC"/>
            <w:vAlign w:val="bottom"/>
            <w:hideMark/>
          </w:tcPr>
          <w:p w14:paraId="3BBA184F" w14:textId="77777777" w:rsidR="00677E5F" w:rsidRPr="00E56679" w:rsidRDefault="00677E5F" w:rsidP="005D4BE5">
            <w:pPr>
              <w:rPr>
                <w:color w:val="0070C0"/>
                <w:sz w:val="18"/>
                <w:szCs w:val="18"/>
              </w:rPr>
            </w:pPr>
            <w:r>
              <w:rPr>
                <w:sz w:val="18"/>
                <w:szCs w:val="18"/>
              </w:rPr>
              <w:t> </w:t>
            </w:r>
          </w:p>
        </w:tc>
      </w:tr>
      <w:tr w:rsidR="00677E5F" w:rsidRPr="00E56679" w14:paraId="4ABA9F7E" w14:textId="77777777" w:rsidTr="005D4BE5">
        <w:trPr>
          <w:trHeight w:val="271"/>
        </w:trPr>
        <w:tc>
          <w:tcPr>
            <w:tcW w:w="2401" w:type="dxa"/>
            <w:tcBorders>
              <w:top w:val="nil"/>
              <w:left w:val="double" w:sz="6" w:space="0" w:color="800000"/>
              <w:bottom w:val="double" w:sz="6" w:space="0" w:color="800000"/>
              <w:right w:val="single" w:sz="8" w:space="0" w:color="800000"/>
            </w:tcBorders>
            <w:shd w:val="clear" w:color="000000" w:fill="FFFFCC"/>
            <w:noWrap/>
            <w:vAlign w:val="bottom"/>
            <w:hideMark/>
          </w:tcPr>
          <w:p w14:paraId="4B3148C8" w14:textId="77777777" w:rsidR="00677E5F" w:rsidRPr="00054589" w:rsidRDefault="00677E5F" w:rsidP="005D4BE5">
            <w:pPr>
              <w:rPr>
                <w:b/>
                <w:bCs/>
                <w:sz w:val="18"/>
                <w:szCs w:val="18"/>
              </w:rPr>
            </w:pPr>
            <w:r w:rsidRPr="00054589">
              <w:rPr>
                <w:b/>
                <w:bCs/>
                <w:sz w:val="18"/>
                <w:szCs w:val="18"/>
              </w:rPr>
              <w:t>БЮДЖЕТНО САЛДО</w:t>
            </w:r>
          </w:p>
        </w:tc>
        <w:tc>
          <w:tcPr>
            <w:tcW w:w="907" w:type="dxa"/>
            <w:tcBorders>
              <w:top w:val="nil"/>
              <w:left w:val="nil"/>
              <w:bottom w:val="double" w:sz="6" w:space="0" w:color="800000"/>
              <w:right w:val="single" w:sz="8" w:space="0" w:color="800000"/>
            </w:tcBorders>
            <w:shd w:val="clear" w:color="000000" w:fill="FFFFCC"/>
            <w:noWrap/>
            <w:vAlign w:val="bottom"/>
            <w:hideMark/>
          </w:tcPr>
          <w:p w14:paraId="3CC2092F" w14:textId="77777777" w:rsidR="00677E5F" w:rsidRPr="00054589" w:rsidRDefault="00677E5F" w:rsidP="005D4BE5">
            <w:pPr>
              <w:jc w:val="right"/>
              <w:rPr>
                <w:b/>
                <w:bCs/>
                <w:sz w:val="18"/>
                <w:szCs w:val="18"/>
              </w:rPr>
            </w:pPr>
            <w:r w:rsidRPr="00054589">
              <w:rPr>
                <w:b/>
                <w:bCs/>
                <w:sz w:val="18"/>
                <w:szCs w:val="18"/>
              </w:rPr>
              <w:t>174,4</w:t>
            </w:r>
          </w:p>
        </w:tc>
        <w:tc>
          <w:tcPr>
            <w:tcW w:w="1059" w:type="dxa"/>
            <w:tcBorders>
              <w:top w:val="nil"/>
              <w:left w:val="single" w:sz="8" w:space="0" w:color="800000"/>
              <w:bottom w:val="double" w:sz="6" w:space="0" w:color="800000"/>
              <w:right w:val="single" w:sz="8" w:space="0" w:color="800000"/>
            </w:tcBorders>
            <w:shd w:val="clear" w:color="000000" w:fill="FFFFCC"/>
            <w:noWrap/>
            <w:vAlign w:val="bottom"/>
            <w:hideMark/>
          </w:tcPr>
          <w:p w14:paraId="7AE71275" w14:textId="77777777" w:rsidR="00677E5F" w:rsidRPr="00E56679" w:rsidRDefault="00677E5F" w:rsidP="005D4BE5">
            <w:pPr>
              <w:jc w:val="right"/>
              <w:rPr>
                <w:b/>
                <w:bCs/>
                <w:color w:val="0070C0"/>
                <w:sz w:val="18"/>
                <w:szCs w:val="18"/>
              </w:rPr>
            </w:pPr>
            <w:r>
              <w:rPr>
                <w:b/>
                <w:bCs/>
                <w:sz w:val="18"/>
                <w:szCs w:val="18"/>
              </w:rPr>
              <w:t>-6 219,3</w:t>
            </w:r>
          </w:p>
        </w:tc>
        <w:tc>
          <w:tcPr>
            <w:tcW w:w="1011" w:type="dxa"/>
            <w:tcBorders>
              <w:top w:val="nil"/>
              <w:left w:val="nil"/>
              <w:bottom w:val="double" w:sz="6" w:space="0" w:color="800000"/>
              <w:right w:val="single" w:sz="8" w:space="0" w:color="800000"/>
            </w:tcBorders>
            <w:shd w:val="clear" w:color="000000" w:fill="FFFFCC"/>
            <w:noWrap/>
            <w:vAlign w:val="bottom"/>
            <w:hideMark/>
          </w:tcPr>
          <w:p w14:paraId="0DBC1029" w14:textId="77777777" w:rsidR="00677E5F" w:rsidRPr="00E56679" w:rsidRDefault="00677E5F" w:rsidP="005D4BE5">
            <w:pPr>
              <w:jc w:val="right"/>
              <w:rPr>
                <w:b/>
                <w:bCs/>
                <w:color w:val="0070C0"/>
                <w:sz w:val="18"/>
                <w:szCs w:val="18"/>
              </w:rPr>
            </w:pPr>
            <w:r>
              <w:rPr>
                <w:b/>
                <w:bCs/>
                <w:sz w:val="18"/>
                <w:szCs w:val="18"/>
              </w:rPr>
              <w:t>-595,9</w:t>
            </w:r>
          </w:p>
        </w:tc>
        <w:tc>
          <w:tcPr>
            <w:tcW w:w="1146" w:type="dxa"/>
            <w:tcBorders>
              <w:top w:val="nil"/>
              <w:left w:val="nil"/>
              <w:bottom w:val="double" w:sz="6" w:space="0" w:color="800000"/>
              <w:right w:val="single" w:sz="8" w:space="0" w:color="800000"/>
            </w:tcBorders>
            <w:shd w:val="clear" w:color="000000" w:fill="FFFFCC"/>
            <w:noWrap/>
            <w:vAlign w:val="bottom"/>
            <w:hideMark/>
          </w:tcPr>
          <w:p w14:paraId="02C4BFE7" w14:textId="1CC2999A" w:rsidR="00677E5F" w:rsidRPr="00E56679" w:rsidRDefault="00677E5F" w:rsidP="0053056D">
            <w:pPr>
              <w:jc w:val="right"/>
              <w:rPr>
                <w:b/>
                <w:bCs/>
                <w:color w:val="0070C0"/>
                <w:sz w:val="18"/>
                <w:szCs w:val="18"/>
              </w:rPr>
            </w:pPr>
            <w:r>
              <w:rPr>
                <w:b/>
                <w:bCs/>
                <w:sz w:val="18"/>
                <w:szCs w:val="18"/>
              </w:rPr>
              <w:t>-1 367,</w:t>
            </w:r>
            <w:r w:rsidR="0053056D">
              <w:rPr>
                <w:b/>
                <w:bCs/>
                <w:sz w:val="18"/>
                <w:szCs w:val="18"/>
              </w:rPr>
              <w:t>6</w:t>
            </w:r>
            <w:bookmarkStart w:id="20" w:name="_GoBack"/>
            <w:bookmarkEnd w:id="20"/>
          </w:p>
        </w:tc>
        <w:tc>
          <w:tcPr>
            <w:tcW w:w="1123" w:type="dxa"/>
            <w:tcBorders>
              <w:top w:val="nil"/>
              <w:left w:val="nil"/>
              <w:bottom w:val="double" w:sz="6" w:space="0" w:color="800000"/>
              <w:right w:val="single" w:sz="8" w:space="0" w:color="800000"/>
            </w:tcBorders>
            <w:shd w:val="clear" w:color="000000" w:fill="FFFFCC"/>
            <w:noWrap/>
            <w:vAlign w:val="bottom"/>
            <w:hideMark/>
          </w:tcPr>
          <w:p w14:paraId="5102AD93" w14:textId="77777777" w:rsidR="00677E5F" w:rsidRPr="00E56679" w:rsidRDefault="00677E5F" w:rsidP="005D4BE5">
            <w:pPr>
              <w:jc w:val="right"/>
              <w:rPr>
                <w:b/>
                <w:bCs/>
                <w:color w:val="0070C0"/>
                <w:sz w:val="18"/>
                <w:szCs w:val="18"/>
              </w:rPr>
            </w:pPr>
            <w:r>
              <w:rPr>
                <w:b/>
                <w:bCs/>
                <w:sz w:val="18"/>
                <w:szCs w:val="18"/>
              </w:rPr>
              <w:t>771,7</w:t>
            </w:r>
          </w:p>
        </w:tc>
        <w:tc>
          <w:tcPr>
            <w:tcW w:w="959" w:type="dxa"/>
            <w:tcBorders>
              <w:top w:val="nil"/>
              <w:left w:val="nil"/>
              <w:bottom w:val="double" w:sz="6" w:space="0" w:color="800000"/>
              <w:right w:val="single" w:sz="8" w:space="0" w:color="800000"/>
            </w:tcBorders>
            <w:shd w:val="clear" w:color="000000" w:fill="FFFFCC"/>
            <w:noWrap/>
            <w:vAlign w:val="bottom"/>
            <w:hideMark/>
          </w:tcPr>
          <w:p w14:paraId="6EC9C422" w14:textId="77777777" w:rsidR="00677E5F" w:rsidRPr="00E56679" w:rsidRDefault="00677E5F" w:rsidP="005D4BE5">
            <w:pPr>
              <w:jc w:val="right"/>
              <w:rPr>
                <w:b/>
                <w:bCs/>
                <w:color w:val="0070C0"/>
                <w:sz w:val="18"/>
                <w:szCs w:val="18"/>
              </w:rPr>
            </w:pPr>
            <w:r>
              <w:rPr>
                <w:b/>
                <w:bCs/>
                <w:color w:val="0070C0"/>
                <w:sz w:val="18"/>
                <w:szCs w:val="18"/>
              </w:rPr>
              <w:t> </w:t>
            </w:r>
          </w:p>
        </w:tc>
        <w:tc>
          <w:tcPr>
            <w:tcW w:w="988" w:type="dxa"/>
            <w:tcBorders>
              <w:top w:val="nil"/>
              <w:left w:val="nil"/>
              <w:bottom w:val="double" w:sz="6" w:space="0" w:color="800000"/>
              <w:right w:val="double" w:sz="6" w:space="0" w:color="800000"/>
            </w:tcBorders>
            <w:shd w:val="clear" w:color="000000" w:fill="FFFFCC"/>
            <w:vAlign w:val="bottom"/>
            <w:hideMark/>
          </w:tcPr>
          <w:p w14:paraId="4D763420" w14:textId="77777777" w:rsidR="00677E5F" w:rsidRPr="00E56679" w:rsidRDefault="00677E5F" w:rsidP="005D4BE5">
            <w:pPr>
              <w:jc w:val="right"/>
              <w:rPr>
                <w:b/>
                <w:bCs/>
                <w:color w:val="0070C0"/>
                <w:sz w:val="18"/>
                <w:szCs w:val="18"/>
              </w:rPr>
            </w:pPr>
            <w:r>
              <w:rPr>
                <w:b/>
                <w:bCs/>
                <w:color w:val="0070C0"/>
                <w:sz w:val="18"/>
                <w:szCs w:val="18"/>
              </w:rPr>
              <w:t> </w:t>
            </w:r>
          </w:p>
        </w:tc>
      </w:tr>
    </w:tbl>
    <w:p w14:paraId="748585E1" w14:textId="77777777" w:rsidR="00677E5F" w:rsidRPr="00E56679" w:rsidRDefault="00677E5F" w:rsidP="00677E5F">
      <w:pPr>
        <w:jc w:val="right"/>
        <w:rPr>
          <w:b/>
          <w:color w:val="0070C0"/>
          <w:sz w:val="18"/>
          <w:szCs w:val="18"/>
          <w:lang w:val="en-US"/>
        </w:rPr>
      </w:pPr>
    </w:p>
    <w:p w14:paraId="416DF22A" w14:textId="77777777" w:rsidR="00677E5F" w:rsidRPr="00E56679" w:rsidRDefault="00677E5F" w:rsidP="00677E5F">
      <w:pPr>
        <w:jc w:val="right"/>
        <w:rPr>
          <w:b/>
          <w:color w:val="0070C0"/>
          <w:sz w:val="6"/>
          <w:szCs w:val="18"/>
          <w:lang w:val="en-US"/>
        </w:rPr>
      </w:pPr>
    </w:p>
    <w:p w14:paraId="31EFFE9D" w14:textId="77777777" w:rsidR="00677E5F" w:rsidRPr="00525E72" w:rsidRDefault="00677E5F" w:rsidP="00677E5F">
      <w:pPr>
        <w:jc w:val="both"/>
        <w:rPr>
          <w:i/>
          <w:sz w:val="18"/>
          <w:szCs w:val="18"/>
          <w:lang w:val="ru-RU"/>
        </w:rPr>
      </w:pPr>
      <w:r w:rsidRPr="00525E72">
        <w:rPr>
          <w:i/>
          <w:sz w:val="18"/>
          <w:szCs w:val="18"/>
        </w:rPr>
        <w:t>* В позицията "Резерв за непредвидени и/или неотложни разходи" се отразяват само</w:t>
      </w:r>
      <w:r w:rsidRPr="00525E72">
        <w:rPr>
          <w:i/>
          <w:sz w:val="18"/>
          <w:szCs w:val="18"/>
          <w:lang w:val="ru-RU"/>
        </w:rPr>
        <w:t xml:space="preserve"> </w:t>
      </w:r>
      <w:r w:rsidRPr="00525E72">
        <w:rPr>
          <w:i/>
          <w:sz w:val="18"/>
          <w:szCs w:val="18"/>
        </w:rPr>
        <w:t>разходите по разчет, а средствата, изразходвани за сметка на резерва по отчет са отчетени по съответните разходни позиции, към които се отнасят извършените разходи</w:t>
      </w:r>
    </w:p>
    <w:p w14:paraId="5F07A034" w14:textId="77777777" w:rsidR="00677E5F" w:rsidRPr="00E56679" w:rsidRDefault="00677E5F" w:rsidP="00677E5F">
      <w:pPr>
        <w:tabs>
          <w:tab w:val="left" w:pos="0"/>
          <w:tab w:val="left" w:pos="360"/>
          <w:tab w:val="left" w:pos="1260"/>
        </w:tabs>
        <w:spacing w:after="120"/>
        <w:rPr>
          <w:b/>
          <w:i/>
          <w:color w:val="0070C0"/>
          <w:lang w:val="ru-RU"/>
        </w:rPr>
      </w:pPr>
    </w:p>
    <w:p w14:paraId="4299DC8F" w14:textId="77777777" w:rsidR="00677E5F" w:rsidRPr="004C105A" w:rsidRDefault="00677E5F" w:rsidP="00677E5F">
      <w:pPr>
        <w:tabs>
          <w:tab w:val="left" w:pos="0"/>
          <w:tab w:val="left" w:pos="360"/>
          <w:tab w:val="left" w:pos="1260"/>
        </w:tabs>
        <w:spacing w:after="120"/>
        <w:rPr>
          <w:b/>
          <w:sz w:val="18"/>
          <w:szCs w:val="18"/>
        </w:rPr>
      </w:pPr>
      <w:r w:rsidRPr="004C105A">
        <w:rPr>
          <w:b/>
          <w:i/>
        </w:rPr>
        <w:t>Изпълнение на общите параметри по приходите</w:t>
      </w:r>
    </w:p>
    <w:p w14:paraId="23AF227B" w14:textId="4357B03A" w:rsidR="00677E5F" w:rsidRPr="00254D78" w:rsidRDefault="00677E5F" w:rsidP="00654A69">
      <w:pPr>
        <w:numPr>
          <w:ilvl w:val="0"/>
          <w:numId w:val="15"/>
        </w:numPr>
        <w:tabs>
          <w:tab w:val="clear" w:pos="720"/>
          <w:tab w:val="left" w:pos="426"/>
          <w:tab w:val="num" w:pos="567"/>
        </w:tabs>
        <w:spacing w:before="120" w:after="120"/>
        <w:ind w:left="0" w:firstLine="0"/>
        <w:jc w:val="both"/>
        <w:rPr>
          <w:color w:val="0070C0"/>
          <w:sz w:val="12"/>
          <w:szCs w:val="12"/>
          <w:lang w:val="ru-RU"/>
        </w:rPr>
      </w:pPr>
      <w:r w:rsidRPr="00254D78">
        <w:rPr>
          <w:b/>
        </w:rPr>
        <w:t>Приходите, помощите и даренията по консолидираната фискална програма</w:t>
      </w:r>
      <w:r w:rsidRPr="00BC2CF7">
        <w:t xml:space="preserve"> (КФП) за първото </w:t>
      </w:r>
      <w:r w:rsidRPr="005541C4">
        <w:t xml:space="preserve">полугодие на 2024 г. са в размер на </w:t>
      </w:r>
      <w:r w:rsidRPr="00254D78">
        <w:rPr>
          <w:b/>
          <w:lang w:val="ru-RU"/>
        </w:rPr>
        <w:t>34 495,4</w:t>
      </w:r>
      <w:r w:rsidRPr="00254D78">
        <w:rPr>
          <w:b/>
        </w:rPr>
        <w:t xml:space="preserve"> млн. лв.</w:t>
      </w:r>
      <w:r w:rsidR="00A97B57">
        <w:rPr>
          <w:b/>
        </w:rPr>
        <w:t xml:space="preserve">, </w:t>
      </w:r>
      <w:r w:rsidR="00A97B57" w:rsidRPr="00581CC3">
        <w:t>което представлява 45,</w:t>
      </w:r>
      <w:r w:rsidR="00A97B57" w:rsidRPr="00772219">
        <w:rPr>
          <w:lang w:val="ru-RU"/>
        </w:rPr>
        <w:t>8</w:t>
      </w:r>
      <w:r w:rsidR="00A97B57" w:rsidRPr="00581CC3">
        <w:t> % от годишните разчети към ЗДБРБ за 202</w:t>
      </w:r>
      <w:r w:rsidR="00A97B57" w:rsidRPr="00772219">
        <w:rPr>
          <w:lang w:val="ru-RU"/>
        </w:rPr>
        <w:t>4</w:t>
      </w:r>
      <w:r w:rsidR="00A97B57" w:rsidRPr="00581CC3">
        <w:t> г.</w:t>
      </w:r>
      <w:r w:rsidR="00A97B57" w:rsidRPr="00581CC3">
        <w:rPr>
          <w:rFonts w:eastAsia="Calibri"/>
        </w:rPr>
        <w:t xml:space="preserve"> </w:t>
      </w:r>
      <w:r w:rsidRPr="00254D78">
        <w:rPr>
          <w:rFonts w:eastAsia="Calibri"/>
        </w:rPr>
        <w:t xml:space="preserve">Постъпленията нарастват с 3 090,4 млн. лв. (9,8 %) спрямо отчетените към юни 2023 г. Сравнени със същия период на 2023 г. данъчните приходи нарастват номинално с 2 623,9 млн. лв. (10,7 %), неданъчните приходи намаляват с 329,7 млн. лв. (5,9 %), а постъпленията в частта на помощите и даренията (основно грантове по програмите и фондовете на ЕС) са повече със 796,3 млн. лева. </w:t>
      </w:r>
      <w:r w:rsidRPr="00D36BC2">
        <w:t>Общата сума</w:t>
      </w:r>
      <w:r w:rsidRPr="00254D78">
        <w:rPr>
          <w:lang w:val="ru-RU"/>
        </w:rPr>
        <w:t xml:space="preserve"> </w:t>
      </w:r>
      <w:r w:rsidRPr="00D36BC2">
        <w:t>на</w:t>
      </w:r>
      <w:r w:rsidRPr="00254D78">
        <w:rPr>
          <w:lang w:val="ru-RU"/>
        </w:rPr>
        <w:t xml:space="preserve"> </w:t>
      </w:r>
      <w:r w:rsidRPr="00254D78">
        <w:rPr>
          <w:b/>
          <w:i/>
        </w:rPr>
        <w:t>данъчните постъпления</w:t>
      </w:r>
      <w:r w:rsidRPr="00D36BC2">
        <w:t xml:space="preserve"> (вкл. приходите от осигурителни вноски) за първото полугодие на 2024 г. възлиза на 27 204,5 млн. лв., което представлява 78,9 % от общите постъпления по </w:t>
      </w:r>
      <w:r w:rsidRPr="001F4580">
        <w:t xml:space="preserve">КФП. Приходите в частта на </w:t>
      </w:r>
      <w:r w:rsidRPr="00254D78">
        <w:rPr>
          <w:i/>
          <w:u w:val="single"/>
        </w:rPr>
        <w:t>преките данъци</w:t>
      </w:r>
      <w:r w:rsidRPr="001F4580">
        <w:t xml:space="preserve"> възлизат на 5 418,9 млн. лв., което представлява 42,1 % от </w:t>
      </w:r>
      <w:r w:rsidRPr="00132256">
        <w:t>годишния разчет</w:t>
      </w:r>
      <w:r>
        <w:t xml:space="preserve"> </w:t>
      </w:r>
      <w:r w:rsidRPr="00F4382E">
        <w:t xml:space="preserve">и ръст от </w:t>
      </w:r>
      <w:r w:rsidRPr="00254D78">
        <w:rPr>
          <w:rFonts w:eastAsia="Calibri"/>
        </w:rPr>
        <w:t xml:space="preserve">472,8 млн. лв. </w:t>
      </w:r>
      <w:r w:rsidRPr="00254D78">
        <w:rPr>
          <w:rFonts w:eastAsia="Calibri"/>
          <w:lang w:val="ru-RU"/>
        </w:rPr>
        <w:t>(</w:t>
      </w:r>
      <w:r w:rsidRPr="00254D78">
        <w:rPr>
          <w:rFonts w:eastAsia="Calibri"/>
        </w:rPr>
        <w:t>9,6 %</w:t>
      </w:r>
      <w:r w:rsidRPr="00254D78">
        <w:rPr>
          <w:rFonts w:eastAsia="Calibri"/>
          <w:lang w:val="ru-RU"/>
        </w:rPr>
        <w:t xml:space="preserve">) спрямо </w:t>
      </w:r>
      <w:r w:rsidRPr="00F4382E">
        <w:t>отчетените към юни 2023 г</w:t>
      </w:r>
      <w:r w:rsidRPr="00132256">
        <w:t xml:space="preserve">. Приходите от </w:t>
      </w:r>
      <w:r w:rsidRPr="00254D78">
        <w:rPr>
          <w:i/>
          <w:u w:val="single"/>
        </w:rPr>
        <w:t>косвени данъци</w:t>
      </w:r>
      <w:r w:rsidRPr="00132256">
        <w:t xml:space="preserve"> са в размер на 11 810,8 млн. лв., което представлява 46,3 % от годишния разчет</w:t>
      </w:r>
      <w:r>
        <w:t xml:space="preserve"> </w:t>
      </w:r>
      <w:r w:rsidRPr="00F4382E">
        <w:t>и</w:t>
      </w:r>
      <w:r w:rsidRPr="00254D78">
        <w:rPr>
          <w:bCs/>
        </w:rPr>
        <w:t xml:space="preserve"> ръст от</w:t>
      </w:r>
      <w:r w:rsidRPr="00F4382E">
        <w:t xml:space="preserve"> 1 356,4 млн. лв. </w:t>
      </w:r>
      <w:r w:rsidRPr="00254D78">
        <w:rPr>
          <w:lang w:val="ru-RU"/>
        </w:rPr>
        <w:t>(</w:t>
      </w:r>
      <w:r w:rsidRPr="00F4382E">
        <w:t>13,0 %</w:t>
      </w:r>
      <w:r w:rsidRPr="00254D78">
        <w:rPr>
          <w:lang w:val="ru-RU"/>
        </w:rPr>
        <w:t>)</w:t>
      </w:r>
      <w:r w:rsidRPr="00F4382E">
        <w:t xml:space="preserve"> спрямо отчетените към юни </w:t>
      </w:r>
      <w:r w:rsidRPr="00DD6038">
        <w:t xml:space="preserve">2023 г. Постъпленията </w:t>
      </w:r>
      <w:r w:rsidRPr="00712B74">
        <w:t xml:space="preserve">от </w:t>
      </w:r>
      <w:r w:rsidRPr="00254D78">
        <w:rPr>
          <w:i/>
          <w:u w:val="single"/>
        </w:rPr>
        <w:t xml:space="preserve">други данъци </w:t>
      </w:r>
      <w:r w:rsidRPr="00DD6038">
        <w:t>(включват други данъци по ЗКПО, имуществени данъци и др.) са в размер на 1 276,5 млн. лв.</w:t>
      </w:r>
      <w:r>
        <w:t xml:space="preserve"> </w:t>
      </w:r>
      <w:r w:rsidRPr="00F4382E">
        <w:t>(в т. ч. 229</w:t>
      </w:r>
      <w:r w:rsidRPr="007723B6">
        <w:t>,3 млн. лв. по бюджета на Фонд "Сигурност на електроенергийната система" при 676,6 млн. лв. към юни 2023 г</w:t>
      </w:r>
      <w:r w:rsidRPr="00386889">
        <w:t>.)</w:t>
      </w:r>
      <w:r>
        <w:t xml:space="preserve">, което представлява </w:t>
      </w:r>
      <w:r w:rsidRPr="00DD6038">
        <w:t>68,9 % от разчетите към ЗДБРБ за 2024 г</w:t>
      </w:r>
      <w:r w:rsidRPr="00254D78">
        <w:rPr>
          <w:color w:val="0070C0"/>
        </w:rPr>
        <w:t>.</w:t>
      </w:r>
      <w:r w:rsidR="00254D78">
        <w:t xml:space="preserve"> </w:t>
      </w:r>
      <w:r w:rsidRPr="002720AE">
        <w:t xml:space="preserve">Приходите от </w:t>
      </w:r>
      <w:proofErr w:type="spellStart"/>
      <w:r w:rsidRPr="00254D78">
        <w:rPr>
          <w:b/>
          <w:i/>
        </w:rPr>
        <w:t>социалноосигурителни</w:t>
      </w:r>
      <w:proofErr w:type="spellEnd"/>
      <w:r w:rsidRPr="00254D78">
        <w:rPr>
          <w:b/>
          <w:i/>
        </w:rPr>
        <w:t xml:space="preserve"> и здравни вноски </w:t>
      </w:r>
      <w:r w:rsidRPr="002720AE">
        <w:t>към 30.06.2024 г. са в размер на 8 698,2 млн. лв. или 49,1 % от планираните за годината, като спрямо същия период на предходната година нарастват с 1 238,7 млн. лв</w:t>
      </w:r>
      <w:r>
        <w:t xml:space="preserve">. </w:t>
      </w:r>
      <w:r w:rsidRPr="00254D78">
        <w:rPr>
          <w:rFonts w:eastAsia="Calibri"/>
          <w:lang w:val="ru-RU"/>
        </w:rPr>
        <w:t>(</w:t>
      </w:r>
      <w:r w:rsidRPr="00254D78">
        <w:rPr>
          <w:rFonts w:eastAsia="Calibri"/>
        </w:rPr>
        <w:t>16,6 %</w:t>
      </w:r>
      <w:r w:rsidRPr="00254D78">
        <w:rPr>
          <w:rFonts w:eastAsia="Calibri"/>
          <w:lang w:val="ru-RU"/>
        </w:rPr>
        <w:t>)</w:t>
      </w:r>
      <w:r w:rsidRPr="002720AE">
        <w:t>.</w:t>
      </w:r>
    </w:p>
    <w:p w14:paraId="10CA9BEF" w14:textId="629F3597" w:rsidR="00677E5F" w:rsidRPr="004801C8" w:rsidRDefault="00677E5F" w:rsidP="00677E5F">
      <w:pPr>
        <w:spacing w:after="120"/>
        <w:jc w:val="both"/>
        <w:rPr>
          <w:sz w:val="12"/>
          <w:szCs w:val="12"/>
          <w:lang w:val="ru-RU"/>
        </w:rPr>
      </w:pPr>
      <w:r w:rsidRPr="004801C8">
        <w:t>Постъпилите</w:t>
      </w:r>
      <w:r w:rsidRPr="004801C8">
        <w:rPr>
          <w:b/>
          <w:i/>
        </w:rPr>
        <w:t xml:space="preserve"> неданъчни приходи</w:t>
      </w:r>
      <w:r w:rsidRPr="004801C8">
        <w:rPr>
          <w:b/>
          <w:i/>
          <w:lang w:val="ru-RU"/>
        </w:rPr>
        <w:t xml:space="preserve"> </w:t>
      </w:r>
      <w:r w:rsidRPr="004801C8">
        <w:t xml:space="preserve">към 30.06.2024 г. са в размер на </w:t>
      </w:r>
      <w:r w:rsidRPr="004801C8">
        <w:rPr>
          <w:b/>
        </w:rPr>
        <w:t>5 291,3 млн. лв.,</w:t>
      </w:r>
      <w:r w:rsidRPr="004801C8">
        <w:t xml:space="preserve"> което представлява 51,6 % изпълнение на годишните разчети.</w:t>
      </w:r>
      <w:r>
        <w:t xml:space="preserve"> </w:t>
      </w:r>
      <w:r w:rsidRPr="00386889">
        <w:rPr>
          <w:rFonts w:eastAsia="Calibri"/>
          <w:bCs/>
        </w:rPr>
        <w:t xml:space="preserve">Неданъчните приходи се формират основно от приходи от държавни, общински и съдебни такси, приходи и доходи от </w:t>
      </w:r>
      <w:r w:rsidRPr="00B650C0">
        <w:rPr>
          <w:rFonts w:eastAsia="Calibri"/>
          <w:bCs/>
        </w:rPr>
        <w:t>собственост, приходи от концесии, приходи от продажба на квоти за емисии на парникови газове и други</w:t>
      </w:r>
      <w:r w:rsidRPr="00B650C0">
        <w:rPr>
          <w:rFonts w:eastAsia="Calibri"/>
        </w:rPr>
        <w:t xml:space="preserve">. В сравнение с предходната година тези приходи намаляват с 329,7 млн. лв. (5,9 %) </w:t>
      </w:r>
      <w:r w:rsidRPr="00B650C0">
        <w:t>основно поради спад при постъпленията от продажба на квоти за емисии на парникови газове по бюджета на ФСЕС и приходи от дивидент за държавата от държавни предприятия.</w:t>
      </w:r>
    </w:p>
    <w:p w14:paraId="47CCCBBB" w14:textId="77777777" w:rsidR="00677E5F" w:rsidRPr="00872C17" w:rsidRDefault="00677E5F" w:rsidP="00677E5F">
      <w:pPr>
        <w:jc w:val="both"/>
      </w:pPr>
      <w:r w:rsidRPr="00872C17">
        <w:t>Постъпилите</w:t>
      </w:r>
      <w:r w:rsidRPr="00872C17">
        <w:rPr>
          <w:b/>
          <w:i/>
        </w:rPr>
        <w:t xml:space="preserve"> помощи</w:t>
      </w:r>
      <w:r w:rsidRPr="00872C17">
        <w:rPr>
          <w:b/>
          <w:i/>
          <w:lang w:val="ru-RU"/>
        </w:rPr>
        <w:t xml:space="preserve"> </w:t>
      </w:r>
      <w:r w:rsidRPr="00872C17">
        <w:rPr>
          <w:b/>
          <w:i/>
        </w:rPr>
        <w:t xml:space="preserve">и дарения </w:t>
      </w:r>
      <w:r w:rsidRPr="00872C17">
        <w:t>от страната и чужбина</w:t>
      </w:r>
      <w:r w:rsidRPr="00872C17">
        <w:rPr>
          <w:lang w:val="ru-RU"/>
        </w:rPr>
        <w:t xml:space="preserve"> </w:t>
      </w:r>
      <w:r w:rsidRPr="00872C17">
        <w:t xml:space="preserve">(вкл. помощите от фондовете на ЕС) са в размер на </w:t>
      </w:r>
      <w:r w:rsidRPr="00872C17">
        <w:rPr>
          <w:b/>
          <w:lang w:val="ru-RU"/>
        </w:rPr>
        <w:t>1 999,6</w:t>
      </w:r>
      <w:r w:rsidRPr="00872C17">
        <w:rPr>
          <w:b/>
        </w:rPr>
        <w:t xml:space="preserve"> млн. лв.</w:t>
      </w:r>
      <w:r w:rsidRPr="00872C17">
        <w:t>, което представлява 28,2 % от годишния разчет</w:t>
      </w:r>
      <w:r w:rsidRPr="00872C17">
        <w:rPr>
          <w:bCs/>
        </w:rPr>
        <w:t>.</w:t>
      </w:r>
    </w:p>
    <w:p w14:paraId="16B0AFB6" w14:textId="77777777" w:rsidR="00677E5F" w:rsidRPr="00E56679" w:rsidRDefault="00677E5F" w:rsidP="00677E5F">
      <w:pPr>
        <w:jc w:val="both"/>
        <w:rPr>
          <w:color w:val="0070C0"/>
          <w:sz w:val="12"/>
          <w:szCs w:val="12"/>
        </w:rPr>
      </w:pPr>
    </w:p>
    <w:p w14:paraId="13518660" w14:textId="77777777" w:rsidR="00677E5F" w:rsidRPr="002E0F20" w:rsidRDefault="00677E5F" w:rsidP="00677E5F">
      <w:pPr>
        <w:tabs>
          <w:tab w:val="left" w:pos="0"/>
          <w:tab w:val="left" w:pos="360"/>
          <w:tab w:val="left" w:pos="1260"/>
        </w:tabs>
        <w:spacing w:after="120"/>
        <w:jc w:val="both"/>
      </w:pPr>
      <w:r w:rsidRPr="002E0F20">
        <w:t>Основните приходни групи за първото полугодие на 2024 г., съпоставени с постъпленията за същия период на предходната година, са както следва:</w:t>
      </w:r>
    </w:p>
    <w:p w14:paraId="1B2DF621" w14:textId="04D67A4E" w:rsidR="00654A69" w:rsidRPr="00E56679" w:rsidRDefault="000854C1" w:rsidP="00677E5F">
      <w:pPr>
        <w:tabs>
          <w:tab w:val="left" w:pos="0"/>
          <w:tab w:val="left" w:pos="360"/>
          <w:tab w:val="left" w:pos="1260"/>
        </w:tabs>
        <w:spacing w:after="120"/>
        <w:jc w:val="both"/>
        <w:rPr>
          <w:color w:val="0070C0"/>
        </w:rPr>
      </w:pPr>
      <w:r>
        <w:rPr>
          <w:noProof/>
          <w:color w:val="0070C0"/>
        </w:rPr>
        <w:drawing>
          <wp:inline distT="0" distB="0" distL="0" distR="0" wp14:anchorId="249DC6AE" wp14:editId="35EDF4D6">
            <wp:extent cx="5316220" cy="2676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6220" cy="2676525"/>
                    </a:xfrm>
                    <a:prstGeom prst="rect">
                      <a:avLst/>
                    </a:prstGeom>
                    <a:noFill/>
                  </pic:spPr>
                </pic:pic>
              </a:graphicData>
            </a:graphic>
          </wp:inline>
        </w:drawing>
      </w:r>
    </w:p>
    <w:p w14:paraId="6A35B786" w14:textId="77777777" w:rsidR="00FB0A10" w:rsidRDefault="00FB0A10" w:rsidP="00677E5F">
      <w:pPr>
        <w:jc w:val="both"/>
        <w:rPr>
          <w:b/>
          <w:i/>
        </w:rPr>
      </w:pPr>
    </w:p>
    <w:p w14:paraId="2E536B2B" w14:textId="77777777" w:rsidR="00677E5F" w:rsidRPr="00C700B1" w:rsidRDefault="00677E5F" w:rsidP="00677E5F">
      <w:pPr>
        <w:jc w:val="both"/>
        <w:rPr>
          <w:b/>
          <w:i/>
        </w:rPr>
      </w:pPr>
      <w:r w:rsidRPr="00C700B1">
        <w:rPr>
          <w:b/>
          <w:i/>
        </w:rPr>
        <w:t>Изпълнение на общите параметри по разходите</w:t>
      </w:r>
    </w:p>
    <w:p w14:paraId="51430C7D" w14:textId="77777777" w:rsidR="00677E5F" w:rsidRPr="00E56679" w:rsidRDefault="00677E5F" w:rsidP="00677E5F">
      <w:pPr>
        <w:jc w:val="both"/>
        <w:rPr>
          <w:color w:val="0070C0"/>
          <w:sz w:val="16"/>
          <w:szCs w:val="16"/>
        </w:rPr>
      </w:pPr>
    </w:p>
    <w:p w14:paraId="1442F646" w14:textId="77777777" w:rsidR="00677E5F" w:rsidRPr="00C700B1" w:rsidRDefault="00677E5F" w:rsidP="00677E5F">
      <w:pPr>
        <w:numPr>
          <w:ilvl w:val="1"/>
          <w:numId w:val="11"/>
        </w:numPr>
        <w:tabs>
          <w:tab w:val="num" w:pos="426"/>
        </w:tabs>
        <w:spacing w:after="120"/>
        <w:ind w:left="0" w:firstLine="0"/>
        <w:jc w:val="both"/>
        <w:rPr>
          <w:sz w:val="12"/>
          <w:szCs w:val="12"/>
        </w:rPr>
      </w:pPr>
      <w:r w:rsidRPr="00C700B1">
        <w:rPr>
          <w:b/>
        </w:rPr>
        <w:t xml:space="preserve">Разходите по консолидираната фискална програма </w:t>
      </w:r>
      <w:r w:rsidRPr="00C700B1">
        <w:t>(вкл. вноската на Република България в общия бюджет на ЕС) за първото полугодие на 202</w:t>
      </w:r>
      <w:r w:rsidRPr="00C700B1">
        <w:rPr>
          <w:lang w:val="ru-RU"/>
        </w:rPr>
        <w:t>4</w:t>
      </w:r>
      <w:r w:rsidRPr="00C700B1">
        <w:t> г.</w:t>
      </w:r>
      <w:r w:rsidRPr="00C700B1">
        <w:rPr>
          <w:b/>
        </w:rPr>
        <w:t xml:space="preserve"> са в размер на </w:t>
      </w:r>
      <w:r w:rsidRPr="00C700B1">
        <w:rPr>
          <w:b/>
          <w:lang w:val="ru-RU"/>
        </w:rPr>
        <w:t>35 091,3</w:t>
      </w:r>
      <w:r w:rsidRPr="00C700B1">
        <w:rPr>
          <w:b/>
        </w:rPr>
        <w:t xml:space="preserve"> млн. лв., </w:t>
      </w:r>
      <w:r w:rsidRPr="00C700B1">
        <w:t xml:space="preserve">което представлява 43,1 % от годишния разчет. </w:t>
      </w:r>
    </w:p>
    <w:p w14:paraId="67EE8D41" w14:textId="33010533" w:rsidR="00677E5F" w:rsidRPr="00E56679" w:rsidRDefault="00677E5F" w:rsidP="00677E5F">
      <w:pPr>
        <w:spacing w:after="120"/>
        <w:jc w:val="both"/>
        <w:rPr>
          <w:rFonts w:eastAsia="Calibri"/>
          <w:color w:val="0070C0"/>
        </w:rPr>
      </w:pPr>
      <w:r w:rsidRPr="008C2710">
        <w:rPr>
          <w:rFonts w:eastAsia="Calibri"/>
        </w:rPr>
        <w:t xml:space="preserve">Съпоставени със същия период на предходната година, разходите и вноската в общия бюджет на ЕС нарастват номинално с 3 860,8 млн. лв. (12,4 на сто), </w:t>
      </w:r>
      <w:r w:rsidRPr="001E14F1">
        <w:rPr>
          <w:rFonts w:eastAsia="Calibri"/>
        </w:rPr>
        <w:t xml:space="preserve">което се дължи основно на по-високия размер на разходите по националния бюджет. </w:t>
      </w:r>
      <w:r w:rsidRPr="00E73C68">
        <w:rPr>
          <w:rFonts w:eastAsia="Calibri"/>
          <w:lang w:val="ru-RU"/>
        </w:rPr>
        <w:t>През м</w:t>
      </w:r>
      <w:r>
        <w:rPr>
          <w:rFonts w:eastAsia="Calibri"/>
          <w:lang w:val="ru-RU"/>
        </w:rPr>
        <w:t>есец</w:t>
      </w:r>
      <w:r w:rsidRPr="00E73C68">
        <w:rPr>
          <w:rFonts w:eastAsia="Calibri"/>
          <w:lang w:val="ru-RU"/>
        </w:rPr>
        <w:t xml:space="preserve"> февруари 2024 г. в изпълнение на чл. 71, ал.1 от Постановление № 13 на Министерския съвет от 2024 г. от сметката за чужди средства по бюджета на Министерството на регионалното развитие и благоустройството </w:t>
      </w:r>
      <w:r w:rsidRPr="00153C68">
        <w:rPr>
          <w:rFonts w:eastAsia="Calibri"/>
          <w:lang w:val="ru-RU"/>
        </w:rPr>
        <w:t>(</w:t>
      </w:r>
      <w:r w:rsidRPr="00E73C68">
        <w:rPr>
          <w:rFonts w:eastAsia="Calibri"/>
        </w:rPr>
        <w:t>МРРБ</w:t>
      </w:r>
      <w:r w:rsidRPr="00153C68">
        <w:rPr>
          <w:rFonts w:eastAsia="Calibri"/>
          <w:lang w:val="ru-RU"/>
        </w:rPr>
        <w:t xml:space="preserve">) </w:t>
      </w:r>
      <w:r w:rsidRPr="00E73C68">
        <w:rPr>
          <w:rFonts w:eastAsia="Calibri"/>
          <w:lang w:val="ru-RU"/>
        </w:rPr>
        <w:t xml:space="preserve">бяха възстановени средства в общ размер на 1 200,0 млн. лв. </w:t>
      </w:r>
      <w:r w:rsidR="000B5F0B" w:rsidRPr="000B5F0B">
        <w:rPr>
          <w:rFonts w:eastAsia="Calibri"/>
          <w:lang w:val="ru-RU"/>
        </w:rPr>
        <w:t>В хода на изпълнението на бюджета за 2024 г. тези средства се предоставят с акт на Министерския съвет на базата на подписани споразумения с МРРБ като трансфери за общините за финансиране на Инвестиционната програма по реда на чл. 107 от ЗДБРБ за 2024 г., по реда на чл. 106 от ЗДБРБ за 2024 г. и други.</w:t>
      </w:r>
      <w:r w:rsidRPr="00E73C68">
        <w:rPr>
          <w:rFonts w:eastAsia="Calibri"/>
          <w:lang w:val="ru-RU"/>
        </w:rPr>
        <w:t xml:space="preserve"> При елиминирането на тази трансакция, с оглед съпоставимост с предходната година, разходите към края на юни 2024 г. са </w:t>
      </w:r>
      <w:r w:rsidRPr="008E7F66">
        <w:rPr>
          <w:rFonts w:eastAsia="Calibri"/>
          <w:lang w:val="ru-RU"/>
        </w:rPr>
        <w:t>36 291,3</w:t>
      </w:r>
      <w:r w:rsidRPr="00E73C68">
        <w:rPr>
          <w:rFonts w:eastAsia="Calibri"/>
          <w:lang w:val="ru-RU"/>
        </w:rPr>
        <w:t xml:space="preserve"> млн. лв. при 31 230,</w:t>
      </w:r>
      <w:r w:rsidRPr="00153C68">
        <w:rPr>
          <w:rFonts w:eastAsia="Calibri"/>
          <w:lang w:val="ru-RU"/>
        </w:rPr>
        <w:t>6</w:t>
      </w:r>
      <w:r w:rsidRPr="00E73C68">
        <w:rPr>
          <w:rFonts w:eastAsia="Calibri"/>
          <w:lang w:val="ru-RU"/>
        </w:rPr>
        <w:t xml:space="preserve"> млн. лв. за първите шест месеца на 2023 г. В отделните разходни показатели нарастване има при социалните разходи, вследствие на изплатените по-високи пенсии след влязлото в сила увеличение от юли 2023 г., както и при разходите за персонал, след увеличението на възнагражденията на педагогическия персонал и при други </w:t>
      </w:r>
      <w:r w:rsidRPr="00CA6EDD">
        <w:rPr>
          <w:rFonts w:eastAsia="Calibri"/>
          <w:lang w:val="ru-RU"/>
        </w:rPr>
        <w:t>администрации с</w:t>
      </w:r>
      <w:r>
        <w:rPr>
          <w:rFonts w:eastAsia="Calibri"/>
          <w:lang w:val="ru-RU"/>
        </w:rPr>
        <w:t>ъс</w:t>
      </w:r>
      <w:r w:rsidRPr="00CA6EDD">
        <w:rPr>
          <w:rFonts w:eastAsia="Calibri"/>
          <w:lang w:val="ru-RU"/>
        </w:rPr>
        <w:t xml:space="preserve"> ЗДБРБ за 2023 г. и ЗДБРБ за 2024 г., и други</w:t>
      </w:r>
      <w:r>
        <w:rPr>
          <w:rFonts w:eastAsia="Calibri"/>
          <w:lang w:val="ru-RU"/>
        </w:rPr>
        <w:t xml:space="preserve">. </w:t>
      </w:r>
    </w:p>
    <w:p w14:paraId="0951AAAD" w14:textId="4CC3B0A1" w:rsidR="00D90A86" w:rsidRPr="00E56679" w:rsidRDefault="00D90A86" w:rsidP="00D90A86">
      <w:pPr>
        <w:tabs>
          <w:tab w:val="num" w:pos="2880"/>
        </w:tabs>
        <w:spacing w:after="120"/>
        <w:jc w:val="both"/>
        <w:rPr>
          <w:color w:val="0070C0"/>
        </w:rPr>
      </w:pPr>
      <w:r w:rsidRPr="001254EB">
        <w:rPr>
          <w:b/>
          <w:i/>
        </w:rPr>
        <w:t>Нелихвените разходи</w:t>
      </w:r>
      <w:r w:rsidRPr="001254EB">
        <w:t xml:space="preserve"> </w:t>
      </w:r>
      <w:r w:rsidRPr="00153C68">
        <w:rPr>
          <w:rFonts w:eastAsia="Calibri"/>
          <w:bCs/>
          <w:lang w:val="ru-RU"/>
        </w:rPr>
        <w:t>(</w:t>
      </w:r>
      <w:r w:rsidRPr="00CA6EDD">
        <w:rPr>
          <w:rFonts w:eastAsia="Calibri"/>
          <w:bCs/>
        </w:rPr>
        <w:t>на съпоставима база</w:t>
      </w:r>
      <w:r w:rsidRPr="00153C68">
        <w:rPr>
          <w:rFonts w:eastAsia="Calibri"/>
          <w:bCs/>
          <w:lang w:val="ru-RU"/>
        </w:rPr>
        <w:t xml:space="preserve">) </w:t>
      </w:r>
      <w:r w:rsidRPr="001254EB">
        <w:t xml:space="preserve">са в размер на </w:t>
      </w:r>
      <w:r>
        <w:t>35 0</w:t>
      </w:r>
      <w:r w:rsidRPr="001254EB">
        <w:t xml:space="preserve">80,6 млн. лв., което представлява </w:t>
      </w:r>
      <w:r>
        <w:t>45,1</w:t>
      </w:r>
      <w:r w:rsidRPr="001254EB">
        <w:t xml:space="preserve"> % от годишния </w:t>
      </w:r>
      <w:r w:rsidRPr="0019173C">
        <w:t xml:space="preserve">разчет. </w:t>
      </w:r>
      <w:r w:rsidRPr="0019173C">
        <w:rPr>
          <w:i/>
        </w:rPr>
        <w:t>Текущите нелихвени разходи</w:t>
      </w:r>
      <w:r w:rsidRPr="0019173C">
        <w:t xml:space="preserve"> към юни 202</w:t>
      </w:r>
      <w:r>
        <w:t>4</w:t>
      </w:r>
      <w:r w:rsidRPr="0019173C">
        <w:t xml:space="preserve"> г. са в размер на 31 981,4 млн. лв. </w:t>
      </w:r>
      <w:r w:rsidRPr="00B37285">
        <w:rPr>
          <w:i/>
        </w:rPr>
        <w:t>Капиталовите разходи</w:t>
      </w:r>
      <w:r w:rsidRPr="00B37285">
        <w:t xml:space="preserve"> (вкл. нетния прираст на държавния резерв</w:t>
      </w:r>
      <w:r w:rsidRPr="00B37285">
        <w:rPr>
          <w:rFonts w:eastAsia="Calibri"/>
          <w:bCs/>
          <w:lang w:eastAsia="en-US"/>
        </w:rPr>
        <w:t xml:space="preserve"> и елиминиране на 1 200 млн. лв. възстановен разход в изпълнение на ПМС №13/2024 г.</w:t>
      </w:r>
      <w:r w:rsidRPr="00B37285">
        <w:t xml:space="preserve">) възлизат </w:t>
      </w:r>
      <w:r w:rsidRPr="00866B13">
        <w:t xml:space="preserve">на 3 080,3 млн. лв. </w:t>
      </w:r>
      <w:r w:rsidRPr="00866B13">
        <w:rPr>
          <w:i/>
        </w:rPr>
        <w:t>Предоставените текущи и капиталови трансфери за чужбина</w:t>
      </w:r>
      <w:r w:rsidRPr="00866B13">
        <w:t xml:space="preserve"> са в размер на 19,2</w:t>
      </w:r>
      <w:r>
        <w:t> </w:t>
      </w:r>
      <w:r w:rsidRPr="00866B13">
        <w:t xml:space="preserve">млн. лв. </w:t>
      </w:r>
      <w:r w:rsidRPr="00866B13">
        <w:rPr>
          <w:b/>
          <w:i/>
        </w:rPr>
        <w:t>Лихвените плащания</w:t>
      </w:r>
      <w:r w:rsidRPr="00866B13">
        <w:t xml:space="preserve"> са в размер на 497,2 млн. лв. (49,2 % от планираните за 202</w:t>
      </w:r>
      <w:r>
        <w:t>4</w:t>
      </w:r>
      <w:r w:rsidRPr="00866B13">
        <w:t xml:space="preserve"> г.).</w:t>
      </w:r>
    </w:p>
    <w:p w14:paraId="3CAEEF70" w14:textId="77777777" w:rsidR="00677E5F" w:rsidRPr="006608E4" w:rsidRDefault="00677E5F" w:rsidP="00677E5F">
      <w:pPr>
        <w:pStyle w:val="ListParagraph"/>
        <w:numPr>
          <w:ilvl w:val="0"/>
          <w:numId w:val="30"/>
        </w:numPr>
        <w:tabs>
          <w:tab w:val="left" w:pos="0"/>
          <w:tab w:val="left" w:pos="426"/>
        </w:tabs>
        <w:spacing w:before="120"/>
        <w:ind w:left="0" w:firstLine="0"/>
        <w:jc w:val="both"/>
      </w:pPr>
      <w:r w:rsidRPr="006608E4">
        <w:rPr>
          <w:rFonts w:ascii="Times New Roman" w:hAnsi="Times New Roman"/>
          <w:b/>
          <w:sz w:val="24"/>
          <w:szCs w:val="24"/>
        </w:rPr>
        <w:t>Частта от вноската на Република България в общия бюджет на ЕС</w:t>
      </w:r>
      <w:r w:rsidRPr="006608E4">
        <w:rPr>
          <w:rFonts w:ascii="Times New Roman" w:hAnsi="Times New Roman"/>
          <w:sz w:val="24"/>
          <w:szCs w:val="24"/>
        </w:rPr>
        <w:t xml:space="preserve">, изплатена към 30.06.2024 г. от централния бюджет, възлиза на </w:t>
      </w:r>
      <w:r w:rsidRPr="006608E4">
        <w:rPr>
          <w:rFonts w:ascii="Times New Roman" w:hAnsi="Times New Roman"/>
          <w:b/>
          <w:sz w:val="24"/>
          <w:szCs w:val="24"/>
        </w:rPr>
        <w:t xml:space="preserve">713,5 </w:t>
      </w:r>
      <w:r w:rsidRPr="006608E4">
        <w:rPr>
          <w:rFonts w:ascii="Times New Roman" w:hAnsi="Times New Roman"/>
          <w:sz w:val="24"/>
          <w:szCs w:val="24"/>
        </w:rPr>
        <w:t xml:space="preserve">млн. лв., </w:t>
      </w:r>
      <w:r w:rsidRPr="006608E4">
        <w:rPr>
          <w:rFonts w:ascii="Times New Roman" w:eastAsia="Calibri" w:hAnsi="Times New Roman" w:cs="Times New Roman"/>
          <w:bCs/>
          <w:sz w:val="24"/>
          <w:szCs w:val="24"/>
        </w:rPr>
        <w:t xml:space="preserve">което е в изпълнение на действащото към момента законодателство в областта на собствените ресурси на ЕС. </w:t>
      </w:r>
    </w:p>
    <w:p w14:paraId="1E2461AC" w14:textId="77777777" w:rsidR="00677E5F" w:rsidRPr="00E56679" w:rsidRDefault="00677E5F" w:rsidP="00677E5F">
      <w:pPr>
        <w:numPr>
          <w:ilvl w:val="1"/>
          <w:numId w:val="10"/>
        </w:numPr>
        <w:tabs>
          <w:tab w:val="num" w:pos="426"/>
        </w:tabs>
        <w:spacing w:before="120" w:after="240"/>
        <w:ind w:left="0" w:firstLine="0"/>
        <w:jc w:val="both"/>
        <w:rPr>
          <w:color w:val="0070C0"/>
          <w:lang w:eastAsia="en-US"/>
        </w:rPr>
      </w:pPr>
      <w:r w:rsidRPr="001C11F7">
        <w:rPr>
          <w:b/>
          <w:bCs/>
          <w:lang w:eastAsia="en-US"/>
        </w:rPr>
        <w:t xml:space="preserve">Бюджетното салдо по КФП </w:t>
      </w:r>
      <w:r w:rsidRPr="001C11F7">
        <w:rPr>
          <w:bCs/>
          <w:lang w:eastAsia="en-US"/>
        </w:rPr>
        <w:t xml:space="preserve">за първото полугодие на 2024 г. </w:t>
      </w:r>
      <w:r w:rsidRPr="001C11F7">
        <w:rPr>
          <w:b/>
          <w:bCs/>
          <w:lang w:eastAsia="en-US"/>
        </w:rPr>
        <w:t xml:space="preserve">е </w:t>
      </w:r>
      <w:r w:rsidRPr="001C11F7">
        <w:rPr>
          <w:b/>
          <w:bCs/>
        </w:rPr>
        <w:t>отрицателно</w:t>
      </w:r>
      <w:r w:rsidRPr="001C11F7">
        <w:rPr>
          <w:bCs/>
        </w:rPr>
        <w:t xml:space="preserve"> </w:t>
      </w:r>
      <w:r w:rsidRPr="001C11F7">
        <w:rPr>
          <w:bCs/>
          <w:lang w:eastAsia="en-US"/>
        </w:rPr>
        <w:t xml:space="preserve">в размер </w:t>
      </w:r>
      <w:r w:rsidRPr="00385389">
        <w:rPr>
          <w:bCs/>
          <w:lang w:eastAsia="en-US"/>
        </w:rPr>
        <w:t>на</w:t>
      </w:r>
      <w:r w:rsidRPr="001C11F7">
        <w:rPr>
          <w:b/>
          <w:bCs/>
          <w:lang w:eastAsia="en-US"/>
        </w:rPr>
        <w:t xml:space="preserve"> </w:t>
      </w:r>
      <w:r w:rsidRPr="00FC32FA">
        <w:rPr>
          <w:b/>
          <w:bCs/>
          <w:lang w:eastAsia="en-US"/>
        </w:rPr>
        <w:t>595,9 млн. лв.</w:t>
      </w:r>
      <w:r w:rsidRPr="00FC32FA">
        <w:rPr>
          <w:bCs/>
          <w:lang w:eastAsia="en-US"/>
        </w:rPr>
        <w:t xml:space="preserve"> </w:t>
      </w:r>
      <w:r w:rsidRPr="00FC32FA">
        <w:t xml:space="preserve">(0,3 % от прогнозния БВП) </w:t>
      </w:r>
      <w:r w:rsidRPr="00FC32FA">
        <w:rPr>
          <w:bCs/>
          <w:lang w:eastAsia="en-US"/>
        </w:rPr>
        <w:t>и се формира от дефицит по националния бюджет в размер на 1 367,6 млн. лв. и превишение на приходите над разходите по европейските средства в размер на 771,7 млн. лева.</w:t>
      </w:r>
      <w:r w:rsidRPr="00FC32FA">
        <w:rPr>
          <w:rFonts w:eastAsia="Calibri"/>
        </w:rPr>
        <w:t xml:space="preserve"> </w:t>
      </w:r>
    </w:p>
    <w:p w14:paraId="74C3CFFC" w14:textId="77777777" w:rsidR="00677E5F" w:rsidRPr="00E56679" w:rsidRDefault="00677E5F" w:rsidP="00677E5F">
      <w:pPr>
        <w:numPr>
          <w:ilvl w:val="1"/>
          <w:numId w:val="10"/>
        </w:numPr>
        <w:tabs>
          <w:tab w:val="num" w:pos="426"/>
        </w:tabs>
        <w:spacing w:after="240"/>
        <w:ind w:left="0" w:firstLine="0"/>
        <w:jc w:val="both"/>
        <w:rPr>
          <w:color w:val="0070C0"/>
          <w:lang w:eastAsia="en-US"/>
        </w:rPr>
      </w:pPr>
      <w:r w:rsidRPr="00662B46">
        <w:rPr>
          <w:b/>
          <w:szCs w:val="28"/>
        </w:rPr>
        <w:t>Общият размер</w:t>
      </w:r>
      <w:r w:rsidRPr="00662B46">
        <w:rPr>
          <w:bCs/>
          <w:sz w:val="22"/>
        </w:rPr>
        <w:t xml:space="preserve"> </w:t>
      </w:r>
      <w:r w:rsidRPr="00662B46">
        <w:rPr>
          <w:b/>
          <w:bCs/>
          <w:szCs w:val="28"/>
        </w:rPr>
        <w:t>на касовите постъпления от ЕС</w:t>
      </w:r>
      <w:r w:rsidRPr="00662B46">
        <w:rPr>
          <w:bCs/>
          <w:szCs w:val="28"/>
        </w:rPr>
        <w:t xml:space="preserve"> (от Структурните и Кохезионния фондове, от</w:t>
      </w:r>
      <w:r w:rsidRPr="00662B46">
        <w:rPr>
          <w:szCs w:val="28"/>
        </w:rPr>
        <w:t xml:space="preserve"> ЕЗФРСР и ЕФМДР</w:t>
      </w:r>
      <w:r w:rsidRPr="00662B46">
        <w:rPr>
          <w:bCs/>
          <w:szCs w:val="28"/>
        </w:rPr>
        <w:t xml:space="preserve">, от средства за директни плащания към земеделските производители и плащания по пазарни мерки и др.) за </w:t>
      </w:r>
      <w:r w:rsidRPr="00662B46">
        <w:t>първото полугодие на 2024 </w:t>
      </w:r>
      <w:r w:rsidRPr="00662B46">
        <w:rPr>
          <w:bCs/>
          <w:szCs w:val="28"/>
        </w:rPr>
        <w:t xml:space="preserve"> г. е </w:t>
      </w:r>
      <w:r w:rsidRPr="00662B46">
        <w:rPr>
          <w:b/>
          <w:bCs/>
          <w:szCs w:val="28"/>
        </w:rPr>
        <w:t>2 781,0 млн. лв.</w:t>
      </w:r>
      <w:r w:rsidRPr="00662B46">
        <w:rPr>
          <w:b/>
          <w:szCs w:val="28"/>
        </w:rPr>
        <w:t xml:space="preserve"> </w:t>
      </w:r>
      <w:r w:rsidRPr="00662B46">
        <w:rPr>
          <w:b/>
          <w:bCs/>
          <w:szCs w:val="28"/>
        </w:rPr>
        <w:t xml:space="preserve">Нетните постъпления от ЕС към 30.06.2024 г. </w:t>
      </w:r>
      <w:r w:rsidRPr="00662B46">
        <w:rPr>
          <w:bCs/>
          <w:szCs w:val="28"/>
        </w:rPr>
        <w:t xml:space="preserve">(касови постъпления от ЕС, намалени с вноската в общия бюджет на ЕС) са положителни в размер на </w:t>
      </w:r>
      <w:r w:rsidRPr="00662B46">
        <w:rPr>
          <w:b/>
          <w:bCs/>
          <w:szCs w:val="28"/>
        </w:rPr>
        <w:t>2 067,5 млн. лева</w:t>
      </w:r>
      <w:r w:rsidRPr="00E56679">
        <w:rPr>
          <w:color w:val="0070C0"/>
          <w:lang w:eastAsia="en-US"/>
        </w:rPr>
        <w:t>.</w:t>
      </w:r>
    </w:p>
    <w:p w14:paraId="170EE1D9" w14:textId="77777777" w:rsidR="00677E5F" w:rsidRPr="00BE18F3" w:rsidRDefault="00677E5F" w:rsidP="00677E5F">
      <w:pPr>
        <w:pStyle w:val="ListParagraph"/>
        <w:numPr>
          <w:ilvl w:val="0"/>
          <w:numId w:val="29"/>
        </w:numPr>
        <w:tabs>
          <w:tab w:val="left" w:pos="426"/>
        </w:tabs>
        <w:ind w:left="0" w:firstLine="0"/>
        <w:jc w:val="both"/>
        <w:rPr>
          <w:rFonts w:ascii="Times New Roman" w:hAnsi="Times New Roman" w:cs="Times New Roman"/>
          <w:bCs/>
          <w:sz w:val="24"/>
          <w:szCs w:val="24"/>
        </w:rPr>
      </w:pPr>
      <w:r w:rsidRPr="00BE18F3">
        <w:rPr>
          <w:rFonts w:ascii="Times New Roman" w:hAnsi="Times New Roman" w:cs="Times New Roman"/>
          <w:b/>
          <w:bCs/>
          <w:sz w:val="24"/>
          <w:szCs w:val="24"/>
        </w:rPr>
        <w:t>Фискалният резерв</w:t>
      </w:r>
      <w:r w:rsidRPr="00BE18F3">
        <w:rPr>
          <w:rFonts w:ascii="Times New Roman" w:hAnsi="Times New Roman" w:cs="Times New Roman"/>
          <w:b/>
          <w:sz w:val="24"/>
          <w:szCs w:val="24"/>
          <w:vertAlign w:val="superscript"/>
        </w:rPr>
        <w:footnoteReference w:id="4"/>
      </w:r>
      <w:r w:rsidRPr="00BE18F3">
        <w:rPr>
          <w:rFonts w:ascii="Times New Roman" w:hAnsi="Times New Roman" w:cs="Times New Roman"/>
          <w:bCs/>
          <w:sz w:val="24"/>
          <w:szCs w:val="24"/>
        </w:rPr>
        <w:t xml:space="preserve"> към 30.06.2024 г. е в размер на </w:t>
      </w:r>
      <w:r w:rsidRPr="00BE18F3">
        <w:rPr>
          <w:rFonts w:ascii="Times New Roman" w:hAnsi="Times New Roman" w:cs="Times New Roman"/>
          <w:b/>
          <w:bCs/>
          <w:sz w:val="24"/>
          <w:szCs w:val="24"/>
        </w:rPr>
        <w:t>11 303,1 млн. лв.</w:t>
      </w:r>
      <w:r w:rsidRPr="00BE18F3">
        <w:rPr>
          <w:rFonts w:ascii="Times New Roman" w:hAnsi="Times New Roman" w:cs="Times New Roman"/>
          <w:bCs/>
          <w:sz w:val="24"/>
          <w:szCs w:val="24"/>
        </w:rPr>
        <w:t>, в т. ч. 9 143,3  млн. лв. депозити на фискалния резерв в БНБ и банки и 2 159,8 млн. лв. вземания от фондовете на Европейския съюз за сертифицирани разходи, аванси и други.</w:t>
      </w:r>
    </w:p>
    <w:p w14:paraId="30FAF981" w14:textId="77777777" w:rsidR="00677E5F" w:rsidRPr="00E56679" w:rsidRDefault="00677E5F" w:rsidP="00677E5F">
      <w:pPr>
        <w:jc w:val="both"/>
        <w:rPr>
          <w:b/>
          <w:i/>
          <w:color w:val="0070C0"/>
          <w:sz w:val="16"/>
        </w:rPr>
      </w:pPr>
    </w:p>
    <w:p w14:paraId="2742A221" w14:textId="77777777" w:rsidR="00677E5F" w:rsidRPr="007B14C5" w:rsidRDefault="00677E5F" w:rsidP="00677E5F">
      <w:pPr>
        <w:tabs>
          <w:tab w:val="left" w:pos="0"/>
        </w:tabs>
        <w:spacing w:after="120"/>
        <w:jc w:val="both"/>
        <w:rPr>
          <w:lang w:val="ru-RU" w:eastAsia="en-US"/>
        </w:rPr>
      </w:pPr>
      <w:r w:rsidRPr="007B14C5">
        <w:rPr>
          <w:lang w:eastAsia="en-US"/>
        </w:rPr>
        <w:t xml:space="preserve">Бюджетните </w:t>
      </w:r>
      <w:r w:rsidRPr="007B14C5">
        <w:rPr>
          <w:b/>
          <w:lang w:eastAsia="en-US"/>
        </w:rPr>
        <w:t>разходи, разгледани по функционален признак,</w:t>
      </w:r>
      <w:r w:rsidRPr="007B14C5">
        <w:rPr>
          <w:lang w:eastAsia="en-US"/>
        </w:rPr>
        <w:t xml:space="preserve"> отразяват основните направления в политиката по КФП в рамките на бюджетния ресурс за 2024 година</w:t>
      </w:r>
      <w:r w:rsidRPr="007B14C5">
        <w:rPr>
          <w:lang w:val="ru-RU" w:eastAsia="en-US"/>
        </w:rPr>
        <w:t xml:space="preserve">. </w:t>
      </w:r>
    </w:p>
    <w:p w14:paraId="38E456D2" w14:textId="77777777" w:rsidR="00966A72" w:rsidRDefault="00966A72" w:rsidP="00677E5F">
      <w:pPr>
        <w:tabs>
          <w:tab w:val="left" w:pos="0"/>
        </w:tabs>
        <w:spacing w:before="240" w:after="120"/>
        <w:jc w:val="both"/>
        <w:rPr>
          <w:b/>
        </w:rPr>
      </w:pPr>
    </w:p>
    <w:p w14:paraId="02854AA1" w14:textId="77777777" w:rsidR="00966A72" w:rsidRDefault="00966A72" w:rsidP="00677E5F">
      <w:pPr>
        <w:tabs>
          <w:tab w:val="left" w:pos="0"/>
        </w:tabs>
        <w:spacing w:before="240" w:after="120"/>
        <w:jc w:val="both"/>
        <w:rPr>
          <w:b/>
        </w:rPr>
      </w:pPr>
    </w:p>
    <w:p w14:paraId="50375AE1" w14:textId="77777777" w:rsidR="00966A72" w:rsidRDefault="00966A72" w:rsidP="00677E5F">
      <w:pPr>
        <w:tabs>
          <w:tab w:val="left" w:pos="0"/>
        </w:tabs>
        <w:spacing w:before="240" w:after="120"/>
        <w:jc w:val="both"/>
        <w:rPr>
          <w:b/>
        </w:rPr>
      </w:pPr>
    </w:p>
    <w:p w14:paraId="5E8D9470" w14:textId="77777777" w:rsidR="00966A72" w:rsidRDefault="00966A72" w:rsidP="00677E5F">
      <w:pPr>
        <w:tabs>
          <w:tab w:val="left" w:pos="0"/>
        </w:tabs>
        <w:spacing w:before="240" w:after="120"/>
        <w:jc w:val="both"/>
        <w:rPr>
          <w:b/>
        </w:rPr>
      </w:pPr>
    </w:p>
    <w:p w14:paraId="5F32C470" w14:textId="77777777" w:rsidR="00966A72" w:rsidRDefault="00966A72" w:rsidP="00677E5F">
      <w:pPr>
        <w:tabs>
          <w:tab w:val="left" w:pos="0"/>
        </w:tabs>
        <w:spacing w:before="240" w:after="120"/>
        <w:jc w:val="both"/>
        <w:rPr>
          <w:b/>
        </w:rPr>
      </w:pPr>
    </w:p>
    <w:p w14:paraId="5C201737" w14:textId="77777777" w:rsidR="00966A72" w:rsidRDefault="00966A72" w:rsidP="00677E5F">
      <w:pPr>
        <w:tabs>
          <w:tab w:val="left" w:pos="0"/>
        </w:tabs>
        <w:spacing w:before="240" w:after="120"/>
        <w:jc w:val="both"/>
        <w:rPr>
          <w:b/>
        </w:rPr>
      </w:pPr>
    </w:p>
    <w:p w14:paraId="65A37865" w14:textId="77777777" w:rsidR="00966A72" w:rsidRDefault="00966A72" w:rsidP="00677E5F">
      <w:pPr>
        <w:tabs>
          <w:tab w:val="left" w:pos="0"/>
        </w:tabs>
        <w:spacing w:before="240" w:after="120"/>
        <w:jc w:val="both"/>
        <w:rPr>
          <w:b/>
        </w:rPr>
      </w:pPr>
    </w:p>
    <w:p w14:paraId="17EB0301" w14:textId="77777777" w:rsidR="00966A72" w:rsidRDefault="00966A72" w:rsidP="00677E5F">
      <w:pPr>
        <w:tabs>
          <w:tab w:val="left" w:pos="0"/>
        </w:tabs>
        <w:spacing w:before="240" w:after="120"/>
        <w:jc w:val="both"/>
        <w:rPr>
          <w:b/>
        </w:rPr>
      </w:pPr>
    </w:p>
    <w:p w14:paraId="4252A4C7" w14:textId="71E51899" w:rsidR="00677E5F" w:rsidRPr="005B46A5" w:rsidRDefault="00677E5F" w:rsidP="005B46A5">
      <w:pPr>
        <w:tabs>
          <w:tab w:val="left" w:pos="0"/>
        </w:tabs>
        <w:spacing w:before="240" w:after="120"/>
        <w:jc w:val="center"/>
        <w:rPr>
          <w:b/>
          <w:i/>
        </w:rPr>
      </w:pPr>
      <w:r w:rsidRPr="005B46A5">
        <w:rPr>
          <w:b/>
          <w:i/>
        </w:rPr>
        <w:t>Разходи по консолидираната фискална програма по функции</w:t>
      </w:r>
    </w:p>
    <w:p w14:paraId="7788497F" w14:textId="77777777" w:rsidR="00677E5F" w:rsidRPr="00E56679" w:rsidRDefault="00677E5F" w:rsidP="00677E5F">
      <w:pPr>
        <w:jc w:val="center"/>
        <w:rPr>
          <w:b/>
          <w:i/>
          <w:color w:val="0070C0"/>
          <w:sz w:val="12"/>
          <w:szCs w:val="12"/>
          <w:lang w:val="ru-RU"/>
        </w:rPr>
      </w:pPr>
    </w:p>
    <w:tbl>
      <w:tblPr>
        <w:tblW w:w="9498" w:type="dxa"/>
        <w:tblInd w:w="-172" w:type="dxa"/>
        <w:tblCellMar>
          <w:left w:w="70" w:type="dxa"/>
          <w:right w:w="70" w:type="dxa"/>
        </w:tblCellMar>
        <w:tblLook w:val="04A0" w:firstRow="1" w:lastRow="0" w:firstColumn="1" w:lastColumn="0" w:noHBand="0" w:noVBand="1"/>
      </w:tblPr>
      <w:tblGrid>
        <w:gridCol w:w="4885"/>
        <w:gridCol w:w="960"/>
        <w:gridCol w:w="960"/>
        <w:gridCol w:w="960"/>
        <w:gridCol w:w="848"/>
        <w:gridCol w:w="885"/>
      </w:tblGrid>
      <w:tr w:rsidR="00677E5F" w:rsidRPr="001D664B" w14:paraId="786DEB78" w14:textId="77777777" w:rsidTr="005D4BE5">
        <w:trPr>
          <w:trHeight w:val="450"/>
        </w:trPr>
        <w:tc>
          <w:tcPr>
            <w:tcW w:w="4885" w:type="dxa"/>
            <w:tcBorders>
              <w:top w:val="double" w:sz="4" w:space="0" w:color="auto"/>
              <w:left w:val="double" w:sz="4" w:space="0" w:color="auto"/>
              <w:right w:val="thinThickLargeGap" w:sz="6" w:space="0" w:color="943634" w:themeColor="accent2" w:themeShade="BF"/>
            </w:tcBorders>
            <w:shd w:val="clear" w:color="000000" w:fill="800000"/>
            <w:noWrap/>
            <w:vAlign w:val="bottom"/>
            <w:hideMark/>
          </w:tcPr>
          <w:p w14:paraId="427879DC" w14:textId="77777777" w:rsidR="00677E5F" w:rsidRPr="001D664B" w:rsidRDefault="00677E5F" w:rsidP="005D4BE5">
            <w:pPr>
              <w:rPr>
                <w:rFonts w:ascii="Arial" w:hAnsi="Arial" w:cs="Arial"/>
                <w:sz w:val="20"/>
                <w:szCs w:val="20"/>
              </w:rPr>
            </w:pPr>
            <w:r w:rsidRPr="001D664B">
              <w:rPr>
                <w:rFonts w:ascii="Arial" w:hAnsi="Arial" w:cs="Arial"/>
                <w:sz w:val="20"/>
                <w:szCs w:val="20"/>
              </w:rPr>
              <w:t> </w:t>
            </w:r>
          </w:p>
        </w:tc>
        <w:tc>
          <w:tcPr>
            <w:tcW w:w="2880" w:type="dxa"/>
            <w:gridSpan w:val="3"/>
            <w:tcBorders>
              <w:top w:val="double" w:sz="4" w:space="0" w:color="auto"/>
              <w:left w:val="thinThickLargeGap" w:sz="6" w:space="0" w:color="943634" w:themeColor="accent2" w:themeShade="BF"/>
              <w:bottom w:val="single" w:sz="6" w:space="0" w:color="FFFFFF" w:themeColor="background1"/>
              <w:right w:val="thinThickLargeGap" w:sz="6" w:space="0" w:color="943634" w:themeColor="accent2" w:themeShade="BF"/>
            </w:tcBorders>
            <w:shd w:val="clear" w:color="000000" w:fill="800000"/>
            <w:vAlign w:val="bottom"/>
            <w:hideMark/>
          </w:tcPr>
          <w:p w14:paraId="22E7B5FB" w14:textId="77777777" w:rsidR="00677E5F" w:rsidRPr="001D664B" w:rsidRDefault="00677E5F" w:rsidP="005D4BE5">
            <w:pPr>
              <w:jc w:val="center"/>
              <w:rPr>
                <w:rFonts w:ascii="Arial" w:hAnsi="Arial" w:cs="Arial"/>
                <w:b/>
                <w:bCs/>
                <w:sz w:val="16"/>
                <w:szCs w:val="16"/>
              </w:rPr>
            </w:pPr>
            <w:r w:rsidRPr="001D664B">
              <w:rPr>
                <w:rFonts w:ascii="Arial" w:hAnsi="Arial" w:cs="Arial"/>
                <w:b/>
                <w:bCs/>
                <w:sz w:val="16"/>
                <w:szCs w:val="16"/>
              </w:rPr>
              <w:t>млн. лв</w:t>
            </w:r>
            <w:r w:rsidRPr="001D664B">
              <w:rPr>
                <w:rFonts w:ascii="Arial" w:hAnsi="Arial" w:cs="Arial"/>
                <w:b/>
                <w:bCs/>
                <w:sz w:val="18"/>
                <w:szCs w:val="18"/>
              </w:rPr>
              <w:t>.</w:t>
            </w:r>
          </w:p>
        </w:tc>
        <w:tc>
          <w:tcPr>
            <w:tcW w:w="1733" w:type="dxa"/>
            <w:gridSpan w:val="2"/>
            <w:tcBorders>
              <w:top w:val="double" w:sz="4" w:space="0" w:color="auto"/>
              <w:left w:val="thinThickLargeGap" w:sz="6" w:space="0" w:color="943634" w:themeColor="accent2" w:themeShade="BF"/>
              <w:bottom w:val="single" w:sz="6" w:space="0" w:color="FFFFFF" w:themeColor="background1"/>
              <w:right w:val="double" w:sz="4" w:space="0" w:color="auto"/>
            </w:tcBorders>
            <w:shd w:val="clear" w:color="000000" w:fill="800000"/>
            <w:vAlign w:val="bottom"/>
            <w:hideMark/>
          </w:tcPr>
          <w:p w14:paraId="2E3D157B" w14:textId="77777777" w:rsidR="00677E5F" w:rsidRPr="001D664B" w:rsidRDefault="00677E5F" w:rsidP="005D4BE5">
            <w:pPr>
              <w:jc w:val="center"/>
              <w:rPr>
                <w:rFonts w:ascii="Arial" w:hAnsi="Arial" w:cs="Arial"/>
                <w:b/>
                <w:bCs/>
                <w:sz w:val="18"/>
                <w:szCs w:val="18"/>
              </w:rPr>
            </w:pPr>
            <w:r w:rsidRPr="001D664B">
              <w:rPr>
                <w:rFonts w:ascii="Arial" w:hAnsi="Arial" w:cs="Arial"/>
                <w:b/>
                <w:bCs/>
                <w:sz w:val="18"/>
                <w:szCs w:val="18"/>
              </w:rPr>
              <w:t xml:space="preserve">% </w:t>
            </w:r>
          </w:p>
        </w:tc>
      </w:tr>
      <w:tr w:rsidR="00677E5F" w:rsidRPr="001D664B" w14:paraId="7E9C3F65" w14:textId="77777777" w:rsidTr="005D4BE5">
        <w:trPr>
          <w:trHeight w:val="270"/>
        </w:trPr>
        <w:tc>
          <w:tcPr>
            <w:tcW w:w="4885" w:type="dxa"/>
            <w:vMerge w:val="restart"/>
            <w:tcBorders>
              <w:top w:val="nil"/>
              <w:left w:val="double" w:sz="4" w:space="0" w:color="auto"/>
              <w:right w:val="thinThickLargeGap" w:sz="6" w:space="0" w:color="943634" w:themeColor="accent2" w:themeShade="BF"/>
            </w:tcBorders>
            <w:shd w:val="clear" w:color="000000" w:fill="800000"/>
            <w:vAlign w:val="center"/>
            <w:hideMark/>
          </w:tcPr>
          <w:p w14:paraId="2BEF47FE" w14:textId="77777777" w:rsidR="00677E5F" w:rsidRPr="001D664B" w:rsidRDefault="00677E5F" w:rsidP="005D4BE5">
            <w:pPr>
              <w:jc w:val="center"/>
              <w:rPr>
                <w:b/>
                <w:bCs/>
                <w:sz w:val="18"/>
                <w:szCs w:val="18"/>
              </w:rPr>
            </w:pPr>
            <w:r w:rsidRPr="001D664B">
              <w:rPr>
                <w:b/>
                <w:bCs/>
                <w:sz w:val="18"/>
                <w:szCs w:val="18"/>
              </w:rPr>
              <w:t>РАЗХОДИ ПО ФУНКЦИИ</w:t>
            </w:r>
          </w:p>
        </w:tc>
        <w:tc>
          <w:tcPr>
            <w:tcW w:w="960" w:type="dxa"/>
            <w:tcBorders>
              <w:top w:val="single" w:sz="6" w:space="0" w:color="FFFFFF" w:themeColor="background1"/>
              <w:left w:val="thinThickLargeGap" w:sz="6" w:space="0" w:color="943634" w:themeColor="accent2" w:themeShade="BF"/>
              <w:right w:val="thinThickLargeGap" w:sz="6" w:space="0" w:color="943634" w:themeColor="accent2" w:themeShade="BF"/>
            </w:tcBorders>
            <w:shd w:val="clear" w:color="000000" w:fill="800000"/>
            <w:vAlign w:val="bottom"/>
            <w:hideMark/>
          </w:tcPr>
          <w:p w14:paraId="15A9963F" w14:textId="77777777" w:rsidR="00677E5F" w:rsidRPr="001D664B" w:rsidRDefault="00677E5F" w:rsidP="005D4BE5">
            <w:pPr>
              <w:jc w:val="center"/>
              <w:rPr>
                <w:b/>
                <w:bCs/>
                <w:sz w:val="18"/>
                <w:szCs w:val="18"/>
              </w:rPr>
            </w:pPr>
            <w:r w:rsidRPr="001D664B">
              <w:rPr>
                <w:b/>
                <w:bCs/>
                <w:sz w:val="18"/>
                <w:szCs w:val="18"/>
              </w:rPr>
              <w:t>ЗДБРБ</w:t>
            </w:r>
          </w:p>
        </w:tc>
        <w:tc>
          <w:tcPr>
            <w:tcW w:w="960" w:type="dxa"/>
            <w:tcBorders>
              <w:top w:val="single" w:sz="6" w:space="0" w:color="FFFFFF" w:themeColor="background1"/>
              <w:left w:val="thinThickLargeGap" w:sz="6" w:space="0" w:color="943634" w:themeColor="accent2" w:themeShade="BF"/>
              <w:right w:val="single" w:sz="6" w:space="0" w:color="FFFFFF" w:themeColor="background1"/>
            </w:tcBorders>
            <w:shd w:val="clear" w:color="000000" w:fill="800000"/>
            <w:vAlign w:val="bottom"/>
            <w:hideMark/>
          </w:tcPr>
          <w:p w14:paraId="25F5A07E" w14:textId="77777777" w:rsidR="00677E5F" w:rsidRPr="001D664B" w:rsidRDefault="00677E5F" w:rsidP="005D4BE5">
            <w:pPr>
              <w:jc w:val="center"/>
              <w:rPr>
                <w:b/>
                <w:bCs/>
                <w:sz w:val="18"/>
                <w:szCs w:val="18"/>
              </w:rPr>
            </w:pPr>
            <w:r w:rsidRPr="001D664B">
              <w:rPr>
                <w:b/>
                <w:bCs/>
                <w:sz w:val="18"/>
                <w:szCs w:val="18"/>
              </w:rPr>
              <w:t xml:space="preserve"> Отчет </w:t>
            </w:r>
          </w:p>
        </w:tc>
        <w:tc>
          <w:tcPr>
            <w:tcW w:w="960" w:type="dxa"/>
            <w:tcBorders>
              <w:top w:val="single" w:sz="6" w:space="0" w:color="FFFFFF" w:themeColor="background1"/>
              <w:left w:val="single" w:sz="6" w:space="0" w:color="FFFFFF" w:themeColor="background1"/>
              <w:right w:val="single" w:sz="6" w:space="0" w:color="FFFFFF" w:themeColor="background1"/>
            </w:tcBorders>
            <w:shd w:val="clear" w:color="000000" w:fill="800000"/>
            <w:vAlign w:val="bottom"/>
            <w:hideMark/>
          </w:tcPr>
          <w:p w14:paraId="5B1ABEB0" w14:textId="77777777" w:rsidR="00677E5F" w:rsidRPr="001D664B" w:rsidRDefault="00677E5F" w:rsidP="005D4BE5">
            <w:pPr>
              <w:jc w:val="center"/>
              <w:rPr>
                <w:b/>
                <w:bCs/>
                <w:sz w:val="18"/>
                <w:szCs w:val="18"/>
              </w:rPr>
            </w:pPr>
            <w:r w:rsidRPr="001D664B">
              <w:rPr>
                <w:b/>
                <w:bCs/>
                <w:sz w:val="18"/>
                <w:szCs w:val="18"/>
              </w:rPr>
              <w:t>Отчет</w:t>
            </w:r>
          </w:p>
        </w:tc>
        <w:tc>
          <w:tcPr>
            <w:tcW w:w="848" w:type="dxa"/>
            <w:tcBorders>
              <w:top w:val="single" w:sz="6" w:space="0" w:color="FFFFFF" w:themeColor="background1"/>
              <w:left w:val="single" w:sz="6" w:space="0" w:color="FFFFFF" w:themeColor="background1"/>
              <w:right w:val="single" w:sz="6" w:space="0" w:color="FFFFFF" w:themeColor="background1"/>
            </w:tcBorders>
            <w:shd w:val="clear" w:color="000000" w:fill="800000"/>
            <w:noWrap/>
            <w:vAlign w:val="bottom"/>
            <w:hideMark/>
          </w:tcPr>
          <w:p w14:paraId="2C1259A1" w14:textId="77777777" w:rsidR="00677E5F" w:rsidRPr="001D664B" w:rsidRDefault="00677E5F" w:rsidP="005D4BE5">
            <w:pPr>
              <w:jc w:val="center"/>
              <w:rPr>
                <w:b/>
                <w:bCs/>
                <w:sz w:val="18"/>
                <w:szCs w:val="18"/>
              </w:rPr>
            </w:pPr>
            <w:proofErr w:type="spellStart"/>
            <w:r w:rsidRPr="001D664B">
              <w:rPr>
                <w:b/>
                <w:bCs/>
                <w:sz w:val="18"/>
                <w:szCs w:val="18"/>
              </w:rPr>
              <w:t>Изпъл</w:t>
            </w:r>
            <w:proofErr w:type="spellEnd"/>
            <w:r w:rsidRPr="001D664B">
              <w:rPr>
                <w:b/>
                <w:bCs/>
                <w:sz w:val="18"/>
                <w:szCs w:val="18"/>
              </w:rPr>
              <w:t>-</w:t>
            </w:r>
          </w:p>
        </w:tc>
        <w:tc>
          <w:tcPr>
            <w:tcW w:w="885" w:type="dxa"/>
            <w:vMerge w:val="restart"/>
            <w:tcBorders>
              <w:top w:val="single" w:sz="6" w:space="0" w:color="FFFFFF" w:themeColor="background1"/>
              <w:left w:val="single" w:sz="6" w:space="0" w:color="FFFFFF" w:themeColor="background1"/>
              <w:right w:val="double" w:sz="4" w:space="0" w:color="auto"/>
            </w:tcBorders>
            <w:shd w:val="clear" w:color="000000" w:fill="800000"/>
            <w:vAlign w:val="bottom"/>
            <w:hideMark/>
          </w:tcPr>
          <w:p w14:paraId="57053A59" w14:textId="77777777" w:rsidR="00677E5F" w:rsidRPr="001D664B" w:rsidRDefault="00677E5F" w:rsidP="005D4BE5">
            <w:pPr>
              <w:jc w:val="center"/>
              <w:rPr>
                <w:b/>
                <w:bCs/>
                <w:sz w:val="18"/>
                <w:szCs w:val="18"/>
              </w:rPr>
            </w:pPr>
            <w:r w:rsidRPr="001D664B">
              <w:rPr>
                <w:b/>
                <w:bCs/>
                <w:sz w:val="18"/>
                <w:szCs w:val="18"/>
              </w:rPr>
              <w:t>Отчет               Н1 202</w:t>
            </w:r>
            <w:r>
              <w:rPr>
                <w:b/>
                <w:bCs/>
                <w:sz w:val="18"/>
                <w:szCs w:val="18"/>
              </w:rPr>
              <w:t>4</w:t>
            </w:r>
          </w:p>
        </w:tc>
      </w:tr>
      <w:tr w:rsidR="00677E5F" w:rsidRPr="001D664B" w14:paraId="09C1EC11" w14:textId="77777777" w:rsidTr="005D4BE5">
        <w:trPr>
          <w:trHeight w:val="270"/>
        </w:trPr>
        <w:tc>
          <w:tcPr>
            <w:tcW w:w="4885" w:type="dxa"/>
            <w:vMerge/>
            <w:tcBorders>
              <w:top w:val="nil"/>
              <w:left w:val="double" w:sz="4" w:space="0" w:color="auto"/>
              <w:right w:val="thinThickLargeGap" w:sz="6" w:space="0" w:color="943634" w:themeColor="accent2" w:themeShade="BF"/>
            </w:tcBorders>
            <w:vAlign w:val="center"/>
            <w:hideMark/>
          </w:tcPr>
          <w:p w14:paraId="4B390871" w14:textId="77777777" w:rsidR="00677E5F" w:rsidRPr="001D664B" w:rsidRDefault="00677E5F" w:rsidP="005D4BE5">
            <w:pPr>
              <w:rPr>
                <w:b/>
                <w:bCs/>
                <w:sz w:val="18"/>
                <w:szCs w:val="18"/>
              </w:rPr>
            </w:pPr>
          </w:p>
        </w:tc>
        <w:tc>
          <w:tcPr>
            <w:tcW w:w="960" w:type="dxa"/>
            <w:tcBorders>
              <w:top w:val="nil"/>
              <w:left w:val="thinThickLargeGap" w:sz="6" w:space="0" w:color="943634" w:themeColor="accent2" w:themeShade="BF"/>
              <w:right w:val="thinThickLargeGap" w:sz="6" w:space="0" w:color="943634" w:themeColor="accent2" w:themeShade="BF"/>
            </w:tcBorders>
            <w:shd w:val="clear" w:color="000000" w:fill="800000"/>
            <w:vAlign w:val="bottom"/>
            <w:hideMark/>
          </w:tcPr>
          <w:p w14:paraId="6605AF8A" w14:textId="77777777" w:rsidR="00677E5F" w:rsidRPr="001D664B" w:rsidRDefault="00677E5F" w:rsidP="005D4BE5">
            <w:pPr>
              <w:jc w:val="center"/>
              <w:rPr>
                <w:b/>
                <w:bCs/>
                <w:sz w:val="18"/>
                <w:szCs w:val="18"/>
              </w:rPr>
            </w:pPr>
            <w:r w:rsidRPr="001D664B">
              <w:rPr>
                <w:b/>
                <w:bCs/>
                <w:sz w:val="18"/>
                <w:szCs w:val="18"/>
              </w:rPr>
              <w:t>за</w:t>
            </w:r>
          </w:p>
        </w:tc>
        <w:tc>
          <w:tcPr>
            <w:tcW w:w="960" w:type="dxa"/>
            <w:tcBorders>
              <w:top w:val="nil"/>
              <w:left w:val="thinThickLargeGap" w:sz="6" w:space="0" w:color="943634" w:themeColor="accent2" w:themeShade="BF"/>
              <w:right w:val="single" w:sz="6" w:space="0" w:color="FFFFFF" w:themeColor="background1"/>
            </w:tcBorders>
            <w:shd w:val="clear" w:color="000000" w:fill="800000"/>
            <w:vAlign w:val="bottom"/>
            <w:hideMark/>
          </w:tcPr>
          <w:p w14:paraId="032C2ED5" w14:textId="77777777" w:rsidR="00677E5F" w:rsidRPr="001D664B" w:rsidRDefault="00677E5F" w:rsidP="005D4BE5">
            <w:pPr>
              <w:jc w:val="center"/>
              <w:rPr>
                <w:b/>
                <w:bCs/>
                <w:sz w:val="17"/>
                <w:szCs w:val="17"/>
              </w:rPr>
            </w:pPr>
            <w:r w:rsidRPr="001D664B">
              <w:rPr>
                <w:b/>
                <w:bCs/>
                <w:sz w:val="17"/>
                <w:szCs w:val="17"/>
              </w:rPr>
              <w:t>Н1 202</w:t>
            </w:r>
            <w:r>
              <w:rPr>
                <w:b/>
                <w:bCs/>
                <w:sz w:val="17"/>
                <w:szCs w:val="17"/>
              </w:rPr>
              <w:t>3</w:t>
            </w:r>
          </w:p>
        </w:tc>
        <w:tc>
          <w:tcPr>
            <w:tcW w:w="960" w:type="dxa"/>
            <w:tcBorders>
              <w:top w:val="nil"/>
              <w:left w:val="single" w:sz="6" w:space="0" w:color="FFFFFF" w:themeColor="background1"/>
              <w:right w:val="single" w:sz="6" w:space="0" w:color="FFFFFF" w:themeColor="background1"/>
            </w:tcBorders>
            <w:shd w:val="clear" w:color="000000" w:fill="800000"/>
            <w:vAlign w:val="bottom"/>
            <w:hideMark/>
          </w:tcPr>
          <w:p w14:paraId="510D51DB" w14:textId="77777777" w:rsidR="00677E5F" w:rsidRPr="001D664B" w:rsidRDefault="00677E5F" w:rsidP="005D4BE5">
            <w:pPr>
              <w:jc w:val="center"/>
              <w:rPr>
                <w:b/>
                <w:bCs/>
                <w:sz w:val="17"/>
                <w:szCs w:val="17"/>
              </w:rPr>
            </w:pPr>
            <w:r w:rsidRPr="001D664B">
              <w:rPr>
                <w:b/>
                <w:bCs/>
                <w:sz w:val="17"/>
                <w:szCs w:val="17"/>
              </w:rPr>
              <w:t>Н1 202</w:t>
            </w:r>
            <w:r>
              <w:rPr>
                <w:b/>
                <w:bCs/>
                <w:sz w:val="17"/>
                <w:szCs w:val="17"/>
              </w:rPr>
              <w:t>4</w:t>
            </w:r>
          </w:p>
        </w:tc>
        <w:tc>
          <w:tcPr>
            <w:tcW w:w="848" w:type="dxa"/>
            <w:tcBorders>
              <w:top w:val="nil"/>
              <w:left w:val="single" w:sz="6" w:space="0" w:color="FFFFFF" w:themeColor="background1"/>
              <w:right w:val="single" w:sz="6" w:space="0" w:color="FFFFFF" w:themeColor="background1"/>
            </w:tcBorders>
            <w:shd w:val="clear" w:color="000000" w:fill="800000"/>
            <w:noWrap/>
            <w:vAlign w:val="bottom"/>
            <w:hideMark/>
          </w:tcPr>
          <w:p w14:paraId="070A2C69" w14:textId="77777777" w:rsidR="00677E5F" w:rsidRPr="001D664B" w:rsidRDefault="00677E5F" w:rsidP="005D4BE5">
            <w:pPr>
              <w:jc w:val="center"/>
              <w:rPr>
                <w:b/>
                <w:bCs/>
                <w:sz w:val="18"/>
                <w:szCs w:val="18"/>
              </w:rPr>
            </w:pPr>
            <w:proofErr w:type="spellStart"/>
            <w:r w:rsidRPr="001D664B">
              <w:rPr>
                <w:b/>
                <w:bCs/>
                <w:sz w:val="18"/>
                <w:szCs w:val="18"/>
              </w:rPr>
              <w:t>нение</w:t>
            </w:r>
            <w:proofErr w:type="spellEnd"/>
          </w:p>
        </w:tc>
        <w:tc>
          <w:tcPr>
            <w:tcW w:w="885" w:type="dxa"/>
            <w:vMerge/>
            <w:tcBorders>
              <w:top w:val="nil"/>
              <w:left w:val="single" w:sz="6" w:space="0" w:color="FFFFFF" w:themeColor="background1"/>
              <w:right w:val="double" w:sz="4" w:space="0" w:color="auto"/>
            </w:tcBorders>
            <w:vAlign w:val="center"/>
            <w:hideMark/>
          </w:tcPr>
          <w:p w14:paraId="2C566733" w14:textId="77777777" w:rsidR="00677E5F" w:rsidRPr="001D664B" w:rsidRDefault="00677E5F" w:rsidP="005D4BE5">
            <w:pPr>
              <w:rPr>
                <w:b/>
                <w:bCs/>
                <w:sz w:val="18"/>
                <w:szCs w:val="18"/>
              </w:rPr>
            </w:pPr>
          </w:p>
        </w:tc>
      </w:tr>
      <w:tr w:rsidR="00677E5F" w:rsidRPr="001D664B" w14:paraId="670A6C2B" w14:textId="77777777" w:rsidTr="005D4BE5">
        <w:trPr>
          <w:trHeight w:val="735"/>
        </w:trPr>
        <w:tc>
          <w:tcPr>
            <w:tcW w:w="4885" w:type="dxa"/>
            <w:tcBorders>
              <w:top w:val="nil"/>
              <w:left w:val="double" w:sz="4" w:space="0" w:color="auto"/>
              <w:right w:val="thinThickLargeGap" w:sz="6" w:space="0" w:color="943634" w:themeColor="accent2" w:themeShade="BF"/>
            </w:tcBorders>
            <w:shd w:val="clear" w:color="000000" w:fill="800000"/>
            <w:noWrap/>
            <w:vAlign w:val="bottom"/>
            <w:hideMark/>
          </w:tcPr>
          <w:p w14:paraId="6F8A0829" w14:textId="77777777" w:rsidR="00677E5F" w:rsidRPr="001D664B" w:rsidRDefault="00677E5F" w:rsidP="005D4BE5">
            <w:pPr>
              <w:rPr>
                <w:sz w:val="20"/>
                <w:szCs w:val="20"/>
              </w:rPr>
            </w:pPr>
            <w:r w:rsidRPr="001D664B">
              <w:rPr>
                <w:sz w:val="20"/>
                <w:szCs w:val="20"/>
              </w:rPr>
              <w:t> </w:t>
            </w:r>
          </w:p>
        </w:tc>
        <w:tc>
          <w:tcPr>
            <w:tcW w:w="960" w:type="dxa"/>
            <w:tcBorders>
              <w:top w:val="nil"/>
              <w:left w:val="thinThickLargeGap" w:sz="6" w:space="0" w:color="943634" w:themeColor="accent2" w:themeShade="BF"/>
              <w:right w:val="thinThickLargeGap" w:sz="6" w:space="0" w:color="943634" w:themeColor="accent2" w:themeShade="BF"/>
            </w:tcBorders>
            <w:shd w:val="clear" w:color="000000" w:fill="800000"/>
            <w:hideMark/>
          </w:tcPr>
          <w:p w14:paraId="1D6811BF" w14:textId="77777777" w:rsidR="00677E5F" w:rsidRPr="001D664B" w:rsidRDefault="00677E5F" w:rsidP="005D4BE5">
            <w:pPr>
              <w:jc w:val="center"/>
              <w:rPr>
                <w:b/>
                <w:bCs/>
                <w:sz w:val="18"/>
                <w:szCs w:val="18"/>
              </w:rPr>
            </w:pPr>
            <w:r w:rsidRPr="001D664B">
              <w:rPr>
                <w:b/>
                <w:bCs/>
                <w:sz w:val="18"/>
                <w:szCs w:val="18"/>
              </w:rPr>
              <w:t>202</w:t>
            </w:r>
            <w:r>
              <w:rPr>
                <w:b/>
                <w:bCs/>
                <w:sz w:val="18"/>
                <w:szCs w:val="18"/>
              </w:rPr>
              <w:t>4</w:t>
            </w:r>
            <w:r w:rsidRPr="001D664B">
              <w:rPr>
                <w:b/>
                <w:bCs/>
                <w:sz w:val="18"/>
                <w:szCs w:val="18"/>
              </w:rPr>
              <w:t xml:space="preserve"> г.</w:t>
            </w:r>
          </w:p>
        </w:tc>
        <w:tc>
          <w:tcPr>
            <w:tcW w:w="960" w:type="dxa"/>
            <w:tcBorders>
              <w:top w:val="nil"/>
              <w:left w:val="thinThickLargeGap" w:sz="6" w:space="0" w:color="943634" w:themeColor="accent2" w:themeShade="BF"/>
              <w:right w:val="single" w:sz="6" w:space="0" w:color="FFFFFF" w:themeColor="background1"/>
            </w:tcBorders>
            <w:shd w:val="clear" w:color="000000" w:fill="800000"/>
            <w:hideMark/>
          </w:tcPr>
          <w:p w14:paraId="3C7D81D0" w14:textId="77777777" w:rsidR="00677E5F" w:rsidRPr="001D664B" w:rsidRDefault="00677E5F" w:rsidP="005D4BE5">
            <w:pPr>
              <w:jc w:val="center"/>
              <w:rPr>
                <w:rFonts w:ascii="Arial" w:hAnsi="Arial" w:cs="Arial"/>
                <w:sz w:val="20"/>
                <w:szCs w:val="20"/>
              </w:rPr>
            </w:pPr>
            <w:r w:rsidRPr="001D664B">
              <w:rPr>
                <w:rFonts w:ascii="Arial" w:hAnsi="Arial" w:cs="Arial"/>
                <w:sz w:val="20"/>
                <w:szCs w:val="20"/>
              </w:rPr>
              <w:t> </w:t>
            </w:r>
          </w:p>
        </w:tc>
        <w:tc>
          <w:tcPr>
            <w:tcW w:w="960" w:type="dxa"/>
            <w:tcBorders>
              <w:top w:val="nil"/>
              <w:left w:val="single" w:sz="6" w:space="0" w:color="FFFFFF" w:themeColor="background1"/>
              <w:right w:val="single" w:sz="6" w:space="0" w:color="FFFFFF" w:themeColor="background1"/>
            </w:tcBorders>
            <w:shd w:val="clear" w:color="000000" w:fill="800000"/>
            <w:hideMark/>
          </w:tcPr>
          <w:p w14:paraId="35E9CF98" w14:textId="77777777" w:rsidR="00677E5F" w:rsidRPr="001D664B" w:rsidRDefault="00677E5F" w:rsidP="005D4BE5">
            <w:pPr>
              <w:jc w:val="center"/>
              <w:rPr>
                <w:rFonts w:ascii="Arial" w:hAnsi="Arial" w:cs="Arial"/>
                <w:sz w:val="20"/>
                <w:szCs w:val="20"/>
              </w:rPr>
            </w:pPr>
            <w:r w:rsidRPr="001D664B">
              <w:rPr>
                <w:rFonts w:ascii="Arial" w:hAnsi="Arial" w:cs="Arial"/>
                <w:sz w:val="20"/>
                <w:szCs w:val="20"/>
              </w:rPr>
              <w:t> </w:t>
            </w:r>
          </w:p>
        </w:tc>
        <w:tc>
          <w:tcPr>
            <w:tcW w:w="848" w:type="dxa"/>
            <w:tcBorders>
              <w:top w:val="nil"/>
              <w:left w:val="single" w:sz="6" w:space="0" w:color="FFFFFF" w:themeColor="background1"/>
              <w:right w:val="single" w:sz="6" w:space="0" w:color="FFFFFF" w:themeColor="background1"/>
            </w:tcBorders>
            <w:shd w:val="clear" w:color="000000" w:fill="800000"/>
            <w:vAlign w:val="bottom"/>
            <w:hideMark/>
          </w:tcPr>
          <w:p w14:paraId="65CDDB8C" w14:textId="77777777" w:rsidR="00677E5F" w:rsidRPr="001D664B" w:rsidRDefault="00677E5F" w:rsidP="005D4BE5">
            <w:pPr>
              <w:jc w:val="center"/>
              <w:rPr>
                <w:b/>
                <w:bCs/>
                <w:sz w:val="18"/>
                <w:szCs w:val="18"/>
              </w:rPr>
            </w:pPr>
            <w:r w:rsidRPr="001D664B">
              <w:rPr>
                <w:b/>
                <w:bCs/>
                <w:sz w:val="18"/>
                <w:szCs w:val="18"/>
              </w:rPr>
              <w:t>Н1 202</w:t>
            </w:r>
            <w:r>
              <w:rPr>
                <w:b/>
                <w:bCs/>
                <w:sz w:val="18"/>
                <w:szCs w:val="18"/>
              </w:rPr>
              <w:t>4</w:t>
            </w:r>
          </w:p>
          <w:p w14:paraId="256C8831" w14:textId="77777777" w:rsidR="00677E5F" w:rsidRPr="001D664B" w:rsidRDefault="00677E5F" w:rsidP="005D4BE5">
            <w:pPr>
              <w:jc w:val="center"/>
              <w:rPr>
                <w:b/>
                <w:bCs/>
                <w:sz w:val="18"/>
                <w:szCs w:val="18"/>
              </w:rPr>
            </w:pPr>
            <w:r w:rsidRPr="001D664B">
              <w:rPr>
                <w:b/>
                <w:bCs/>
                <w:sz w:val="18"/>
                <w:szCs w:val="18"/>
              </w:rPr>
              <w:t xml:space="preserve">спрямо ЗДБРБ </w:t>
            </w:r>
          </w:p>
        </w:tc>
        <w:tc>
          <w:tcPr>
            <w:tcW w:w="885" w:type="dxa"/>
            <w:vMerge w:val="restart"/>
            <w:tcBorders>
              <w:top w:val="nil"/>
              <w:left w:val="single" w:sz="6" w:space="0" w:color="FFFFFF" w:themeColor="background1"/>
              <w:right w:val="double" w:sz="4" w:space="0" w:color="auto"/>
            </w:tcBorders>
            <w:shd w:val="clear" w:color="000000" w:fill="800000"/>
            <w:hideMark/>
          </w:tcPr>
          <w:p w14:paraId="4FB17CB8" w14:textId="77777777" w:rsidR="00677E5F" w:rsidRPr="00986461" w:rsidRDefault="00677E5F" w:rsidP="005D4BE5">
            <w:pPr>
              <w:jc w:val="center"/>
              <w:rPr>
                <w:b/>
                <w:bCs/>
                <w:sz w:val="18"/>
                <w:szCs w:val="18"/>
              </w:rPr>
            </w:pPr>
            <w:r w:rsidRPr="001D664B">
              <w:rPr>
                <w:b/>
                <w:bCs/>
                <w:sz w:val="18"/>
                <w:szCs w:val="18"/>
              </w:rPr>
              <w:t>спрямо отчет      Н1 202</w:t>
            </w:r>
            <w:r>
              <w:rPr>
                <w:b/>
                <w:bCs/>
                <w:sz w:val="18"/>
                <w:szCs w:val="18"/>
              </w:rPr>
              <w:t>3</w:t>
            </w:r>
          </w:p>
        </w:tc>
      </w:tr>
      <w:tr w:rsidR="00677E5F" w:rsidRPr="001D664B" w14:paraId="739C96CE" w14:textId="77777777" w:rsidTr="005D4BE5">
        <w:trPr>
          <w:trHeight w:val="270"/>
        </w:trPr>
        <w:tc>
          <w:tcPr>
            <w:tcW w:w="4885" w:type="dxa"/>
            <w:tcBorders>
              <w:left w:val="double" w:sz="4" w:space="0" w:color="auto"/>
              <w:bottom w:val="double" w:sz="6" w:space="0" w:color="800000"/>
              <w:right w:val="thinThickLargeGap" w:sz="6" w:space="0" w:color="943634" w:themeColor="accent2" w:themeShade="BF"/>
            </w:tcBorders>
            <w:shd w:val="clear" w:color="000000" w:fill="800000"/>
            <w:noWrap/>
            <w:vAlign w:val="bottom"/>
            <w:hideMark/>
          </w:tcPr>
          <w:p w14:paraId="15E498D9" w14:textId="77777777" w:rsidR="00677E5F" w:rsidRPr="001D664B" w:rsidRDefault="00677E5F" w:rsidP="005D4BE5">
            <w:pPr>
              <w:rPr>
                <w:sz w:val="20"/>
                <w:szCs w:val="20"/>
              </w:rPr>
            </w:pPr>
            <w:r w:rsidRPr="001D664B">
              <w:rPr>
                <w:sz w:val="20"/>
                <w:szCs w:val="20"/>
              </w:rPr>
              <w:t> </w:t>
            </w:r>
          </w:p>
        </w:tc>
        <w:tc>
          <w:tcPr>
            <w:tcW w:w="960" w:type="dxa"/>
            <w:tcBorders>
              <w:left w:val="thinThickLargeGap" w:sz="6" w:space="0" w:color="943634" w:themeColor="accent2" w:themeShade="BF"/>
              <w:bottom w:val="double" w:sz="6" w:space="0" w:color="800000"/>
              <w:right w:val="thinThickLargeGap" w:sz="6" w:space="0" w:color="943634" w:themeColor="accent2" w:themeShade="BF"/>
            </w:tcBorders>
            <w:shd w:val="clear" w:color="000000" w:fill="800000"/>
            <w:vAlign w:val="bottom"/>
            <w:hideMark/>
          </w:tcPr>
          <w:p w14:paraId="7DC86D88" w14:textId="77777777" w:rsidR="00677E5F" w:rsidRPr="001D664B" w:rsidRDefault="00677E5F" w:rsidP="005D4BE5">
            <w:pPr>
              <w:rPr>
                <w:rFonts w:ascii="Arial" w:hAnsi="Arial" w:cs="Arial"/>
                <w:sz w:val="20"/>
                <w:szCs w:val="20"/>
              </w:rPr>
            </w:pPr>
            <w:r w:rsidRPr="001D664B">
              <w:rPr>
                <w:rFonts w:ascii="Arial" w:hAnsi="Arial" w:cs="Arial"/>
                <w:sz w:val="20"/>
                <w:szCs w:val="20"/>
              </w:rPr>
              <w:t> </w:t>
            </w:r>
          </w:p>
        </w:tc>
        <w:tc>
          <w:tcPr>
            <w:tcW w:w="960" w:type="dxa"/>
            <w:tcBorders>
              <w:left w:val="thinThickLargeGap" w:sz="6" w:space="0" w:color="943634" w:themeColor="accent2" w:themeShade="BF"/>
              <w:bottom w:val="double" w:sz="6" w:space="0" w:color="800000"/>
              <w:right w:val="single" w:sz="6" w:space="0" w:color="FFFFFF" w:themeColor="background1"/>
            </w:tcBorders>
            <w:shd w:val="clear" w:color="000000" w:fill="800000"/>
            <w:vAlign w:val="bottom"/>
            <w:hideMark/>
          </w:tcPr>
          <w:p w14:paraId="0D1EFD29" w14:textId="77777777" w:rsidR="00677E5F" w:rsidRPr="001D664B" w:rsidRDefault="00677E5F" w:rsidP="005D4BE5">
            <w:pPr>
              <w:rPr>
                <w:rFonts w:ascii="Arial" w:hAnsi="Arial" w:cs="Arial"/>
                <w:sz w:val="20"/>
                <w:szCs w:val="20"/>
              </w:rPr>
            </w:pPr>
            <w:r w:rsidRPr="001D664B">
              <w:rPr>
                <w:rFonts w:ascii="Arial" w:hAnsi="Arial" w:cs="Arial"/>
                <w:sz w:val="20"/>
                <w:szCs w:val="20"/>
              </w:rPr>
              <w:t> </w:t>
            </w:r>
          </w:p>
        </w:tc>
        <w:tc>
          <w:tcPr>
            <w:tcW w:w="960" w:type="dxa"/>
            <w:tcBorders>
              <w:left w:val="single" w:sz="6" w:space="0" w:color="FFFFFF" w:themeColor="background1"/>
              <w:bottom w:val="double" w:sz="6" w:space="0" w:color="800000"/>
              <w:right w:val="single" w:sz="6" w:space="0" w:color="FFFFFF" w:themeColor="background1"/>
            </w:tcBorders>
            <w:shd w:val="clear" w:color="000000" w:fill="800000"/>
            <w:vAlign w:val="bottom"/>
            <w:hideMark/>
          </w:tcPr>
          <w:p w14:paraId="78E2C005" w14:textId="77777777" w:rsidR="00677E5F" w:rsidRPr="001D664B" w:rsidRDefault="00677E5F" w:rsidP="005D4BE5">
            <w:pPr>
              <w:rPr>
                <w:rFonts w:ascii="Arial" w:hAnsi="Arial" w:cs="Arial"/>
                <w:sz w:val="20"/>
                <w:szCs w:val="20"/>
              </w:rPr>
            </w:pPr>
            <w:r w:rsidRPr="001D664B">
              <w:rPr>
                <w:rFonts w:ascii="Arial" w:hAnsi="Arial" w:cs="Arial"/>
                <w:sz w:val="20"/>
                <w:szCs w:val="20"/>
              </w:rPr>
              <w:t> </w:t>
            </w:r>
          </w:p>
        </w:tc>
        <w:tc>
          <w:tcPr>
            <w:tcW w:w="848" w:type="dxa"/>
            <w:tcBorders>
              <w:left w:val="single" w:sz="6" w:space="0" w:color="FFFFFF" w:themeColor="background1"/>
              <w:bottom w:val="double" w:sz="6" w:space="0" w:color="800000"/>
              <w:right w:val="single" w:sz="6" w:space="0" w:color="FFFFFF" w:themeColor="background1"/>
            </w:tcBorders>
            <w:shd w:val="clear" w:color="000000" w:fill="800000"/>
            <w:hideMark/>
          </w:tcPr>
          <w:p w14:paraId="2DED6D83" w14:textId="77777777" w:rsidR="00677E5F" w:rsidRPr="001D664B" w:rsidRDefault="00677E5F" w:rsidP="005D4BE5">
            <w:pPr>
              <w:jc w:val="center"/>
              <w:rPr>
                <w:b/>
                <w:bCs/>
                <w:sz w:val="18"/>
                <w:szCs w:val="18"/>
              </w:rPr>
            </w:pPr>
            <w:r w:rsidRPr="001D664B">
              <w:rPr>
                <w:b/>
                <w:bCs/>
                <w:sz w:val="18"/>
                <w:szCs w:val="18"/>
              </w:rPr>
              <w:t>за 202</w:t>
            </w:r>
            <w:r>
              <w:rPr>
                <w:b/>
                <w:bCs/>
                <w:sz w:val="18"/>
                <w:szCs w:val="18"/>
              </w:rPr>
              <w:t>4</w:t>
            </w:r>
          </w:p>
        </w:tc>
        <w:tc>
          <w:tcPr>
            <w:tcW w:w="885" w:type="dxa"/>
            <w:vMerge/>
            <w:tcBorders>
              <w:left w:val="single" w:sz="6" w:space="0" w:color="FFFFFF" w:themeColor="background1"/>
              <w:bottom w:val="thinThickLargeGap" w:sz="4" w:space="0" w:color="943634" w:themeColor="accent2" w:themeShade="BF"/>
              <w:right w:val="double" w:sz="4" w:space="0" w:color="auto"/>
            </w:tcBorders>
            <w:vAlign w:val="center"/>
            <w:hideMark/>
          </w:tcPr>
          <w:p w14:paraId="088F116F" w14:textId="77777777" w:rsidR="00677E5F" w:rsidRPr="001D664B" w:rsidRDefault="00677E5F" w:rsidP="005D4BE5">
            <w:pPr>
              <w:rPr>
                <w:b/>
                <w:bCs/>
                <w:sz w:val="18"/>
                <w:szCs w:val="18"/>
              </w:rPr>
            </w:pPr>
          </w:p>
        </w:tc>
      </w:tr>
      <w:tr w:rsidR="00677E5F" w:rsidRPr="00E56679" w14:paraId="6F63C898" w14:textId="77777777" w:rsidTr="005D4BE5">
        <w:trPr>
          <w:trHeight w:val="270"/>
        </w:trPr>
        <w:tc>
          <w:tcPr>
            <w:tcW w:w="4885" w:type="dxa"/>
            <w:tcBorders>
              <w:top w:val="nil"/>
              <w:left w:val="double" w:sz="4" w:space="0" w:color="auto"/>
              <w:bottom w:val="nil"/>
              <w:right w:val="single" w:sz="8" w:space="0" w:color="800000"/>
            </w:tcBorders>
            <w:shd w:val="clear" w:color="000000" w:fill="FFFFCC"/>
            <w:vAlign w:val="bottom"/>
            <w:hideMark/>
          </w:tcPr>
          <w:p w14:paraId="5952419D" w14:textId="77777777" w:rsidR="00677E5F" w:rsidRPr="001C42FF" w:rsidRDefault="00677E5F" w:rsidP="005D4BE5">
            <w:pPr>
              <w:rPr>
                <w:b/>
                <w:bCs/>
                <w:sz w:val="17"/>
                <w:szCs w:val="17"/>
              </w:rPr>
            </w:pPr>
            <w:r w:rsidRPr="001C42FF">
              <w:rPr>
                <w:b/>
                <w:bCs/>
                <w:sz w:val="17"/>
                <w:szCs w:val="17"/>
              </w:rPr>
              <w:t>I. ОБЩИ ДЪРЖАВНИ СЛУЖБИ</w:t>
            </w:r>
          </w:p>
        </w:tc>
        <w:tc>
          <w:tcPr>
            <w:tcW w:w="960" w:type="dxa"/>
            <w:tcBorders>
              <w:top w:val="nil"/>
              <w:left w:val="nil"/>
              <w:bottom w:val="nil"/>
              <w:right w:val="single" w:sz="8" w:space="0" w:color="800000"/>
            </w:tcBorders>
            <w:shd w:val="clear" w:color="000000" w:fill="FFFFCC"/>
            <w:noWrap/>
            <w:vAlign w:val="bottom"/>
            <w:hideMark/>
          </w:tcPr>
          <w:p w14:paraId="43AC09B7" w14:textId="77777777" w:rsidR="00677E5F" w:rsidRPr="00E56679" w:rsidRDefault="00677E5F" w:rsidP="005D4BE5">
            <w:pPr>
              <w:jc w:val="right"/>
              <w:rPr>
                <w:color w:val="0070C0"/>
                <w:sz w:val="18"/>
                <w:szCs w:val="18"/>
              </w:rPr>
            </w:pPr>
            <w:r>
              <w:rPr>
                <w:sz w:val="18"/>
                <w:szCs w:val="18"/>
              </w:rPr>
              <w:t>4 233,9</w:t>
            </w:r>
          </w:p>
        </w:tc>
        <w:tc>
          <w:tcPr>
            <w:tcW w:w="960" w:type="dxa"/>
            <w:tcBorders>
              <w:top w:val="nil"/>
              <w:left w:val="nil"/>
              <w:bottom w:val="nil"/>
              <w:right w:val="single" w:sz="8" w:space="0" w:color="800000"/>
            </w:tcBorders>
            <w:shd w:val="clear" w:color="000000" w:fill="FFFFCC"/>
            <w:noWrap/>
            <w:vAlign w:val="bottom"/>
            <w:hideMark/>
          </w:tcPr>
          <w:p w14:paraId="39FD779D" w14:textId="77777777" w:rsidR="00677E5F" w:rsidRPr="001D664B" w:rsidRDefault="00677E5F" w:rsidP="005D4BE5">
            <w:pPr>
              <w:jc w:val="right"/>
              <w:rPr>
                <w:sz w:val="18"/>
                <w:szCs w:val="18"/>
              </w:rPr>
            </w:pPr>
            <w:r w:rsidRPr="001D664B">
              <w:rPr>
                <w:sz w:val="18"/>
                <w:szCs w:val="18"/>
              </w:rPr>
              <w:t>1 551,3</w:t>
            </w:r>
          </w:p>
        </w:tc>
        <w:tc>
          <w:tcPr>
            <w:tcW w:w="960" w:type="dxa"/>
            <w:tcBorders>
              <w:top w:val="nil"/>
              <w:left w:val="nil"/>
              <w:bottom w:val="nil"/>
              <w:right w:val="single" w:sz="8" w:space="0" w:color="800000"/>
            </w:tcBorders>
            <w:shd w:val="clear" w:color="000000" w:fill="FFFFCC"/>
            <w:noWrap/>
            <w:vAlign w:val="bottom"/>
            <w:hideMark/>
          </w:tcPr>
          <w:p w14:paraId="4BE29C79" w14:textId="77777777" w:rsidR="00677E5F" w:rsidRPr="00E56679" w:rsidRDefault="00677E5F" w:rsidP="005D4BE5">
            <w:pPr>
              <w:jc w:val="right"/>
              <w:rPr>
                <w:color w:val="0070C0"/>
                <w:sz w:val="18"/>
                <w:szCs w:val="18"/>
              </w:rPr>
            </w:pPr>
            <w:r>
              <w:rPr>
                <w:sz w:val="18"/>
                <w:szCs w:val="18"/>
              </w:rPr>
              <w:t>1 836,1</w:t>
            </w:r>
          </w:p>
        </w:tc>
        <w:tc>
          <w:tcPr>
            <w:tcW w:w="848" w:type="dxa"/>
            <w:tcBorders>
              <w:top w:val="nil"/>
              <w:left w:val="nil"/>
              <w:bottom w:val="nil"/>
              <w:right w:val="single" w:sz="8" w:space="0" w:color="800000"/>
            </w:tcBorders>
            <w:shd w:val="clear" w:color="000000" w:fill="FFFFCC"/>
            <w:noWrap/>
            <w:vAlign w:val="bottom"/>
            <w:hideMark/>
          </w:tcPr>
          <w:p w14:paraId="4F99B103" w14:textId="77777777" w:rsidR="00677E5F" w:rsidRPr="00E56679" w:rsidRDefault="00677E5F" w:rsidP="005D4BE5">
            <w:pPr>
              <w:jc w:val="right"/>
              <w:rPr>
                <w:color w:val="0070C0"/>
                <w:sz w:val="18"/>
                <w:szCs w:val="18"/>
              </w:rPr>
            </w:pPr>
            <w:r>
              <w:rPr>
                <w:sz w:val="18"/>
                <w:szCs w:val="18"/>
              </w:rPr>
              <w:t>43,4%</w:t>
            </w:r>
          </w:p>
        </w:tc>
        <w:tc>
          <w:tcPr>
            <w:tcW w:w="885" w:type="dxa"/>
            <w:tcBorders>
              <w:top w:val="thinThickLargeGap" w:sz="4" w:space="0" w:color="943634" w:themeColor="accent2" w:themeShade="BF"/>
              <w:left w:val="nil"/>
              <w:bottom w:val="nil"/>
              <w:right w:val="double" w:sz="4" w:space="0" w:color="943634" w:themeColor="accent2" w:themeShade="BF"/>
            </w:tcBorders>
            <w:shd w:val="clear" w:color="000000" w:fill="FFFFCC"/>
            <w:noWrap/>
            <w:vAlign w:val="bottom"/>
            <w:hideMark/>
          </w:tcPr>
          <w:p w14:paraId="56289EE0" w14:textId="77777777" w:rsidR="00677E5F" w:rsidRPr="00E56679" w:rsidRDefault="00677E5F" w:rsidP="005D4BE5">
            <w:pPr>
              <w:jc w:val="right"/>
              <w:rPr>
                <w:color w:val="0070C0"/>
                <w:sz w:val="18"/>
                <w:szCs w:val="18"/>
              </w:rPr>
            </w:pPr>
            <w:r>
              <w:rPr>
                <w:sz w:val="18"/>
                <w:szCs w:val="18"/>
              </w:rPr>
              <w:t>118,4%</w:t>
            </w:r>
          </w:p>
        </w:tc>
      </w:tr>
      <w:tr w:rsidR="00677E5F" w:rsidRPr="00E56679" w14:paraId="458BE4BE" w14:textId="77777777" w:rsidTr="005D4BE5">
        <w:trPr>
          <w:trHeight w:val="255"/>
        </w:trPr>
        <w:tc>
          <w:tcPr>
            <w:tcW w:w="4885" w:type="dxa"/>
            <w:tcBorders>
              <w:top w:val="nil"/>
              <w:left w:val="double" w:sz="4" w:space="0" w:color="auto"/>
              <w:bottom w:val="nil"/>
              <w:right w:val="single" w:sz="8" w:space="0" w:color="800000"/>
            </w:tcBorders>
            <w:shd w:val="clear" w:color="000000" w:fill="FFFFCC"/>
            <w:vAlign w:val="bottom"/>
            <w:hideMark/>
          </w:tcPr>
          <w:p w14:paraId="62136B86" w14:textId="77777777" w:rsidR="00677E5F" w:rsidRPr="001C42FF" w:rsidRDefault="00677E5F" w:rsidP="005D4BE5">
            <w:pPr>
              <w:rPr>
                <w:b/>
                <w:bCs/>
                <w:sz w:val="17"/>
                <w:szCs w:val="17"/>
              </w:rPr>
            </w:pPr>
            <w:r w:rsidRPr="001C42FF">
              <w:rPr>
                <w:b/>
                <w:bCs/>
                <w:sz w:val="17"/>
                <w:szCs w:val="17"/>
              </w:rPr>
              <w:t>II. ОТБРАНА И СИГУРНОСТ</w:t>
            </w:r>
          </w:p>
        </w:tc>
        <w:tc>
          <w:tcPr>
            <w:tcW w:w="960" w:type="dxa"/>
            <w:tcBorders>
              <w:top w:val="nil"/>
              <w:left w:val="nil"/>
              <w:bottom w:val="nil"/>
              <w:right w:val="single" w:sz="8" w:space="0" w:color="800000"/>
            </w:tcBorders>
            <w:shd w:val="clear" w:color="000000" w:fill="FFFFCC"/>
            <w:noWrap/>
            <w:vAlign w:val="bottom"/>
            <w:hideMark/>
          </w:tcPr>
          <w:p w14:paraId="1E10DAB5" w14:textId="77777777" w:rsidR="00677E5F" w:rsidRPr="00E56679" w:rsidRDefault="00677E5F" w:rsidP="005D4BE5">
            <w:pPr>
              <w:jc w:val="right"/>
              <w:rPr>
                <w:color w:val="0070C0"/>
                <w:sz w:val="18"/>
                <w:szCs w:val="18"/>
              </w:rPr>
            </w:pPr>
            <w:r>
              <w:rPr>
                <w:sz w:val="18"/>
                <w:szCs w:val="18"/>
              </w:rPr>
              <w:t>7 470,8</w:t>
            </w:r>
          </w:p>
        </w:tc>
        <w:tc>
          <w:tcPr>
            <w:tcW w:w="960" w:type="dxa"/>
            <w:tcBorders>
              <w:top w:val="nil"/>
              <w:left w:val="nil"/>
              <w:bottom w:val="nil"/>
              <w:right w:val="single" w:sz="8" w:space="0" w:color="800000"/>
            </w:tcBorders>
            <w:shd w:val="clear" w:color="000000" w:fill="FFFFCC"/>
            <w:noWrap/>
            <w:vAlign w:val="bottom"/>
            <w:hideMark/>
          </w:tcPr>
          <w:p w14:paraId="07A3223B" w14:textId="77777777" w:rsidR="00677E5F" w:rsidRPr="001D664B" w:rsidRDefault="00677E5F" w:rsidP="005D4BE5">
            <w:pPr>
              <w:jc w:val="right"/>
              <w:rPr>
                <w:sz w:val="18"/>
                <w:szCs w:val="18"/>
              </w:rPr>
            </w:pPr>
            <w:r w:rsidRPr="001D664B">
              <w:rPr>
                <w:sz w:val="18"/>
                <w:szCs w:val="18"/>
              </w:rPr>
              <w:t>3 051,3</w:t>
            </w:r>
          </w:p>
        </w:tc>
        <w:tc>
          <w:tcPr>
            <w:tcW w:w="960" w:type="dxa"/>
            <w:tcBorders>
              <w:top w:val="nil"/>
              <w:left w:val="nil"/>
              <w:bottom w:val="nil"/>
              <w:right w:val="single" w:sz="8" w:space="0" w:color="800000"/>
            </w:tcBorders>
            <w:shd w:val="clear" w:color="000000" w:fill="FFFFCC"/>
            <w:noWrap/>
            <w:vAlign w:val="bottom"/>
            <w:hideMark/>
          </w:tcPr>
          <w:p w14:paraId="1864E80F" w14:textId="77777777" w:rsidR="00677E5F" w:rsidRPr="00E56679" w:rsidRDefault="00677E5F" w:rsidP="005D4BE5">
            <w:pPr>
              <w:jc w:val="right"/>
              <w:rPr>
                <w:color w:val="0070C0"/>
                <w:sz w:val="18"/>
                <w:szCs w:val="18"/>
              </w:rPr>
            </w:pPr>
            <w:r>
              <w:rPr>
                <w:sz w:val="18"/>
                <w:szCs w:val="18"/>
              </w:rPr>
              <w:t>4 336,1</w:t>
            </w:r>
          </w:p>
        </w:tc>
        <w:tc>
          <w:tcPr>
            <w:tcW w:w="848" w:type="dxa"/>
            <w:tcBorders>
              <w:top w:val="nil"/>
              <w:left w:val="nil"/>
              <w:bottom w:val="nil"/>
              <w:right w:val="single" w:sz="8" w:space="0" w:color="800000"/>
            </w:tcBorders>
            <w:shd w:val="clear" w:color="000000" w:fill="FFFFCC"/>
            <w:noWrap/>
            <w:vAlign w:val="bottom"/>
            <w:hideMark/>
          </w:tcPr>
          <w:p w14:paraId="72274AE2" w14:textId="77777777" w:rsidR="00677E5F" w:rsidRPr="00E56679" w:rsidRDefault="00677E5F" w:rsidP="005D4BE5">
            <w:pPr>
              <w:jc w:val="right"/>
              <w:rPr>
                <w:color w:val="0070C0"/>
                <w:sz w:val="18"/>
                <w:szCs w:val="18"/>
              </w:rPr>
            </w:pPr>
            <w:r>
              <w:rPr>
                <w:sz w:val="18"/>
                <w:szCs w:val="18"/>
              </w:rPr>
              <w:t>58,0%</w:t>
            </w:r>
          </w:p>
        </w:tc>
        <w:tc>
          <w:tcPr>
            <w:tcW w:w="885" w:type="dxa"/>
            <w:tcBorders>
              <w:top w:val="nil"/>
              <w:left w:val="nil"/>
              <w:bottom w:val="nil"/>
              <w:right w:val="double" w:sz="4" w:space="0" w:color="943634" w:themeColor="accent2" w:themeShade="BF"/>
            </w:tcBorders>
            <w:shd w:val="clear" w:color="000000" w:fill="FFFFCC"/>
            <w:noWrap/>
            <w:vAlign w:val="bottom"/>
            <w:hideMark/>
          </w:tcPr>
          <w:p w14:paraId="6870AC39" w14:textId="77777777" w:rsidR="00677E5F" w:rsidRPr="00E56679" w:rsidRDefault="00677E5F" w:rsidP="005D4BE5">
            <w:pPr>
              <w:jc w:val="right"/>
              <w:rPr>
                <w:color w:val="0070C0"/>
                <w:sz w:val="18"/>
                <w:szCs w:val="18"/>
              </w:rPr>
            </w:pPr>
            <w:r>
              <w:rPr>
                <w:sz w:val="18"/>
                <w:szCs w:val="18"/>
              </w:rPr>
              <w:t>142,1%</w:t>
            </w:r>
          </w:p>
        </w:tc>
      </w:tr>
      <w:tr w:rsidR="00677E5F" w:rsidRPr="00E56679" w14:paraId="5622A0A8" w14:textId="77777777" w:rsidTr="005D4BE5">
        <w:trPr>
          <w:trHeight w:val="255"/>
        </w:trPr>
        <w:tc>
          <w:tcPr>
            <w:tcW w:w="4885" w:type="dxa"/>
            <w:tcBorders>
              <w:top w:val="nil"/>
              <w:left w:val="double" w:sz="4" w:space="0" w:color="auto"/>
              <w:bottom w:val="nil"/>
              <w:right w:val="single" w:sz="8" w:space="0" w:color="800000"/>
            </w:tcBorders>
            <w:shd w:val="clear" w:color="000000" w:fill="FFFFCC"/>
            <w:vAlign w:val="bottom"/>
            <w:hideMark/>
          </w:tcPr>
          <w:p w14:paraId="22D3254B" w14:textId="77777777" w:rsidR="00677E5F" w:rsidRPr="001C42FF" w:rsidRDefault="00677E5F" w:rsidP="005D4BE5">
            <w:pPr>
              <w:rPr>
                <w:b/>
                <w:bCs/>
                <w:sz w:val="17"/>
                <w:szCs w:val="17"/>
              </w:rPr>
            </w:pPr>
            <w:r w:rsidRPr="001C42FF">
              <w:rPr>
                <w:b/>
                <w:bCs/>
                <w:sz w:val="17"/>
                <w:szCs w:val="17"/>
              </w:rPr>
              <w:t>III. ОБРАЗОВАНИЕ</w:t>
            </w:r>
          </w:p>
        </w:tc>
        <w:tc>
          <w:tcPr>
            <w:tcW w:w="960" w:type="dxa"/>
            <w:tcBorders>
              <w:top w:val="nil"/>
              <w:left w:val="nil"/>
              <w:bottom w:val="nil"/>
              <w:right w:val="single" w:sz="8" w:space="0" w:color="800000"/>
            </w:tcBorders>
            <w:shd w:val="clear" w:color="000000" w:fill="FFFFCC"/>
            <w:noWrap/>
            <w:vAlign w:val="bottom"/>
            <w:hideMark/>
          </w:tcPr>
          <w:p w14:paraId="194A60AD" w14:textId="77777777" w:rsidR="00677E5F" w:rsidRPr="00E56679" w:rsidRDefault="00677E5F" w:rsidP="005D4BE5">
            <w:pPr>
              <w:jc w:val="right"/>
              <w:rPr>
                <w:color w:val="0070C0"/>
                <w:sz w:val="18"/>
                <w:szCs w:val="18"/>
              </w:rPr>
            </w:pPr>
            <w:r>
              <w:rPr>
                <w:sz w:val="18"/>
                <w:szCs w:val="18"/>
              </w:rPr>
              <w:t>8 396,1</w:t>
            </w:r>
          </w:p>
        </w:tc>
        <w:tc>
          <w:tcPr>
            <w:tcW w:w="960" w:type="dxa"/>
            <w:tcBorders>
              <w:top w:val="nil"/>
              <w:left w:val="nil"/>
              <w:bottom w:val="nil"/>
              <w:right w:val="single" w:sz="8" w:space="0" w:color="800000"/>
            </w:tcBorders>
            <w:shd w:val="clear" w:color="000000" w:fill="FFFFCC"/>
            <w:noWrap/>
            <w:vAlign w:val="bottom"/>
            <w:hideMark/>
          </w:tcPr>
          <w:p w14:paraId="556B89B0" w14:textId="77777777" w:rsidR="00677E5F" w:rsidRPr="001D664B" w:rsidRDefault="00677E5F" w:rsidP="005D4BE5">
            <w:pPr>
              <w:jc w:val="right"/>
              <w:rPr>
                <w:sz w:val="18"/>
                <w:szCs w:val="18"/>
              </w:rPr>
            </w:pPr>
            <w:r w:rsidRPr="001D664B">
              <w:rPr>
                <w:sz w:val="18"/>
                <w:szCs w:val="18"/>
              </w:rPr>
              <w:t>3 054,5</w:t>
            </w:r>
          </w:p>
        </w:tc>
        <w:tc>
          <w:tcPr>
            <w:tcW w:w="960" w:type="dxa"/>
            <w:tcBorders>
              <w:top w:val="nil"/>
              <w:left w:val="nil"/>
              <w:bottom w:val="nil"/>
              <w:right w:val="single" w:sz="8" w:space="0" w:color="800000"/>
            </w:tcBorders>
            <w:shd w:val="clear" w:color="000000" w:fill="FFFFCC"/>
            <w:noWrap/>
            <w:vAlign w:val="bottom"/>
            <w:hideMark/>
          </w:tcPr>
          <w:p w14:paraId="198E11A9" w14:textId="77777777" w:rsidR="00677E5F" w:rsidRPr="00E56679" w:rsidRDefault="00677E5F" w:rsidP="005D4BE5">
            <w:pPr>
              <w:jc w:val="right"/>
              <w:rPr>
                <w:color w:val="0070C0"/>
                <w:sz w:val="18"/>
                <w:szCs w:val="18"/>
              </w:rPr>
            </w:pPr>
            <w:r>
              <w:rPr>
                <w:sz w:val="18"/>
                <w:szCs w:val="18"/>
              </w:rPr>
              <w:t>3 669,7</w:t>
            </w:r>
          </w:p>
        </w:tc>
        <w:tc>
          <w:tcPr>
            <w:tcW w:w="848" w:type="dxa"/>
            <w:tcBorders>
              <w:top w:val="nil"/>
              <w:left w:val="nil"/>
              <w:bottom w:val="nil"/>
              <w:right w:val="single" w:sz="8" w:space="0" w:color="800000"/>
            </w:tcBorders>
            <w:shd w:val="clear" w:color="000000" w:fill="FFFFCC"/>
            <w:noWrap/>
            <w:vAlign w:val="bottom"/>
            <w:hideMark/>
          </w:tcPr>
          <w:p w14:paraId="7A48495F" w14:textId="77777777" w:rsidR="00677E5F" w:rsidRPr="00E56679" w:rsidRDefault="00677E5F" w:rsidP="005D4BE5">
            <w:pPr>
              <w:jc w:val="right"/>
              <w:rPr>
                <w:color w:val="0070C0"/>
                <w:sz w:val="18"/>
                <w:szCs w:val="18"/>
              </w:rPr>
            </w:pPr>
            <w:r>
              <w:rPr>
                <w:sz w:val="18"/>
                <w:szCs w:val="18"/>
              </w:rPr>
              <w:t>43,7%</w:t>
            </w:r>
          </w:p>
        </w:tc>
        <w:tc>
          <w:tcPr>
            <w:tcW w:w="885" w:type="dxa"/>
            <w:tcBorders>
              <w:top w:val="nil"/>
              <w:left w:val="nil"/>
              <w:bottom w:val="nil"/>
              <w:right w:val="double" w:sz="4" w:space="0" w:color="943634" w:themeColor="accent2" w:themeShade="BF"/>
            </w:tcBorders>
            <w:shd w:val="clear" w:color="000000" w:fill="FFFFCC"/>
            <w:noWrap/>
            <w:vAlign w:val="bottom"/>
            <w:hideMark/>
          </w:tcPr>
          <w:p w14:paraId="4233BE91" w14:textId="77777777" w:rsidR="00677E5F" w:rsidRPr="00E56679" w:rsidRDefault="00677E5F" w:rsidP="005D4BE5">
            <w:pPr>
              <w:jc w:val="right"/>
              <w:rPr>
                <w:color w:val="0070C0"/>
                <w:sz w:val="18"/>
                <w:szCs w:val="18"/>
              </w:rPr>
            </w:pPr>
            <w:r>
              <w:rPr>
                <w:sz w:val="18"/>
                <w:szCs w:val="18"/>
              </w:rPr>
              <w:t>120,1%</w:t>
            </w:r>
          </w:p>
        </w:tc>
      </w:tr>
      <w:tr w:rsidR="00677E5F" w:rsidRPr="00E56679" w14:paraId="097AF9EF" w14:textId="77777777" w:rsidTr="005D4BE5">
        <w:trPr>
          <w:trHeight w:val="255"/>
        </w:trPr>
        <w:tc>
          <w:tcPr>
            <w:tcW w:w="4885" w:type="dxa"/>
            <w:tcBorders>
              <w:top w:val="nil"/>
              <w:left w:val="double" w:sz="4" w:space="0" w:color="auto"/>
              <w:bottom w:val="nil"/>
              <w:right w:val="single" w:sz="8" w:space="0" w:color="800000"/>
            </w:tcBorders>
            <w:shd w:val="clear" w:color="000000" w:fill="FFFFCC"/>
            <w:vAlign w:val="bottom"/>
            <w:hideMark/>
          </w:tcPr>
          <w:p w14:paraId="097A4106" w14:textId="77777777" w:rsidR="00677E5F" w:rsidRPr="001C42FF" w:rsidRDefault="00677E5F" w:rsidP="005D4BE5">
            <w:pPr>
              <w:rPr>
                <w:b/>
                <w:bCs/>
                <w:sz w:val="17"/>
                <w:szCs w:val="17"/>
              </w:rPr>
            </w:pPr>
            <w:r w:rsidRPr="001C42FF">
              <w:rPr>
                <w:b/>
                <w:bCs/>
                <w:sz w:val="17"/>
                <w:szCs w:val="17"/>
              </w:rPr>
              <w:t>IV. ЗДРАВЕОПАЗВАНЕ</w:t>
            </w:r>
          </w:p>
        </w:tc>
        <w:tc>
          <w:tcPr>
            <w:tcW w:w="960" w:type="dxa"/>
            <w:tcBorders>
              <w:top w:val="nil"/>
              <w:left w:val="nil"/>
              <w:bottom w:val="nil"/>
              <w:right w:val="single" w:sz="8" w:space="0" w:color="800000"/>
            </w:tcBorders>
            <w:shd w:val="clear" w:color="000000" w:fill="FFFFCC"/>
            <w:noWrap/>
            <w:vAlign w:val="bottom"/>
            <w:hideMark/>
          </w:tcPr>
          <w:p w14:paraId="321D3D8D" w14:textId="77777777" w:rsidR="00677E5F" w:rsidRPr="00E56679" w:rsidRDefault="00677E5F" w:rsidP="005D4BE5">
            <w:pPr>
              <w:jc w:val="right"/>
              <w:rPr>
                <w:color w:val="0070C0"/>
                <w:sz w:val="18"/>
                <w:szCs w:val="18"/>
              </w:rPr>
            </w:pPr>
            <w:r>
              <w:rPr>
                <w:sz w:val="18"/>
                <w:szCs w:val="18"/>
              </w:rPr>
              <w:t>9 785,4</w:t>
            </w:r>
          </w:p>
        </w:tc>
        <w:tc>
          <w:tcPr>
            <w:tcW w:w="960" w:type="dxa"/>
            <w:tcBorders>
              <w:top w:val="nil"/>
              <w:left w:val="nil"/>
              <w:bottom w:val="nil"/>
              <w:right w:val="single" w:sz="8" w:space="0" w:color="800000"/>
            </w:tcBorders>
            <w:shd w:val="clear" w:color="000000" w:fill="FFFFCC"/>
            <w:noWrap/>
            <w:vAlign w:val="bottom"/>
            <w:hideMark/>
          </w:tcPr>
          <w:p w14:paraId="26CF10CF" w14:textId="77777777" w:rsidR="00677E5F" w:rsidRPr="001D664B" w:rsidRDefault="00677E5F" w:rsidP="005D4BE5">
            <w:pPr>
              <w:jc w:val="right"/>
              <w:rPr>
                <w:sz w:val="18"/>
                <w:szCs w:val="18"/>
              </w:rPr>
            </w:pPr>
            <w:r w:rsidRPr="001D664B">
              <w:rPr>
                <w:sz w:val="18"/>
                <w:szCs w:val="18"/>
              </w:rPr>
              <w:t>3 869,6</w:t>
            </w:r>
          </w:p>
        </w:tc>
        <w:tc>
          <w:tcPr>
            <w:tcW w:w="960" w:type="dxa"/>
            <w:tcBorders>
              <w:top w:val="nil"/>
              <w:left w:val="nil"/>
              <w:bottom w:val="nil"/>
              <w:right w:val="single" w:sz="8" w:space="0" w:color="800000"/>
            </w:tcBorders>
            <w:shd w:val="clear" w:color="000000" w:fill="FFFFCC"/>
            <w:noWrap/>
            <w:vAlign w:val="bottom"/>
            <w:hideMark/>
          </w:tcPr>
          <w:p w14:paraId="70C48CB8" w14:textId="77777777" w:rsidR="00677E5F" w:rsidRPr="00E56679" w:rsidRDefault="00677E5F" w:rsidP="005D4BE5">
            <w:pPr>
              <w:jc w:val="right"/>
              <w:rPr>
                <w:color w:val="0070C0"/>
                <w:sz w:val="18"/>
                <w:szCs w:val="18"/>
              </w:rPr>
            </w:pPr>
            <w:r>
              <w:rPr>
                <w:sz w:val="18"/>
                <w:szCs w:val="18"/>
              </w:rPr>
              <w:t>4 756,6</w:t>
            </w:r>
          </w:p>
        </w:tc>
        <w:tc>
          <w:tcPr>
            <w:tcW w:w="848" w:type="dxa"/>
            <w:tcBorders>
              <w:top w:val="nil"/>
              <w:left w:val="nil"/>
              <w:bottom w:val="nil"/>
              <w:right w:val="single" w:sz="8" w:space="0" w:color="800000"/>
            </w:tcBorders>
            <w:shd w:val="clear" w:color="000000" w:fill="FFFFCC"/>
            <w:noWrap/>
            <w:vAlign w:val="bottom"/>
            <w:hideMark/>
          </w:tcPr>
          <w:p w14:paraId="3F575F89" w14:textId="77777777" w:rsidR="00677E5F" w:rsidRPr="00E56679" w:rsidRDefault="00677E5F" w:rsidP="005D4BE5">
            <w:pPr>
              <w:jc w:val="right"/>
              <w:rPr>
                <w:color w:val="0070C0"/>
                <w:sz w:val="18"/>
                <w:szCs w:val="18"/>
              </w:rPr>
            </w:pPr>
            <w:r>
              <w:rPr>
                <w:sz w:val="18"/>
                <w:szCs w:val="18"/>
              </w:rPr>
              <w:t>48,6%</w:t>
            </w:r>
          </w:p>
        </w:tc>
        <w:tc>
          <w:tcPr>
            <w:tcW w:w="885" w:type="dxa"/>
            <w:tcBorders>
              <w:top w:val="nil"/>
              <w:left w:val="nil"/>
              <w:bottom w:val="nil"/>
              <w:right w:val="double" w:sz="4" w:space="0" w:color="943634" w:themeColor="accent2" w:themeShade="BF"/>
            </w:tcBorders>
            <w:shd w:val="clear" w:color="000000" w:fill="FFFFCC"/>
            <w:noWrap/>
            <w:vAlign w:val="bottom"/>
            <w:hideMark/>
          </w:tcPr>
          <w:p w14:paraId="15F8EBCE" w14:textId="77777777" w:rsidR="00677E5F" w:rsidRPr="00E56679" w:rsidRDefault="00677E5F" w:rsidP="005D4BE5">
            <w:pPr>
              <w:jc w:val="right"/>
              <w:rPr>
                <w:color w:val="0070C0"/>
                <w:sz w:val="18"/>
                <w:szCs w:val="18"/>
              </w:rPr>
            </w:pPr>
            <w:r>
              <w:rPr>
                <w:sz w:val="18"/>
                <w:szCs w:val="18"/>
              </w:rPr>
              <w:t>122,9%</w:t>
            </w:r>
          </w:p>
        </w:tc>
      </w:tr>
      <w:tr w:rsidR="00677E5F" w:rsidRPr="00E56679" w14:paraId="41885720" w14:textId="77777777" w:rsidTr="005D4BE5">
        <w:trPr>
          <w:trHeight w:val="255"/>
        </w:trPr>
        <w:tc>
          <w:tcPr>
            <w:tcW w:w="4885" w:type="dxa"/>
            <w:tcBorders>
              <w:top w:val="nil"/>
              <w:left w:val="double" w:sz="4" w:space="0" w:color="auto"/>
              <w:bottom w:val="nil"/>
              <w:right w:val="single" w:sz="8" w:space="0" w:color="800000"/>
            </w:tcBorders>
            <w:shd w:val="clear" w:color="000000" w:fill="FFFFCC"/>
            <w:vAlign w:val="bottom"/>
            <w:hideMark/>
          </w:tcPr>
          <w:p w14:paraId="4DD2ECDD" w14:textId="77777777" w:rsidR="00677E5F" w:rsidRPr="001C42FF" w:rsidRDefault="00677E5F" w:rsidP="005D4BE5">
            <w:pPr>
              <w:rPr>
                <w:b/>
                <w:bCs/>
                <w:sz w:val="17"/>
                <w:szCs w:val="17"/>
              </w:rPr>
            </w:pPr>
            <w:r w:rsidRPr="001C42FF">
              <w:rPr>
                <w:b/>
                <w:bCs/>
                <w:sz w:val="17"/>
                <w:szCs w:val="17"/>
              </w:rPr>
              <w:t>V.СОЦИАЛНО ОСИГ., ПОДПОМАГАНЕ И ГРИЖИ</w:t>
            </w:r>
          </w:p>
        </w:tc>
        <w:tc>
          <w:tcPr>
            <w:tcW w:w="960" w:type="dxa"/>
            <w:tcBorders>
              <w:top w:val="nil"/>
              <w:left w:val="nil"/>
              <w:bottom w:val="nil"/>
              <w:right w:val="single" w:sz="8" w:space="0" w:color="800000"/>
            </w:tcBorders>
            <w:shd w:val="clear" w:color="000000" w:fill="FFFFCC"/>
            <w:noWrap/>
            <w:vAlign w:val="bottom"/>
            <w:hideMark/>
          </w:tcPr>
          <w:p w14:paraId="2FD5A61D" w14:textId="77777777" w:rsidR="00677E5F" w:rsidRPr="00E56679" w:rsidRDefault="00677E5F" w:rsidP="005D4BE5">
            <w:pPr>
              <w:jc w:val="right"/>
              <w:rPr>
                <w:color w:val="0070C0"/>
                <w:sz w:val="18"/>
                <w:szCs w:val="18"/>
              </w:rPr>
            </w:pPr>
            <w:r>
              <w:rPr>
                <w:sz w:val="18"/>
                <w:szCs w:val="18"/>
              </w:rPr>
              <w:t>29 509,5</w:t>
            </w:r>
          </w:p>
        </w:tc>
        <w:tc>
          <w:tcPr>
            <w:tcW w:w="960" w:type="dxa"/>
            <w:tcBorders>
              <w:top w:val="nil"/>
              <w:left w:val="nil"/>
              <w:bottom w:val="nil"/>
              <w:right w:val="single" w:sz="8" w:space="0" w:color="800000"/>
            </w:tcBorders>
            <w:shd w:val="clear" w:color="000000" w:fill="FFFFCC"/>
            <w:noWrap/>
            <w:vAlign w:val="bottom"/>
            <w:hideMark/>
          </w:tcPr>
          <w:p w14:paraId="3252797B" w14:textId="77777777" w:rsidR="00677E5F" w:rsidRPr="001D664B" w:rsidRDefault="00677E5F" w:rsidP="005D4BE5">
            <w:pPr>
              <w:jc w:val="right"/>
              <w:rPr>
                <w:sz w:val="18"/>
                <w:szCs w:val="18"/>
              </w:rPr>
            </w:pPr>
            <w:r w:rsidRPr="001D664B">
              <w:rPr>
                <w:sz w:val="18"/>
                <w:szCs w:val="18"/>
              </w:rPr>
              <w:t>11 748,3</w:t>
            </w:r>
          </w:p>
        </w:tc>
        <w:tc>
          <w:tcPr>
            <w:tcW w:w="960" w:type="dxa"/>
            <w:tcBorders>
              <w:top w:val="nil"/>
              <w:left w:val="nil"/>
              <w:bottom w:val="nil"/>
              <w:right w:val="single" w:sz="8" w:space="0" w:color="800000"/>
            </w:tcBorders>
            <w:shd w:val="clear" w:color="000000" w:fill="FFFFCC"/>
            <w:noWrap/>
            <w:vAlign w:val="bottom"/>
            <w:hideMark/>
          </w:tcPr>
          <w:p w14:paraId="210B4072" w14:textId="77777777" w:rsidR="00677E5F" w:rsidRPr="00E56679" w:rsidRDefault="00677E5F" w:rsidP="005D4BE5">
            <w:pPr>
              <w:jc w:val="right"/>
              <w:rPr>
                <w:color w:val="0070C0"/>
                <w:sz w:val="18"/>
                <w:szCs w:val="18"/>
              </w:rPr>
            </w:pPr>
            <w:r>
              <w:rPr>
                <w:sz w:val="18"/>
                <w:szCs w:val="18"/>
              </w:rPr>
              <w:t>13 778,4</w:t>
            </w:r>
          </w:p>
        </w:tc>
        <w:tc>
          <w:tcPr>
            <w:tcW w:w="848" w:type="dxa"/>
            <w:tcBorders>
              <w:top w:val="nil"/>
              <w:left w:val="nil"/>
              <w:bottom w:val="nil"/>
              <w:right w:val="single" w:sz="8" w:space="0" w:color="800000"/>
            </w:tcBorders>
            <w:shd w:val="clear" w:color="000000" w:fill="FFFFCC"/>
            <w:noWrap/>
            <w:vAlign w:val="bottom"/>
            <w:hideMark/>
          </w:tcPr>
          <w:p w14:paraId="47B42A4F" w14:textId="77777777" w:rsidR="00677E5F" w:rsidRPr="00E56679" w:rsidRDefault="00677E5F" w:rsidP="005D4BE5">
            <w:pPr>
              <w:jc w:val="right"/>
              <w:rPr>
                <w:color w:val="0070C0"/>
                <w:sz w:val="18"/>
                <w:szCs w:val="18"/>
              </w:rPr>
            </w:pPr>
            <w:r>
              <w:rPr>
                <w:sz w:val="18"/>
                <w:szCs w:val="18"/>
              </w:rPr>
              <w:t>46,7%</w:t>
            </w:r>
          </w:p>
        </w:tc>
        <w:tc>
          <w:tcPr>
            <w:tcW w:w="885" w:type="dxa"/>
            <w:tcBorders>
              <w:top w:val="nil"/>
              <w:left w:val="nil"/>
              <w:bottom w:val="nil"/>
              <w:right w:val="double" w:sz="4" w:space="0" w:color="943634" w:themeColor="accent2" w:themeShade="BF"/>
            </w:tcBorders>
            <w:shd w:val="clear" w:color="000000" w:fill="FFFFCC"/>
            <w:noWrap/>
            <w:vAlign w:val="bottom"/>
            <w:hideMark/>
          </w:tcPr>
          <w:p w14:paraId="65C7EAD2" w14:textId="77777777" w:rsidR="00677E5F" w:rsidRPr="00E56679" w:rsidRDefault="00677E5F" w:rsidP="005D4BE5">
            <w:pPr>
              <w:jc w:val="right"/>
              <w:rPr>
                <w:color w:val="0070C0"/>
                <w:sz w:val="18"/>
                <w:szCs w:val="18"/>
              </w:rPr>
            </w:pPr>
            <w:r>
              <w:rPr>
                <w:sz w:val="18"/>
                <w:szCs w:val="18"/>
              </w:rPr>
              <w:t>117,3%</w:t>
            </w:r>
          </w:p>
        </w:tc>
      </w:tr>
      <w:tr w:rsidR="00677E5F" w:rsidRPr="00E56679" w14:paraId="60084809" w14:textId="77777777" w:rsidTr="005D4BE5">
        <w:trPr>
          <w:trHeight w:val="435"/>
        </w:trPr>
        <w:tc>
          <w:tcPr>
            <w:tcW w:w="4885" w:type="dxa"/>
            <w:tcBorders>
              <w:top w:val="nil"/>
              <w:left w:val="double" w:sz="4" w:space="0" w:color="auto"/>
              <w:bottom w:val="nil"/>
              <w:right w:val="single" w:sz="8" w:space="0" w:color="800000"/>
            </w:tcBorders>
            <w:shd w:val="clear" w:color="000000" w:fill="FFFFCC"/>
            <w:vAlign w:val="bottom"/>
            <w:hideMark/>
          </w:tcPr>
          <w:p w14:paraId="2683427D" w14:textId="77777777" w:rsidR="00677E5F" w:rsidRPr="001C42FF" w:rsidRDefault="00677E5F" w:rsidP="005D4BE5">
            <w:pPr>
              <w:rPr>
                <w:b/>
                <w:bCs/>
                <w:sz w:val="17"/>
                <w:szCs w:val="17"/>
              </w:rPr>
            </w:pPr>
            <w:r w:rsidRPr="001C42FF">
              <w:rPr>
                <w:b/>
                <w:bCs/>
                <w:sz w:val="17"/>
                <w:szCs w:val="17"/>
              </w:rPr>
              <w:t>VI. ЖИЛИЩНО СТРОИТЕЛСТВО, БЛАГОУСТРОЙСТВО, КОМУНАЛНО СТОП. И ОПАЗВАНЕ НА ОКОЛНАТА СРЕДА</w:t>
            </w:r>
          </w:p>
        </w:tc>
        <w:tc>
          <w:tcPr>
            <w:tcW w:w="960" w:type="dxa"/>
            <w:tcBorders>
              <w:top w:val="nil"/>
              <w:left w:val="nil"/>
              <w:bottom w:val="nil"/>
              <w:right w:val="single" w:sz="8" w:space="0" w:color="800000"/>
            </w:tcBorders>
            <w:shd w:val="clear" w:color="000000" w:fill="FFFFCC"/>
            <w:noWrap/>
            <w:vAlign w:val="bottom"/>
            <w:hideMark/>
          </w:tcPr>
          <w:p w14:paraId="149A836A" w14:textId="77777777" w:rsidR="00677E5F" w:rsidRPr="00E56679" w:rsidRDefault="00677E5F" w:rsidP="005D4BE5">
            <w:pPr>
              <w:jc w:val="right"/>
              <w:rPr>
                <w:color w:val="0070C0"/>
                <w:sz w:val="18"/>
                <w:szCs w:val="18"/>
              </w:rPr>
            </w:pPr>
            <w:r>
              <w:rPr>
                <w:sz w:val="18"/>
                <w:szCs w:val="18"/>
              </w:rPr>
              <w:t>3 446,6</w:t>
            </w:r>
          </w:p>
        </w:tc>
        <w:tc>
          <w:tcPr>
            <w:tcW w:w="960" w:type="dxa"/>
            <w:tcBorders>
              <w:top w:val="nil"/>
              <w:left w:val="nil"/>
              <w:bottom w:val="nil"/>
              <w:right w:val="single" w:sz="8" w:space="0" w:color="800000"/>
            </w:tcBorders>
            <w:shd w:val="clear" w:color="000000" w:fill="FFFFCC"/>
            <w:noWrap/>
            <w:vAlign w:val="bottom"/>
            <w:hideMark/>
          </w:tcPr>
          <w:p w14:paraId="06B0305C" w14:textId="77777777" w:rsidR="00677E5F" w:rsidRPr="001D664B" w:rsidRDefault="00677E5F" w:rsidP="005D4BE5">
            <w:pPr>
              <w:jc w:val="right"/>
              <w:rPr>
                <w:sz w:val="18"/>
                <w:szCs w:val="18"/>
              </w:rPr>
            </w:pPr>
            <w:r w:rsidRPr="001D664B">
              <w:rPr>
                <w:sz w:val="18"/>
                <w:szCs w:val="18"/>
              </w:rPr>
              <w:t>1 217,3</w:t>
            </w:r>
          </w:p>
        </w:tc>
        <w:tc>
          <w:tcPr>
            <w:tcW w:w="960" w:type="dxa"/>
            <w:tcBorders>
              <w:top w:val="nil"/>
              <w:left w:val="nil"/>
              <w:bottom w:val="nil"/>
              <w:right w:val="single" w:sz="8" w:space="0" w:color="800000"/>
            </w:tcBorders>
            <w:shd w:val="clear" w:color="000000" w:fill="FFFFCC"/>
            <w:noWrap/>
            <w:vAlign w:val="bottom"/>
            <w:hideMark/>
          </w:tcPr>
          <w:p w14:paraId="303BEB66" w14:textId="77777777" w:rsidR="00677E5F" w:rsidRPr="00E56679" w:rsidRDefault="00677E5F" w:rsidP="005D4BE5">
            <w:pPr>
              <w:jc w:val="right"/>
              <w:rPr>
                <w:color w:val="0070C0"/>
                <w:sz w:val="18"/>
                <w:szCs w:val="18"/>
              </w:rPr>
            </w:pPr>
            <w:r>
              <w:rPr>
                <w:sz w:val="18"/>
                <w:szCs w:val="18"/>
              </w:rPr>
              <w:t>122,7</w:t>
            </w:r>
          </w:p>
        </w:tc>
        <w:tc>
          <w:tcPr>
            <w:tcW w:w="848" w:type="dxa"/>
            <w:tcBorders>
              <w:top w:val="nil"/>
              <w:left w:val="nil"/>
              <w:bottom w:val="nil"/>
              <w:right w:val="single" w:sz="8" w:space="0" w:color="800000"/>
            </w:tcBorders>
            <w:shd w:val="clear" w:color="000000" w:fill="FFFFCC"/>
            <w:noWrap/>
            <w:vAlign w:val="bottom"/>
            <w:hideMark/>
          </w:tcPr>
          <w:p w14:paraId="05C287D1" w14:textId="77777777" w:rsidR="00677E5F" w:rsidRPr="00E56679" w:rsidRDefault="00677E5F" w:rsidP="005D4BE5">
            <w:pPr>
              <w:jc w:val="right"/>
              <w:rPr>
                <w:color w:val="0070C0"/>
                <w:sz w:val="18"/>
                <w:szCs w:val="18"/>
              </w:rPr>
            </w:pPr>
            <w:r>
              <w:rPr>
                <w:sz w:val="18"/>
                <w:szCs w:val="18"/>
              </w:rPr>
              <w:t>3,6%</w:t>
            </w:r>
          </w:p>
        </w:tc>
        <w:tc>
          <w:tcPr>
            <w:tcW w:w="885" w:type="dxa"/>
            <w:tcBorders>
              <w:top w:val="nil"/>
              <w:left w:val="nil"/>
              <w:bottom w:val="nil"/>
              <w:right w:val="double" w:sz="4" w:space="0" w:color="943634" w:themeColor="accent2" w:themeShade="BF"/>
            </w:tcBorders>
            <w:shd w:val="clear" w:color="000000" w:fill="FFFFCC"/>
            <w:noWrap/>
            <w:vAlign w:val="bottom"/>
            <w:hideMark/>
          </w:tcPr>
          <w:p w14:paraId="12E115A6" w14:textId="77777777" w:rsidR="00677E5F" w:rsidRPr="00E56679" w:rsidRDefault="00677E5F" w:rsidP="005D4BE5">
            <w:pPr>
              <w:jc w:val="right"/>
              <w:rPr>
                <w:color w:val="0070C0"/>
                <w:sz w:val="18"/>
                <w:szCs w:val="18"/>
              </w:rPr>
            </w:pPr>
            <w:r>
              <w:rPr>
                <w:sz w:val="18"/>
                <w:szCs w:val="18"/>
              </w:rPr>
              <w:t>10,1%</w:t>
            </w:r>
          </w:p>
        </w:tc>
      </w:tr>
      <w:tr w:rsidR="00677E5F" w:rsidRPr="00E56679" w14:paraId="09A2D30E" w14:textId="77777777" w:rsidTr="005D4BE5">
        <w:trPr>
          <w:trHeight w:val="255"/>
        </w:trPr>
        <w:tc>
          <w:tcPr>
            <w:tcW w:w="4885" w:type="dxa"/>
            <w:tcBorders>
              <w:top w:val="nil"/>
              <w:left w:val="double" w:sz="4" w:space="0" w:color="auto"/>
              <w:bottom w:val="nil"/>
              <w:right w:val="single" w:sz="8" w:space="0" w:color="800000"/>
            </w:tcBorders>
            <w:shd w:val="clear" w:color="000000" w:fill="FFFFCC"/>
            <w:vAlign w:val="bottom"/>
            <w:hideMark/>
          </w:tcPr>
          <w:p w14:paraId="38C06D18" w14:textId="77777777" w:rsidR="00677E5F" w:rsidRPr="001C42FF" w:rsidRDefault="00677E5F" w:rsidP="005D4BE5">
            <w:pPr>
              <w:rPr>
                <w:b/>
                <w:bCs/>
                <w:sz w:val="17"/>
                <w:szCs w:val="17"/>
              </w:rPr>
            </w:pPr>
            <w:r w:rsidRPr="001C42FF">
              <w:rPr>
                <w:b/>
                <w:bCs/>
                <w:sz w:val="17"/>
                <w:szCs w:val="17"/>
              </w:rPr>
              <w:t>VII. КУЛТУРА, СПОРТ, ПОЧИВНИ ДЕЙНОСТИ И РЕЛИГИОЗНО ДЕЛО</w:t>
            </w:r>
          </w:p>
        </w:tc>
        <w:tc>
          <w:tcPr>
            <w:tcW w:w="960" w:type="dxa"/>
            <w:tcBorders>
              <w:top w:val="nil"/>
              <w:left w:val="nil"/>
              <w:bottom w:val="nil"/>
              <w:right w:val="single" w:sz="8" w:space="0" w:color="800000"/>
            </w:tcBorders>
            <w:shd w:val="clear" w:color="000000" w:fill="FFFFCC"/>
            <w:noWrap/>
            <w:vAlign w:val="bottom"/>
            <w:hideMark/>
          </w:tcPr>
          <w:p w14:paraId="4925F3CE" w14:textId="77777777" w:rsidR="00677E5F" w:rsidRPr="00E56679" w:rsidRDefault="00677E5F" w:rsidP="005D4BE5">
            <w:pPr>
              <w:jc w:val="right"/>
              <w:rPr>
                <w:color w:val="0070C0"/>
                <w:sz w:val="18"/>
                <w:szCs w:val="18"/>
              </w:rPr>
            </w:pPr>
            <w:r>
              <w:rPr>
                <w:sz w:val="18"/>
                <w:szCs w:val="18"/>
              </w:rPr>
              <w:t>1 277,4</w:t>
            </w:r>
          </w:p>
        </w:tc>
        <w:tc>
          <w:tcPr>
            <w:tcW w:w="960" w:type="dxa"/>
            <w:tcBorders>
              <w:top w:val="nil"/>
              <w:left w:val="nil"/>
              <w:bottom w:val="nil"/>
              <w:right w:val="single" w:sz="8" w:space="0" w:color="800000"/>
            </w:tcBorders>
            <w:shd w:val="clear" w:color="000000" w:fill="FFFFCC"/>
            <w:noWrap/>
            <w:vAlign w:val="bottom"/>
            <w:hideMark/>
          </w:tcPr>
          <w:p w14:paraId="5007079E" w14:textId="77777777" w:rsidR="00677E5F" w:rsidRPr="001D664B" w:rsidRDefault="00677E5F" w:rsidP="005D4BE5">
            <w:pPr>
              <w:jc w:val="right"/>
              <w:rPr>
                <w:sz w:val="18"/>
                <w:szCs w:val="18"/>
              </w:rPr>
            </w:pPr>
            <w:r w:rsidRPr="001D664B">
              <w:rPr>
                <w:sz w:val="18"/>
                <w:szCs w:val="18"/>
              </w:rPr>
              <w:t>622,4</w:t>
            </w:r>
          </w:p>
        </w:tc>
        <w:tc>
          <w:tcPr>
            <w:tcW w:w="960" w:type="dxa"/>
            <w:tcBorders>
              <w:top w:val="nil"/>
              <w:left w:val="nil"/>
              <w:bottom w:val="nil"/>
              <w:right w:val="single" w:sz="8" w:space="0" w:color="800000"/>
            </w:tcBorders>
            <w:shd w:val="clear" w:color="000000" w:fill="FFFFCC"/>
            <w:noWrap/>
            <w:vAlign w:val="bottom"/>
            <w:hideMark/>
          </w:tcPr>
          <w:p w14:paraId="38BC13D0" w14:textId="77777777" w:rsidR="00677E5F" w:rsidRPr="00E56679" w:rsidRDefault="00677E5F" w:rsidP="005D4BE5">
            <w:pPr>
              <w:jc w:val="right"/>
              <w:rPr>
                <w:color w:val="0070C0"/>
                <w:sz w:val="18"/>
                <w:szCs w:val="18"/>
              </w:rPr>
            </w:pPr>
            <w:r>
              <w:rPr>
                <w:sz w:val="18"/>
                <w:szCs w:val="18"/>
              </w:rPr>
              <w:t>718,1</w:t>
            </w:r>
          </w:p>
        </w:tc>
        <w:tc>
          <w:tcPr>
            <w:tcW w:w="848" w:type="dxa"/>
            <w:tcBorders>
              <w:top w:val="nil"/>
              <w:left w:val="nil"/>
              <w:bottom w:val="nil"/>
              <w:right w:val="single" w:sz="8" w:space="0" w:color="800000"/>
            </w:tcBorders>
            <w:shd w:val="clear" w:color="000000" w:fill="FFFFCC"/>
            <w:noWrap/>
            <w:vAlign w:val="bottom"/>
            <w:hideMark/>
          </w:tcPr>
          <w:p w14:paraId="2250DD1E" w14:textId="77777777" w:rsidR="00677E5F" w:rsidRPr="00E56679" w:rsidRDefault="00677E5F" w:rsidP="005D4BE5">
            <w:pPr>
              <w:jc w:val="right"/>
              <w:rPr>
                <w:color w:val="0070C0"/>
                <w:sz w:val="18"/>
                <w:szCs w:val="18"/>
              </w:rPr>
            </w:pPr>
            <w:r>
              <w:rPr>
                <w:sz w:val="18"/>
                <w:szCs w:val="18"/>
              </w:rPr>
              <w:t>56,2%</w:t>
            </w:r>
          </w:p>
        </w:tc>
        <w:tc>
          <w:tcPr>
            <w:tcW w:w="885" w:type="dxa"/>
            <w:tcBorders>
              <w:top w:val="nil"/>
              <w:left w:val="nil"/>
              <w:bottom w:val="nil"/>
              <w:right w:val="double" w:sz="4" w:space="0" w:color="943634" w:themeColor="accent2" w:themeShade="BF"/>
            </w:tcBorders>
            <w:shd w:val="clear" w:color="000000" w:fill="FFFFCC"/>
            <w:noWrap/>
            <w:vAlign w:val="bottom"/>
            <w:hideMark/>
          </w:tcPr>
          <w:p w14:paraId="133F977A" w14:textId="77777777" w:rsidR="00677E5F" w:rsidRPr="00E56679" w:rsidRDefault="00677E5F" w:rsidP="005D4BE5">
            <w:pPr>
              <w:jc w:val="right"/>
              <w:rPr>
                <w:color w:val="0070C0"/>
                <w:sz w:val="18"/>
                <w:szCs w:val="18"/>
              </w:rPr>
            </w:pPr>
            <w:r>
              <w:rPr>
                <w:sz w:val="18"/>
                <w:szCs w:val="18"/>
              </w:rPr>
              <w:t>115,4%</w:t>
            </w:r>
          </w:p>
        </w:tc>
      </w:tr>
      <w:tr w:rsidR="00677E5F" w:rsidRPr="00E56679" w14:paraId="4D84F9FC" w14:textId="77777777" w:rsidTr="005D4BE5">
        <w:trPr>
          <w:trHeight w:val="255"/>
        </w:trPr>
        <w:tc>
          <w:tcPr>
            <w:tcW w:w="4885" w:type="dxa"/>
            <w:tcBorders>
              <w:top w:val="nil"/>
              <w:left w:val="double" w:sz="4" w:space="0" w:color="auto"/>
              <w:bottom w:val="nil"/>
              <w:right w:val="single" w:sz="8" w:space="0" w:color="800000"/>
            </w:tcBorders>
            <w:shd w:val="clear" w:color="000000" w:fill="FFFFCC"/>
            <w:vAlign w:val="bottom"/>
            <w:hideMark/>
          </w:tcPr>
          <w:p w14:paraId="4687683F" w14:textId="77777777" w:rsidR="00677E5F" w:rsidRPr="001C42FF" w:rsidRDefault="00677E5F" w:rsidP="005D4BE5">
            <w:pPr>
              <w:rPr>
                <w:b/>
                <w:bCs/>
                <w:sz w:val="17"/>
                <w:szCs w:val="17"/>
              </w:rPr>
            </w:pPr>
            <w:r w:rsidRPr="001C42FF">
              <w:rPr>
                <w:b/>
                <w:bCs/>
                <w:sz w:val="17"/>
                <w:szCs w:val="17"/>
              </w:rPr>
              <w:t>VIII. ИКОНОМИЧЕСКИ ДЕЙНОСТИ  И УСЛУГИ</w:t>
            </w:r>
          </w:p>
        </w:tc>
        <w:tc>
          <w:tcPr>
            <w:tcW w:w="960" w:type="dxa"/>
            <w:tcBorders>
              <w:top w:val="nil"/>
              <w:left w:val="nil"/>
              <w:bottom w:val="nil"/>
              <w:right w:val="single" w:sz="8" w:space="0" w:color="800000"/>
            </w:tcBorders>
            <w:shd w:val="clear" w:color="000000" w:fill="FFFFCC"/>
            <w:noWrap/>
            <w:vAlign w:val="bottom"/>
            <w:hideMark/>
          </w:tcPr>
          <w:p w14:paraId="53B72083" w14:textId="77777777" w:rsidR="00677E5F" w:rsidRPr="00E56679" w:rsidRDefault="00677E5F" w:rsidP="005D4BE5">
            <w:pPr>
              <w:jc w:val="right"/>
              <w:rPr>
                <w:color w:val="0070C0"/>
                <w:sz w:val="18"/>
                <w:szCs w:val="18"/>
              </w:rPr>
            </w:pPr>
            <w:r>
              <w:rPr>
                <w:sz w:val="18"/>
                <w:szCs w:val="18"/>
              </w:rPr>
              <w:t>13 737,5</w:t>
            </w:r>
          </w:p>
        </w:tc>
        <w:tc>
          <w:tcPr>
            <w:tcW w:w="960" w:type="dxa"/>
            <w:tcBorders>
              <w:top w:val="nil"/>
              <w:left w:val="nil"/>
              <w:bottom w:val="nil"/>
              <w:right w:val="single" w:sz="8" w:space="0" w:color="800000"/>
            </w:tcBorders>
            <w:shd w:val="clear" w:color="000000" w:fill="FFFFCC"/>
            <w:noWrap/>
            <w:vAlign w:val="bottom"/>
            <w:hideMark/>
          </w:tcPr>
          <w:p w14:paraId="33672373" w14:textId="77777777" w:rsidR="00677E5F" w:rsidRPr="001D664B" w:rsidRDefault="00677E5F" w:rsidP="005D4BE5">
            <w:pPr>
              <w:jc w:val="right"/>
              <w:rPr>
                <w:sz w:val="18"/>
                <w:szCs w:val="18"/>
              </w:rPr>
            </w:pPr>
            <w:r w:rsidRPr="001D664B">
              <w:rPr>
                <w:sz w:val="18"/>
                <w:szCs w:val="18"/>
              </w:rPr>
              <w:t>4 918,4</w:t>
            </w:r>
          </w:p>
        </w:tc>
        <w:tc>
          <w:tcPr>
            <w:tcW w:w="960" w:type="dxa"/>
            <w:tcBorders>
              <w:top w:val="nil"/>
              <w:left w:val="nil"/>
              <w:bottom w:val="nil"/>
              <w:right w:val="single" w:sz="8" w:space="0" w:color="800000"/>
            </w:tcBorders>
            <w:shd w:val="clear" w:color="000000" w:fill="FFFFCC"/>
            <w:noWrap/>
            <w:vAlign w:val="bottom"/>
            <w:hideMark/>
          </w:tcPr>
          <w:p w14:paraId="16C7AECC" w14:textId="77777777" w:rsidR="00677E5F" w:rsidRPr="00E56679" w:rsidRDefault="00677E5F" w:rsidP="005D4BE5">
            <w:pPr>
              <w:jc w:val="right"/>
              <w:rPr>
                <w:color w:val="0070C0"/>
                <w:sz w:val="18"/>
                <w:szCs w:val="18"/>
              </w:rPr>
            </w:pPr>
            <w:r>
              <w:rPr>
                <w:sz w:val="18"/>
                <w:szCs w:val="18"/>
              </w:rPr>
              <w:t>4 662,9</w:t>
            </w:r>
          </w:p>
        </w:tc>
        <w:tc>
          <w:tcPr>
            <w:tcW w:w="848" w:type="dxa"/>
            <w:tcBorders>
              <w:top w:val="nil"/>
              <w:left w:val="nil"/>
              <w:bottom w:val="nil"/>
              <w:right w:val="single" w:sz="8" w:space="0" w:color="800000"/>
            </w:tcBorders>
            <w:shd w:val="clear" w:color="000000" w:fill="FFFFCC"/>
            <w:noWrap/>
            <w:vAlign w:val="bottom"/>
            <w:hideMark/>
          </w:tcPr>
          <w:p w14:paraId="05898E8C" w14:textId="77777777" w:rsidR="00677E5F" w:rsidRPr="00E56679" w:rsidRDefault="00677E5F" w:rsidP="005D4BE5">
            <w:pPr>
              <w:jc w:val="right"/>
              <w:rPr>
                <w:color w:val="0070C0"/>
                <w:sz w:val="18"/>
                <w:szCs w:val="18"/>
              </w:rPr>
            </w:pPr>
            <w:r>
              <w:rPr>
                <w:sz w:val="18"/>
                <w:szCs w:val="18"/>
              </w:rPr>
              <w:t>33,9%</w:t>
            </w:r>
          </w:p>
        </w:tc>
        <w:tc>
          <w:tcPr>
            <w:tcW w:w="885" w:type="dxa"/>
            <w:tcBorders>
              <w:top w:val="nil"/>
              <w:left w:val="nil"/>
              <w:bottom w:val="nil"/>
              <w:right w:val="double" w:sz="4" w:space="0" w:color="943634" w:themeColor="accent2" w:themeShade="BF"/>
            </w:tcBorders>
            <w:shd w:val="clear" w:color="000000" w:fill="FFFFCC"/>
            <w:noWrap/>
            <w:vAlign w:val="bottom"/>
            <w:hideMark/>
          </w:tcPr>
          <w:p w14:paraId="092E3A73" w14:textId="77777777" w:rsidR="00677E5F" w:rsidRPr="00E56679" w:rsidRDefault="00677E5F" w:rsidP="005D4BE5">
            <w:pPr>
              <w:jc w:val="right"/>
              <w:rPr>
                <w:color w:val="0070C0"/>
                <w:sz w:val="18"/>
                <w:szCs w:val="18"/>
              </w:rPr>
            </w:pPr>
            <w:r>
              <w:rPr>
                <w:sz w:val="18"/>
                <w:szCs w:val="18"/>
              </w:rPr>
              <w:t>94,8%</w:t>
            </w:r>
          </w:p>
        </w:tc>
      </w:tr>
      <w:tr w:rsidR="00677E5F" w:rsidRPr="00E56679" w14:paraId="5267C038" w14:textId="77777777" w:rsidTr="005D4BE5">
        <w:trPr>
          <w:trHeight w:val="270"/>
        </w:trPr>
        <w:tc>
          <w:tcPr>
            <w:tcW w:w="4885" w:type="dxa"/>
            <w:tcBorders>
              <w:top w:val="nil"/>
              <w:left w:val="double" w:sz="4" w:space="0" w:color="auto"/>
              <w:bottom w:val="single" w:sz="8" w:space="0" w:color="800000"/>
              <w:right w:val="single" w:sz="8" w:space="0" w:color="800000"/>
            </w:tcBorders>
            <w:shd w:val="clear" w:color="000000" w:fill="FFFFCC"/>
            <w:vAlign w:val="bottom"/>
            <w:hideMark/>
          </w:tcPr>
          <w:p w14:paraId="017718D5" w14:textId="77777777" w:rsidR="00677E5F" w:rsidRPr="001C42FF" w:rsidRDefault="00677E5F" w:rsidP="005D4BE5">
            <w:pPr>
              <w:rPr>
                <w:b/>
                <w:bCs/>
                <w:sz w:val="17"/>
                <w:szCs w:val="17"/>
              </w:rPr>
            </w:pPr>
            <w:r w:rsidRPr="001C42FF">
              <w:rPr>
                <w:b/>
                <w:bCs/>
                <w:sz w:val="17"/>
                <w:szCs w:val="17"/>
              </w:rPr>
              <w:t>IХ. РАЗХОДИ, НЕКЛАСИФИЦИРАНИ В ДР. ФУНКЦИИ</w:t>
            </w:r>
          </w:p>
        </w:tc>
        <w:tc>
          <w:tcPr>
            <w:tcW w:w="960" w:type="dxa"/>
            <w:tcBorders>
              <w:top w:val="nil"/>
              <w:left w:val="nil"/>
              <w:bottom w:val="single" w:sz="8" w:space="0" w:color="800000"/>
              <w:right w:val="single" w:sz="8" w:space="0" w:color="800000"/>
            </w:tcBorders>
            <w:shd w:val="clear" w:color="000000" w:fill="FFFFCC"/>
            <w:noWrap/>
            <w:vAlign w:val="bottom"/>
            <w:hideMark/>
          </w:tcPr>
          <w:p w14:paraId="51006684" w14:textId="77777777" w:rsidR="00677E5F" w:rsidRPr="00E56679" w:rsidRDefault="00677E5F" w:rsidP="005D4BE5">
            <w:pPr>
              <w:jc w:val="right"/>
              <w:rPr>
                <w:color w:val="0070C0"/>
                <w:sz w:val="18"/>
                <w:szCs w:val="18"/>
              </w:rPr>
            </w:pPr>
            <w:r>
              <w:rPr>
                <w:sz w:val="18"/>
                <w:szCs w:val="18"/>
              </w:rPr>
              <w:t>1 380,8</w:t>
            </w:r>
          </w:p>
        </w:tc>
        <w:tc>
          <w:tcPr>
            <w:tcW w:w="960" w:type="dxa"/>
            <w:tcBorders>
              <w:top w:val="nil"/>
              <w:left w:val="nil"/>
              <w:bottom w:val="single" w:sz="8" w:space="0" w:color="800000"/>
              <w:right w:val="single" w:sz="8" w:space="0" w:color="800000"/>
            </w:tcBorders>
            <w:shd w:val="clear" w:color="000000" w:fill="FFFFCC"/>
            <w:noWrap/>
            <w:vAlign w:val="bottom"/>
            <w:hideMark/>
          </w:tcPr>
          <w:p w14:paraId="1769A635" w14:textId="77777777" w:rsidR="00677E5F" w:rsidRPr="001D664B" w:rsidRDefault="00677E5F" w:rsidP="005D4BE5">
            <w:pPr>
              <w:jc w:val="right"/>
              <w:rPr>
                <w:sz w:val="18"/>
                <w:szCs w:val="18"/>
              </w:rPr>
            </w:pPr>
            <w:r w:rsidRPr="001D664B">
              <w:rPr>
                <w:sz w:val="18"/>
                <w:szCs w:val="18"/>
              </w:rPr>
              <w:t>349,8</w:t>
            </w:r>
          </w:p>
        </w:tc>
        <w:tc>
          <w:tcPr>
            <w:tcW w:w="960" w:type="dxa"/>
            <w:tcBorders>
              <w:top w:val="nil"/>
              <w:left w:val="nil"/>
              <w:bottom w:val="single" w:sz="8" w:space="0" w:color="800000"/>
              <w:right w:val="single" w:sz="8" w:space="0" w:color="800000"/>
            </w:tcBorders>
            <w:shd w:val="clear" w:color="000000" w:fill="FFFFCC"/>
            <w:noWrap/>
            <w:vAlign w:val="bottom"/>
            <w:hideMark/>
          </w:tcPr>
          <w:p w14:paraId="4B19EC6F" w14:textId="77777777" w:rsidR="00677E5F" w:rsidRPr="00E56679" w:rsidRDefault="00677E5F" w:rsidP="005D4BE5">
            <w:pPr>
              <w:jc w:val="right"/>
              <w:rPr>
                <w:color w:val="0070C0"/>
                <w:sz w:val="18"/>
                <w:szCs w:val="18"/>
              </w:rPr>
            </w:pPr>
            <w:r>
              <w:rPr>
                <w:sz w:val="18"/>
                <w:szCs w:val="18"/>
              </w:rPr>
              <w:t>497,2</w:t>
            </w:r>
          </w:p>
        </w:tc>
        <w:tc>
          <w:tcPr>
            <w:tcW w:w="848" w:type="dxa"/>
            <w:tcBorders>
              <w:top w:val="nil"/>
              <w:left w:val="nil"/>
              <w:bottom w:val="nil"/>
              <w:right w:val="single" w:sz="8" w:space="0" w:color="800000"/>
            </w:tcBorders>
            <w:shd w:val="clear" w:color="000000" w:fill="FFFFCC"/>
            <w:noWrap/>
            <w:vAlign w:val="bottom"/>
            <w:hideMark/>
          </w:tcPr>
          <w:p w14:paraId="3C904C78" w14:textId="77777777" w:rsidR="00677E5F" w:rsidRPr="00E56679" w:rsidRDefault="00677E5F" w:rsidP="005D4BE5">
            <w:pPr>
              <w:jc w:val="right"/>
              <w:rPr>
                <w:color w:val="0070C0"/>
                <w:sz w:val="18"/>
                <w:szCs w:val="18"/>
              </w:rPr>
            </w:pPr>
            <w:r>
              <w:rPr>
                <w:sz w:val="18"/>
                <w:szCs w:val="18"/>
              </w:rPr>
              <w:t>36,0%</w:t>
            </w:r>
          </w:p>
        </w:tc>
        <w:tc>
          <w:tcPr>
            <w:tcW w:w="885" w:type="dxa"/>
            <w:tcBorders>
              <w:top w:val="nil"/>
              <w:left w:val="nil"/>
              <w:bottom w:val="single" w:sz="8" w:space="0" w:color="800000"/>
              <w:right w:val="double" w:sz="4" w:space="0" w:color="943634" w:themeColor="accent2" w:themeShade="BF"/>
            </w:tcBorders>
            <w:shd w:val="clear" w:color="000000" w:fill="FFFFCC"/>
            <w:noWrap/>
            <w:vAlign w:val="bottom"/>
            <w:hideMark/>
          </w:tcPr>
          <w:p w14:paraId="06D271E3" w14:textId="77777777" w:rsidR="00677E5F" w:rsidRPr="00E56679" w:rsidRDefault="00677E5F" w:rsidP="005D4BE5">
            <w:pPr>
              <w:jc w:val="right"/>
              <w:rPr>
                <w:color w:val="0070C0"/>
                <w:sz w:val="18"/>
                <w:szCs w:val="18"/>
              </w:rPr>
            </w:pPr>
            <w:r>
              <w:rPr>
                <w:sz w:val="18"/>
                <w:szCs w:val="18"/>
              </w:rPr>
              <w:t>142,2%</w:t>
            </w:r>
          </w:p>
        </w:tc>
      </w:tr>
      <w:tr w:rsidR="00677E5F" w:rsidRPr="00E56679" w14:paraId="481FD4C2" w14:textId="77777777" w:rsidTr="005D4BE5">
        <w:trPr>
          <w:trHeight w:val="270"/>
        </w:trPr>
        <w:tc>
          <w:tcPr>
            <w:tcW w:w="4885" w:type="dxa"/>
            <w:tcBorders>
              <w:top w:val="nil"/>
              <w:left w:val="double" w:sz="4" w:space="0" w:color="auto"/>
              <w:bottom w:val="double" w:sz="4" w:space="0" w:color="auto"/>
              <w:right w:val="single" w:sz="8" w:space="0" w:color="800000"/>
            </w:tcBorders>
            <w:shd w:val="clear" w:color="000000" w:fill="FFFFCC"/>
            <w:vAlign w:val="bottom"/>
            <w:hideMark/>
          </w:tcPr>
          <w:p w14:paraId="71460B5E" w14:textId="77777777" w:rsidR="00677E5F" w:rsidRPr="001C42FF" w:rsidRDefault="00677E5F" w:rsidP="005D4BE5">
            <w:pPr>
              <w:rPr>
                <w:b/>
                <w:bCs/>
                <w:sz w:val="17"/>
                <w:szCs w:val="17"/>
              </w:rPr>
            </w:pPr>
            <w:r w:rsidRPr="001C42FF">
              <w:rPr>
                <w:b/>
                <w:bCs/>
                <w:sz w:val="17"/>
                <w:szCs w:val="17"/>
              </w:rPr>
              <w:t>ОБЩО РАЗХОДИ</w:t>
            </w:r>
          </w:p>
        </w:tc>
        <w:tc>
          <w:tcPr>
            <w:tcW w:w="960" w:type="dxa"/>
            <w:tcBorders>
              <w:top w:val="single" w:sz="8" w:space="0" w:color="800000"/>
              <w:left w:val="nil"/>
              <w:bottom w:val="double" w:sz="4" w:space="0" w:color="800000"/>
              <w:right w:val="single" w:sz="8" w:space="0" w:color="800000"/>
            </w:tcBorders>
            <w:shd w:val="clear" w:color="000000" w:fill="FFFFCC"/>
            <w:noWrap/>
            <w:vAlign w:val="bottom"/>
            <w:hideMark/>
          </w:tcPr>
          <w:p w14:paraId="272F0BFD" w14:textId="77777777" w:rsidR="00677E5F" w:rsidRPr="00FD4637" w:rsidRDefault="00677E5F" w:rsidP="005D4BE5">
            <w:pPr>
              <w:jc w:val="right"/>
              <w:rPr>
                <w:b/>
                <w:bCs/>
                <w:sz w:val="18"/>
                <w:szCs w:val="18"/>
              </w:rPr>
            </w:pPr>
            <w:r w:rsidRPr="00505745">
              <w:rPr>
                <w:b/>
                <w:bCs/>
                <w:sz w:val="18"/>
                <w:szCs w:val="18"/>
              </w:rPr>
              <w:t>79 238,0</w:t>
            </w:r>
          </w:p>
        </w:tc>
        <w:tc>
          <w:tcPr>
            <w:tcW w:w="960" w:type="dxa"/>
            <w:tcBorders>
              <w:top w:val="nil"/>
              <w:left w:val="nil"/>
              <w:bottom w:val="double" w:sz="4" w:space="0" w:color="auto"/>
              <w:right w:val="single" w:sz="8" w:space="0" w:color="800000"/>
            </w:tcBorders>
            <w:shd w:val="clear" w:color="000000" w:fill="FFFFCC"/>
            <w:noWrap/>
            <w:vAlign w:val="bottom"/>
            <w:hideMark/>
          </w:tcPr>
          <w:p w14:paraId="52EB9FAF" w14:textId="77777777" w:rsidR="00677E5F" w:rsidRPr="001D664B" w:rsidRDefault="00677E5F" w:rsidP="005D4BE5">
            <w:pPr>
              <w:jc w:val="right"/>
              <w:rPr>
                <w:b/>
                <w:bCs/>
                <w:sz w:val="18"/>
                <w:szCs w:val="18"/>
              </w:rPr>
            </w:pPr>
            <w:r w:rsidRPr="001D664B">
              <w:rPr>
                <w:b/>
                <w:bCs/>
                <w:sz w:val="18"/>
                <w:szCs w:val="18"/>
              </w:rPr>
              <w:t>30 382,9</w:t>
            </w:r>
          </w:p>
        </w:tc>
        <w:tc>
          <w:tcPr>
            <w:tcW w:w="960" w:type="dxa"/>
            <w:tcBorders>
              <w:top w:val="nil"/>
              <w:left w:val="nil"/>
              <w:bottom w:val="double" w:sz="6" w:space="0" w:color="800000"/>
              <w:right w:val="single" w:sz="8" w:space="0" w:color="800000"/>
            </w:tcBorders>
            <w:shd w:val="clear" w:color="000000" w:fill="FFFFCC"/>
            <w:noWrap/>
            <w:vAlign w:val="bottom"/>
            <w:hideMark/>
          </w:tcPr>
          <w:p w14:paraId="3459CDF3" w14:textId="77777777" w:rsidR="00677E5F" w:rsidRPr="00E56679" w:rsidRDefault="00677E5F" w:rsidP="005D4BE5">
            <w:pPr>
              <w:jc w:val="right"/>
              <w:rPr>
                <w:b/>
                <w:bCs/>
                <w:color w:val="0070C0"/>
                <w:sz w:val="18"/>
                <w:szCs w:val="18"/>
              </w:rPr>
            </w:pPr>
            <w:r>
              <w:rPr>
                <w:b/>
                <w:bCs/>
                <w:sz w:val="18"/>
                <w:szCs w:val="18"/>
              </w:rPr>
              <w:t>34 377,8</w:t>
            </w:r>
          </w:p>
        </w:tc>
        <w:tc>
          <w:tcPr>
            <w:tcW w:w="848" w:type="dxa"/>
            <w:tcBorders>
              <w:top w:val="single" w:sz="8" w:space="0" w:color="800000"/>
              <w:left w:val="nil"/>
              <w:bottom w:val="double" w:sz="6" w:space="0" w:color="800000"/>
              <w:right w:val="single" w:sz="8" w:space="0" w:color="800000"/>
            </w:tcBorders>
            <w:shd w:val="clear" w:color="000000" w:fill="FFFFCC"/>
            <w:noWrap/>
            <w:vAlign w:val="bottom"/>
            <w:hideMark/>
          </w:tcPr>
          <w:p w14:paraId="743EA0CA" w14:textId="77777777" w:rsidR="00677E5F" w:rsidRPr="00E56679" w:rsidRDefault="00677E5F" w:rsidP="005D4BE5">
            <w:pPr>
              <w:jc w:val="right"/>
              <w:rPr>
                <w:b/>
                <w:bCs/>
                <w:color w:val="0070C0"/>
                <w:sz w:val="18"/>
                <w:szCs w:val="18"/>
              </w:rPr>
            </w:pPr>
            <w:r>
              <w:rPr>
                <w:b/>
                <w:bCs/>
                <w:sz w:val="18"/>
                <w:szCs w:val="18"/>
              </w:rPr>
              <w:t>43,4%</w:t>
            </w:r>
          </w:p>
        </w:tc>
        <w:tc>
          <w:tcPr>
            <w:tcW w:w="885" w:type="dxa"/>
            <w:tcBorders>
              <w:top w:val="single" w:sz="8" w:space="0" w:color="800000"/>
              <w:left w:val="nil"/>
              <w:bottom w:val="double" w:sz="6" w:space="0" w:color="800000"/>
              <w:right w:val="double" w:sz="6" w:space="0" w:color="800000"/>
            </w:tcBorders>
            <w:shd w:val="clear" w:color="000000" w:fill="FFFFCC"/>
            <w:noWrap/>
            <w:vAlign w:val="bottom"/>
            <w:hideMark/>
          </w:tcPr>
          <w:p w14:paraId="21AB6A75" w14:textId="77777777" w:rsidR="00677E5F" w:rsidRPr="00E56679" w:rsidRDefault="00677E5F" w:rsidP="005D4BE5">
            <w:pPr>
              <w:jc w:val="right"/>
              <w:rPr>
                <w:b/>
                <w:bCs/>
                <w:color w:val="0070C0"/>
                <w:sz w:val="18"/>
                <w:szCs w:val="18"/>
              </w:rPr>
            </w:pPr>
            <w:r>
              <w:rPr>
                <w:b/>
                <w:bCs/>
                <w:sz w:val="18"/>
                <w:szCs w:val="18"/>
              </w:rPr>
              <w:t>113,1%</w:t>
            </w:r>
          </w:p>
        </w:tc>
      </w:tr>
    </w:tbl>
    <w:p w14:paraId="0831F08B" w14:textId="77777777" w:rsidR="00677E5F" w:rsidRPr="00E56679" w:rsidRDefault="00677E5F" w:rsidP="00677E5F">
      <w:pPr>
        <w:jc w:val="both"/>
        <w:rPr>
          <w:color w:val="0070C0"/>
          <w:sz w:val="16"/>
          <w:szCs w:val="16"/>
          <w:lang w:val="en-US"/>
        </w:rPr>
      </w:pPr>
    </w:p>
    <w:p w14:paraId="7EE5C4B5" w14:textId="77777777" w:rsidR="00677E5F" w:rsidRPr="00E3068D" w:rsidRDefault="00677E5F" w:rsidP="00677E5F">
      <w:pPr>
        <w:jc w:val="both"/>
        <w:rPr>
          <w:sz w:val="18"/>
          <w:szCs w:val="16"/>
          <w:lang w:val="ru-RU"/>
        </w:rPr>
      </w:pPr>
      <w:r w:rsidRPr="00E3068D">
        <w:rPr>
          <w:sz w:val="18"/>
          <w:szCs w:val="16"/>
        </w:rPr>
        <w:t xml:space="preserve">*Във функция </w:t>
      </w:r>
      <w:r w:rsidRPr="00E3068D">
        <w:rPr>
          <w:sz w:val="18"/>
          <w:szCs w:val="16"/>
          <w:lang w:val="ru-RU"/>
        </w:rPr>
        <w:t>“</w:t>
      </w:r>
      <w:r w:rsidRPr="00E3068D">
        <w:rPr>
          <w:sz w:val="18"/>
          <w:szCs w:val="16"/>
        </w:rPr>
        <w:t>IX. Разходи, некласифицирани в другите функции</w:t>
      </w:r>
      <w:r w:rsidRPr="00E3068D">
        <w:rPr>
          <w:sz w:val="18"/>
          <w:szCs w:val="16"/>
          <w:lang w:val="ru-RU"/>
        </w:rPr>
        <w:t>”</w:t>
      </w:r>
      <w:r w:rsidRPr="00E3068D">
        <w:rPr>
          <w:sz w:val="18"/>
          <w:szCs w:val="16"/>
        </w:rPr>
        <w:t xml:space="preserve"> по разчет е включен и резерва за непредвидени и неотложни разходи, а средствата, изразходвани за сметка на резерва по отчет, са посочени в съответните функции според функционалното</w:t>
      </w:r>
      <w:r w:rsidRPr="00E3068D">
        <w:rPr>
          <w:sz w:val="18"/>
          <w:szCs w:val="16"/>
          <w:lang w:val="ru-RU"/>
        </w:rPr>
        <w:t xml:space="preserve"> </w:t>
      </w:r>
      <w:r w:rsidRPr="00E3068D">
        <w:rPr>
          <w:sz w:val="18"/>
          <w:szCs w:val="16"/>
        </w:rPr>
        <w:t>предназначение на разхода. Разходите по функции не включват вноската на Република България за общия бюджет на ЕС.</w:t>
      </w:r>
    </w:p>
    <w:p w14:paraId="4FB84725" w14:textId="77777777" w:rsidR="00677E5F" w:rsidRPr="00E56679" w:rsidRDefault="00677E5F" w:rsidP="00677E5F">
      <w:pPr>
        <w:jc w:val="both"/>
        <w:rPr>
          <w:color w:val="0070C0"/>
          <w:sz w:val="20"/>
          <w:szCs w:val="20"/>
          <w:lang w:val="ru-RU"/>
        </w:rPr>
      </w:pPr>
    </w:p>
    <w:p w14:paraId="6B8E25CA" w14:textId="77777777" w:rsidR="00677E5F" w:rsidRPr="00E56679" w:rsidRDefault="00677E5F" w:rsidP="00677E5F">
      <w:pPr>
        <w:ind w:right="-108"/>
        <w:jc w:val="both"/>
        <w:rPr>
          <w:color w:val="0070C0"/>
        </w:rPr>
      </w:pPr>
    </w:p>
    <w:p w14:paraId="474C9DEF" w14:textId="77777777" w:rsidR="00677E5F" w:rsidRPr="00B831BD" w:rsidRDefault="00677E5F" w:rsidP="00677E5F">
      <w:pPr>
        <w:ind w:right="-108"/>
        <w:jc w:val="both"/>
      </w:pPr>
      <w:r w:rsidRPr="00B831BD">
        <w:t xml:space="preserve">Структурата на разходите по консолидираната фискална програма по функции (годишен разчет и отчет за </w:t>
      </w:r>
      <w:r w:rsidRPr="00B831BD">
        <w:rPr>
          <w:lang w:eastAsia="en-US"/>
        </w:rPr>
        <w:t xml:space="preserve">първото </w:t>
      </w:r>
      <w:r w:rsidRPr="00B831BD">
        <w:t>полугодие на 202</w:t>
      </w:r>
      <w:r w:rsidRPr="00B831BD">
        <w:rPr>
          <w:lang w:val="ru-RU"/>
        </w:rPr>
        <w:t>4</w:t>
      </w:r>
      <w:r w:rsidRPr="00B831BD">
        <w:t xml:space="preserve"> г.) е представена на следната графика: </w:t>
      </w:r>
    </w:p>
    <w:p w14:paraId="6153B4DC" w14:textId="77777777" w:rsidR="00677E5F" w:rsidRPr="00E56679" w:rsidRDefault="00677E5F" w:rsidP="00677E5F">
      <w:pPr>
        <w:jc w:val="center"/>
        <w:rPr>
          <w:b/>
          <w:color w:val="0070C0"/>
        </w:rPr>
      </w:pPr>
    </w:p>
    <w:p w14:paraId="634E505C" w14:textId="77777777" w:rsidR="00677E5F" w:rsidRPr="00084080" w:rsidRDefault="00677E5F" w:rsidP="00677E5F">
      <w:pPr>
        <w:jc w:val="center"/>
        <w:rPr>
          <w:b/>
        </w:rPr>
      </w:pPr>
      <w:r w:rsidRPr="00084080">
        <w:rPr>
          <w:b/>
        </w:rPr>
        <w:t xml:space="preserve">Структура на разходите по функции по КФП </w:t>
      </w:r>
    </w:p>
    <w:p w14:paraId="4E6DBD9A" w14:textId="77777777" w:rsidR="00677E5F" w:rsidRPr="00084080" w:rsidRDefault="00677E5F" w:rsidP="00677E5F">
      <w:pPr>
        <w:jc w:val="center"/>
        <w:rPr>
          <w:b/>
          <w:sz w:val="18"/>
        </w:rPr>
      </w:pPr>
    </w:p>
    <w:p w14:paraId="630F912A" w14:textId="77777777" w:rsidR="00677E5F" w:rsidRPr="00084080" w:rsidRDefault="00677E5F" w:rsidP="00677E5F">
      <w:pPr>
        <w:rPr>
          <w:b/>
        </w:rPr>
      </w:pPr>
      <w:r w:rsidRPr="00084080">
        <w:rPr>
          <w:b/>
        </w:rPr>
        <w:t xml:space="preserve">              Годишен разчет за 20</w:t>
      </w:r>
      <w:r w:rsidRPr="00084080">
        <w:rPr>
          <w:b/>
          <w:lang w:val="ru-RU"/>
        </w:rPr>
        <w:t>24</w:t>
      </w:r>
      <w:r w:rsidRPr="00084080">
        <w:rPr>
          <w:b/>
        </w:rPr>
        <w:t xml:space="preserve">  г.                       Отчет първо полугодие 202</w:t>
      </w:r>
      <w:r w:rsidRPr="00084080">
        <w:rPr>
          <w:b/>
          <w:lang w:val="ru-RU"/>
        </w:rPr>
        <w:t>4</w:t>
      </w:r>
      <w:r w:rsidRPr="00084080">
        <w:rPr>
          <w:b/>
        </w:rPr>
        <w:t xml:space="preserve"> г.</w:t>
      </w:r>
    </w:p>
    <w:p w14:paraId="6740D864" w14:textId="77777777" w:rsidR="00677E5F" w:rsidRDefault="00677E5F" w:rsidP="00677E5F">
      <w:pPr>
        <w:rPr>
          <w:b/>
          <w:color w:val="0070C0"/>
        </w:rPr>
      </w:pPr>
    </w:p>
    <w:p w14:paraId="3DBA4FE4" w14:textId="77777777" w:rsidR="00677E5F" w:rsidRDefault="00677E5F" w:rsidP="00677E5F">
      <w:pPr>
        <w:rPr>
          <w:b/>
          <w:color w:val="0070C0"/>
        </w:rPr>
      </w:pPr>
      <w:r>
        <w:rPr>
          <w:b/>
          <w:noProof/>
          <w:color w:val="0070C0"/>
        </w:rPr>
        <w:drawing>
          <wp:inline distT="0" distB="0" distL="0" distR="0" wp14:anchorId="3C0463BC" wp14:editId="0F72EB75">
            <wp:extent cx="2933347" cy="240284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3347" cy="2402840"/>
                    </a:xfrm>
                    <a:prstGeom prst="rect">
                      <a:avLst/>
                    </a:prstGeom>
                    <a:noFill/>
                  </pic:spPr>
                </pic:pic>
              </a:graphicData>
            </a:graphic>
          </wp:inline>
        </w:drawing>
      </w:r>
      <w:r>
        <w:rPr>
          <w:b/>
          <w:noProof/>
          <w:color w:val="0070C0"/>
        </w:rPr>
        <w:drawing>
          <wp:inline distT="0" distB="0" distL="0" distR="0" wp14:anchorId="46BF97E8" wp14:editId="3F338628">
            <wp:extent cx="3153405" cy="2399665"/>
            <wp:effectExtent l="0" t="0" r="952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0856" cy="2412945"/>
                    </a:xfrm>
                    <a:prstGeom prst="rect">
                      <a:avLst/>
                    </a:prstGeom>
                    <a:noFill/>
                  </pic:spPr>
                </pic:pic>
              </a:graphicData>
            </a:graphic>
          </wp:inline>
        </w:drawing>
      </w:r>
    </w:p>
    <w:p w14:paraId="2F97B652" w14:textId="77777777" w:rsidR="00677E5F" w:rsidRDefault="00677E5F" w:rsidP="00677E5F">
      <w:pPr>
        <w:rPr>
          <w:b/>
          <w:color w:val="0070C0"/>
        </w:rPr>
      </w:pPr>
    </w:p>
    <w:p w14:paraId="6A3A2F1E" w14:textId="77777777" w:rsidR="00677E5F" w:rsidRPr="000819D9" w:rsidRDefault="00677E5F" w:rsidP="00677E5F">
      <w:pPr>
        <w:jc w:val="both"/>
      </w:pPr>
      <w:r w:rsidRPr="000819D9">
        <w:t xml:space="preserve">Планираните разходи за функция </w:t>
      </w:r>
      <w:r w:rsidRPr="000819D9">
        <w:rPr>
          <w:b/>
          <w:i/>
        </w:rPr>
        <w:t>общи държавни служби</w:t>
      </w:r>
      <w:r w:rsidRPr="000819D9">
        <w:t xml:space="preserve"> са предназначени за осигуряване на ефективно функциониране на органите на законодателната и изпълнителната власт, както и за финансиране на дейностите в сферата на науката. Изразходваните средства са насочени към осигуряване на условия за функционирането на централната и местната администрации с оглед изпълнение на възложените им дейности и задачи, свързани с провеждане на вътрешната и външната политика на страната във всичките им аспекти, в т.ч. и средства за българската помощ за развитие, изплащане на членския внос в международни организации, създаването и функционирането на устойчива система за постигане на максимална ефективност при събирането на данъците и осигурителните вноски, намаляване на корупцията, повишаване качеството на административните услуги, подобряване на митническия контрол, борбата срещу митническите и валутните нарушения, контрабандата и незаконния трафик на наркотици и други. Тук се включват и разходите, свързани с научна и изследователска дейност. </w:t>
      </w:r>
      <w:r w:rsidRPr="000819D9">
        <w:rPr>
          <w:b/>
        </w:rPr>
        <w:t>Извършените разходи</w:t>
      </w:r>
      <w:r w:rsidRPr="000819D9">
        <w:t xml:space="preserve"> за тази функция към полугодието на 202</w:t>
      </w:r>
      <w:r w:rsidRPr="000819D9">
        <w:rPr>
          <w:lang w:val="ru-RU"/>
        </w:rPr>
        <w:t>4</w:t>
      </w:r>
      <w:r w:rsidRPr="000819D9">
        <w:t> г. са в размер на 1 </w:t>
      </w:r>
      <w:r w:rsidRPr="000819D9">
        <w:rPr>
          <w:lang w:val="ru-RU"/>
        </w:rPr>
        <w:t>836,1</w:t>
      </w:r>
      <w:r w:rsidRPr="000819D9">
        <w:t xml:space="preserve"> млн. лв., което представлява 43,4 % от планираните с разчета за годината, като спрямо същия период на предходната година изразходваната сума е нараснала с 284,8 млн. лв. или 18,4 %. </w:t>
      </w:r>
    </w:p>
    <w:p w14:paraId="552E8F1A" w14:textId="77777777" w:rsidR="00677E5F" w:rsidRPr="007B07C4" w:rsidRDefault="00677E5F" w:rsidP="00677E5F">
      <w:pPr>
        <w:pStyle w:val="Default"/>
        <w:jc w:val="both"/>
        <w:rPr>
          <w:color w:val="auto"/>
        </w:rPr>
      </w:pPr>
      <w:r w:rsidRPr="005D4E66">
        <w:rPr>
          <w:color w:val="auto"/>
        </w:rPr>
        <w:t xml:space="preserve">Разходите за </w:t>
      </w:r>
      <w:r w:rsidRPr="005D4E66">
        <w:rPr>
          <w:b/>
          <w:i/>
          <w:color w:val="auto"/>
        </w:rPr>
        <w:t>отбрана и сигурност</w:t>
      </w:r>
      <w:r w:rsidRPr="005D4E66">
        <w:rPr>
          <w:color w:val="auto"/>
        </w:rPr>
        <w:t xml:space="preserve"> са насочени към сферите на отбраната, сигурността и вътрешния ред, съдебната власт, както и дейностите по изпълнението на наказанията. Основните приоритети на политиката в областта на отбраната са: приемственост и устойчивост на развитието на въоръжените сили (ВС) чрез провеждане на реалистична отбранителна политика, която съответства на заплахите за сигурността на страната, на съюзните ни ангажименти в НАТО и ЕС и на наличните финансови ресурси; задълбочаване на трансатлантическото сътрудничество като гарант за сигурността и развитието на България; поддържане на съществуващите и постепенно развитие на нови отбранителни способности; поддържане и усвояването на плановете за бойна готовност и на моделите за работа на всички нива, осигурявайки устойчиво управление на щабовете и формированията при привеждането им в по-високи степени на бойна готовност и изпълнението на мероприятията по нарастване на готовността им; разширяване на участието на ВС в интегрираната система за реакции при кризи за по-ефективна защита на населението при бедствия; създаване на условия за висока мотивация и професионален подбор в Българската армия; развитие на отбранителните способности; законодателно уреждане на националната координация на специалните служби. </w:t>
      </w:r>
      <w:r w:rsidRPr="008B5AC4">
        <w:rPr>
          <w:color w:val="auto"/>
        </w:rPr>
        <w:t>Политиката в областта на сигурността и вътрешния ред се реализира в следните направления: защита на националната сигурност, опазване на обществения ред и борба с корупцията, противодействие на тежките престъпления срещу личността и собствеността на гражданите; намаляване щетите за икономиката на страната от дейността на организираните престъпни групи и недопускане извършването на терористични действия; охрана и контрол на държавната граница и противодействие на незаконната миграция; п</w:t>
      </w:r>
      <w:r w:rsidRPr="008B5AC4">
        <w:rPr>
          <w:rFonts w:eastAsia="Batang"/>
          <w:color w:val="auto"/>
        </w:rPr>
        <w:t>овишаване на ефективността при контрола и организацията на движението по пътищата и внедряване на технически системи за наблюдение и контрол с цел намаляване на пътно-транспортните произшествия</w:t>
      </w:r>
      <w:r w:rsidRPr="008B5AC4">
        <w:rPr>
          <w:color w:val="auto"/>
        </w:rPr>
        <w:t>; о</w:t>
      </w:r>
      <w:r w:rsidRPr="008B5AC4">
        <w:rPr>
          <w:rFonts w:eastAsia="Batang"/>
          <w:color w:val="auto"/>
        </w:rPr>
        <w:t>сигуряване на пожарна безопасност и защита на населението при пожари, бедствия и други извънредни ситуации</w:t>
      </w:r>
      <w:r w:rsidRPr="008B5AC4">
        <w:rPr>
          <w:color w:val="auto"/>
        </w:rPr>
        <w:t xml:space="preserve">; осигуряване на лична постова и техническа охрана, специализиран транспорт и пропускателен режим; обезпечаване на оперативната и разузнавателна дейност; </w:t>
      </w:r>
      <w:r w:rsidRPr="008B5AC4">
        <w:rPr>
          <w:rFonts w:eastAsia="Batang"/>
          <w:color w:val="auto"/>
        </w:rPr>
        <w:t xml:space="preserve">информационно-аналитично обезпечаване на държавното ръководство за  подпомагане процеса на вземане на решения с цел защита на националната сигурност и интересите </w:t>
      </w:r>
      <w:r w:rsidRPr="006C2B67">
        <w:rPr>
          <w:rFonts w:eastAsia="Batang"/>
          <w:color w:val="auto"/>
        </w:rPr>
        <w:t>на Република България</w:t>
      </w:r>
      <w:r w:rsidRPr="006C2B67">
        <w:rPr>
          <w:color w:val="auto"/>
        </w:rPr>
        <w:t xml:space="preserve">. В областта на правосъдието се реализират следните дейности: подобряване управлението и организацията на работата на съдебната власт, без да се нарушава нейната независимост; постигане на равен достъп до правосъдие и на европейски стандарти в областта на правната помощ; осъществяване на правосъдие и правораздавателна власт с цел защита правата и законните интереси на гражданите, юридическите лица и държавата; развитие на информационна стратегия на правораздавателните органи; укрепване на професионалната квалификация на правоприлагащите органи; укрепването на </w:t>
      </w:r>
      <w:proofErr w:type="spellStart"/>
      <w:r w:rsidRPr="006C2B67">
        <w:rPr>
          <w:color w:val="auto"/>
        </w:rPr>
        <w:t>пенитенциарната</w:t>
      </w:r>
      <w:proofErr w:type="spellEnd"/>
      <w:r w:rsidRPr="006C2B67">
        <w:rPr>
          <w:color w:val="auto"/>
        </w:rPr>
        <w:t xml:space="preserve"> система (свързана с изпълнение на наказанието лишаване от свобода) и инфраструктурата по сигурността в затворите и </w:t>
      </w:r>
      <w:r w:rsidRPr="003805B7">
        <w:rPr>
          <w:color w:val="auto"/>
        </w:rPr>
        <w:t xml:space="preserve">следствените арести; електронно правосъдие. </w:t>
      </w:r>
      <w:r w:rsidRPr="003805B7">
        <w:rPr>
          <w:b/>
          <w:color w:val="auto"/>
        </w:rPr>
        <w:t>Общият размер на разходите</w:t>
      </w:r>
      <w:r w:rsidRPr="003805B7">
        <w:rPr>
          <w:color w:val="auto"/>
        </w:rPr>
        <w:t xml:space="preserve"> за отбрана и сигурност за първото полугодие на 2024 г. е 4 336,1 млн. лв., което представлява 58,0 % от планираните ср</w:t>
      </w:r>
      <w:r w:rsidRPr="007B07C4">
        <w:rPr>
          <w:color w:val="auto"/>
        </w:rPr>
        <w:t xml:space="preserve">едства за годината. Съпоставени със същия период на предходната година, разходите за отбрана и сигурност нарастват с 1 284,9 млн. лв. (42,1 %). </w:t>
      </w:r>
    </w:p>
    <w:p w14:paraId="7634C64A" w14:textId="77777777" w:rsidR="00677E5F" w:rsidRPr="00E56679" w:rsidRDefault="00677E5F" w:rsidP="00677E5F">
      <w:pPr>
        <w:autoSpaceDE w:val="0"/>
        <w:autoSpaceDN w:val="0"/>
        <w:adjustRightInd w:val="0"/>
        <w:spacing w:before="120" w:after="120"/>
        <w:jc w:val="both"/>
        <w:rPr>
          <w:color w:val="0070C0"/>
        </w:rPr>
      </w:pPr>
      <w:r w:rsidRPr="007B07C4">
        <w:t>Политиките в сферата на</w:t>
      </w:r>
      <w:r w:rsidRPr="007B07C4">
        <w:rPr>
          <w:b/>
          <w:i/>
        </w:rPr>
        <w:t xml:space="preserve"> образованието</w:t>
      </w:r>
      <w:r w:rsidRPr="007B07C4">
        <w:t xml:space="preserve"> са насочени към посрещане на основните предизвикателства и подпомагане на изпълнението на ключовите политики в сектора. За реализиране на образователните приоритети в сферата на предучилищното и училищното образование се изпълняват комплексни мерки и действия, гарантиращи равен достъп до качествено образование чрез осигуряване на безплатен транспорт на децата и учениците и целодневна организация на учебния ден в средищните училища; допълнително финансиране на защитени училища и детски градини; основен ремонт, реконструкция и строителство на нови детски градини и училища, спортни площадки и салони, както и тяхното съвременно оборудване; преминаване към нов етап от внедряването на компютърни технологии в системата, базиран на електронното обучение и информационните технологии. В това функционално направление важна цел е и предприемане на мерки за намаляване дела на преждевременно напусналите образователната система, повишаване квалификацията на педагогическите специалисти и обучението на българите в чужбина. Реализирането на политиките в областта на висшето образование се осъществява чрез осигуряване на финансиране, насочено към резултатите от обучението; чрез засилване взаимодействието между висшите училища и бизнеса; чрез усъвършенстване модела на акредитация и оценяване на качеството във висшето образование; чрез стимулиране на научното развитие и кариерно израстване на преподавателите от висшите училища; чрез подкрепа на мобилността на студенти и преподаватели. Висшето образование се финансира с прилагането на диференциран подход в зависимост от комплексна оценка на качеството на обучение. Важна цел в рамките на политиката в областта на равен достъп до качествено висше образование и развитие на научния потенциал е както повишаване на инвестициите в научноизследователската и развойна дейност, така и увеличаване на дела на лицата със </w:t>
      </w:r>
      <w:r w:rsidRPr="003E0054">
        <w:t xml:space="preserve">завършено висше образование. </w:t>
      </w:r>
      <w:r w:rsidRPr="003E0054">
        <w:rPr>
          <w:b/>
        </w:rPr>
        <w:t>Размерът на разходите</w:t>
      </w:r>
      <w:r w:rsidRPr="003E0054">
        <w:t xml:space="preserve"> за функция образование за полугодието на 2024 г. е 3 669,7 млн. лв., като представляват 43,7 % от разчетените за 2024 г. и с 20,1 %  (615,2 млн. лв.) повече от същия период на предходната година. </w:t>
      </w:r>
    </w:p>
    <w:p w14:paraId="61A7E9A9" w14:textId="77777777" w:rsidR="00677E5F" w:rsidRPr="00E56679" w:rsidRDefault="00677E5F" w:rsidP="00677E5F">
      <w:pPr>
        <w:spacing w:after="120"/>
        <w:jc w:val="both"/>
        <w:rPr>
          <w:color w:val="0070C0"/>
        </w:rPr>
      </w:pPr>
      <w:r w:rsidRPr="003F12DA">
        <w:rPr>
          <w:b/>
        </w:rPr>
        <w:t>Разходите</w:t>
      </w:r>
      <w:r w:rsidRPr="003F12DA">
        <w:t xml:space="preserve"> в сферата на </w:t>
      </w:r>
      <w:r w:rsidRPr="003F12DA">
        <w:rPr>
          <w:b/>
          <w:i/>
        </w:rPr>
        <w:t>здравеопазването</w:t>
      </w:r>
      <w:r w:rsidRPr="003F12DA">
        <w:t xml:space="preserve"> през първото полугодие на 2024 г. са в размер на 4 756,6 млн. лв., което е с 22,9 % (887,0 млн. лв.) повече от полугодието на 2023 г., и представляват 48,6 % от </w:t>
      </w:r>
      <w:r w:rsidRPr="00A22E5D">
        <w:t xml:space="preserve">годишния разчет. Постоянен </w:t>
      </w:r>
      <w:r w:rsidRPr="00A22E5D">
        <w:rPr>
          <w:lang w:eastAsia="zh-CN"/>
        </w:rPr>
        <w:t>приоритет в областта на здравеопазването е осигуряването на сигурност, стабилност и предвидимост в системата, като се създадат предпоставки за контрол и ефективност на разходите и същевременно се гарантира качеството на лечението и достъпа до медицинска помощ. Като приоритетни направления и дейности са и спешната медицинска помощ, електронното здравеопазване, майчиното и детското здравеопазване, асистираната репродукция, лечебните заведения за болнична помощ, както и лекарствената пол</w:t>
      </w:r>
      <w:r w:rsidRPr="0051343B">
        <w:rPr>
          <w:lang w:eastAsia="zh-CN"/>
        </w:rPr>
        <w:t xml:space="preserve">итика. Политиката в сектора е насочена към подобряване на достъпа до комплексни медицински дейности, повишаване на удовлетвореността на българските граждани от качеството на предлаганите медицински услуги, адекватно финансиране и постигане на финансова устойчивост на сектора в средносрочен план. Чрез бюджета на Министерството на здравеопазването се финансират програмите и дейностите, осъществявани от бюджетните структури в областта на общественото здраве, спешната помощ, стационарната психиатрична помощ, медико-социалните грижи за деца, лечение в чужбина и други. Финансово се обезпечават национални програми и централни доставки за профилактика, контрол и лечение на социално-значими заболявания, осигуряване на ваксини за задължителни имунизации и реимунизации, както и обучението за придобиване на специалност в системата на здравеопазването. Запазват се ангажиментите на държавата по отношение финансирането на определени дейности в лечебните заведения за болнична помощ, които остават държавна отговорност – психиатрична помощ, спешна медицинска помощ, лечение на болни от ХИВ/СПИН, трансплантация на тъкани, органи и клетки, медицинска експертиза на работоспособността и други, както и финансово подпомагане на лечебни заведения за болнична помощ в отдалечени и трудно достъпни райони, в които липсата на здравни звена представлява сериозен риск за населението. </w:t>
      </w:r>
    </w:p>
    <w:p w14:paraId="01BBDE14" w14:textId="77777777" w:rsidR="00677E5F" w:rsidRPr="00D643EB" w:rsidRDefault="00677E5F" w:rsidP="00677E5F">
      <w:pPr>
        <w:autoSpaceDE w:val="0"/>
        <w:autoSpaceDN w:val="0"/>
        <w:adjustRightInd w:val="0"/>
        <w:spacing w:after="120"/>
        <w:jc w:val="both"/>
      </w:pPr>
      <w:r w:rsidRPr="00624D67">
        <w:t xml:space="preserve">С най-голям относителен дял в разходите по КФП към полугодието на 2024 г. са средствата за сферата на </w:t>
      </w:r>
      <w:r w:rsidRPr="00624D67">
        <w:rPr>
          <w:b/>
          <w:i/>
        </w:rPr>
        <w:t>социалното осигуряване, подпомагане и грижи</w:t>
      </w:r>
      <w:r w:rsidRPr="00624D67">
        <w:t xml:space="preserve">. В голяма степен това се предопределя от демографски и икономически фактори в страната. Разходите за социално осигуряване, подпомагане и грижи са насочени към реализиране на приоритетите в сферата на </w:t>
      </w:r>
      <w:r w:rsidRPr="00D643EB">
        <w:t>пенсионното осигуряване, социалното подпомагане и гарантиране на социалната защита на уязвимите групи от населението, към активните мерки по заетостта, както и реализирането на редица мерки за социална защита. По отношение на пенсионната политика приоритет е осигуряването на адекватни пенсионни доходи за всички, които да гарантират разумен жизнен стандарт след пенсиониране. В областта на социалните помощи приоритет остават гарантирането на социалната защита на уязвимите групи от населението чрез по-добра целенасоченост на социалните помощи, повишаването на ефективността на програмите, прилагането на диференциран подход, усъвършенстването на нормативната уредба в сферата на социалното подпомагане и оптимизирането на институционалната структура, свързана със социалната защита на най-</w:t>
      </w:r>
      <w:proofErr w:type="spellStart"/>
      <w:r w:rsidRPr="00D643EB">
        <w:t>нискодоходните</w:t>
      </w:r>
      <w:proofErr w:type="spellEnd"/>
      <w:r w:rsidRPr="00D643EB">
        <w:t xml:space="preserve"> и рискови групи от населението. Целта на реализираните активни мерки на пазара на труда е постигането на по-висока и устойчива заетост, интегриране на пазара на труда на безработните и неактивните лица в трудоспособна възраст чрез насърчаване разкриването на нови работни места и подобряване на посредническите услуги по заетостта; намаляване на безработицата и </w:t>
      </w:r>
      <w:proofErr w:type="spellStart"/>
      <w:r w:rsidRPr="00D643EB">
        <w:t>неактивността</w:t>
      </w:r>
      <w:proofErr w:type="spellEnd"/>
      <w:r w:rsidRPr="00D643EB">
        <w:t xml:space="preserve"> сред младежите; насърчаване на трудовата заетост на трайно безработни лица в трудоспособна възраст. Политиката за интеграцията на хората с увреждания е насочена към създаване на условия и гаранции за равнопоставеност, индивидуална оценка на потребностите, социална интеграция и упражняване на правата, защитата на хората с увреждания и техните семейства, както и интегрирането на тези лица в работна среда. С разчетите към ЗДБРБ за 2024 г. за политики и мерки във функция „Социално осигуряване, подпомагане и грижи” са предназначени 37,2 на сто от разходите по КФП (без вноската в общия бюджет на ЕС). </w:t>
      </w:r>
      <w:r w:rsidRPr="00D643EB">
        <w:rPr>
          <w:b/>
        </w:rPr>
        <w:t>Извършените разходи</w:t>
      </w:r>
      <w:r w:rsidRPr="00D643EB">
        <w:t xml:space="preserve"> за функцията към полугодието са в размер на 13 778,4 млн. лв. или 46,7 % от разчета за годината. Спрямо предходната година разходите по функцията са повече с 2 030,1 млн. лв. или 17,3 %.</w:t>
      </w:r>
    </w:p>
    <w:p w14:paraId="1F43450A" w14:textId="1BB5D3D9" w:rsidR="00677E5F" w:rsidRPr="00E56679" w:rsidRDefault="00677E5F" w:rsidP="00677E5F">
      <w:pPr>
        <w:autoSpaceDE w:val="0"/>
        <w:autoSpaceDN w:val="0"/>
        <w:adjustRightInd w:val="0"/>
        <w:spacing w:after="120"/>
        <w:jc w:val="both"/>
        <w:rPr>
          <w:color w:val="0070C0"/>
        </w:rPr>
      </w:pPr>
      <w:r w:rsidRPr="002431BF">
        <w:rPr>
          <w:b/>
        </w:rPr>
        <w:t>Разходите</w:t>
      </w:r>
      <w:r w:rsidRPr="002431BF">
        <w:t xml:space="preserve"> за </w:t>
      </w:r>
      <w:r w:rsidRPr="002431BF">
        <w:rPr>
          <w:b/>
          <w:i/>
        </w:rPr>
        <w:t>дейностите по жилищно строителство, благоустройство, комунално стопанство и опазване на околната среда</w:t>
      </w:r>
      <w:r w:rsidRPr="002431BF">
        <w:t xml:space="preserve"> през първите шест месеца на годината са в размер </w:t>
      </w:r>
      <w:r w:rsidRPr="00634079">
        <w:t xml:space="preserve">на 122,7 млн. лв., което представлява 3,6 % от разчетите за 2024 година. Това е с 89,9 % (1 094,6 млн. лв.) по-малко разходи спрямо шестмесечието на 2023 г. </w:t>
      </w:r>
      <w:r w:rsidR="004528C7">
        <w:t>Д</w:t>
      </w:r>
      <w:r w:rsidR="004528C7" w:rsidRPr="004528C7">
        <w:t xml:space="preserve">ейностите </w:t>
      </w:r>
      <w:r w:rsidR="0071022D">
        <w:t xml:space="preserve">в това функционално направление </w:t>
      </w:r>
      <w:r w:rsidRPr="00634079">
        <w:t xml:space="preserve">са насочени за изпълнение на политиката в областта на интегрираното развитие на регионите в страната и намаляване на различията, както и подобряване на тяхната инфраструктурна свързаност. Един от основните приоритети в това функционално направление е ефективното и ефикасно използване на публичните финанси за подобряване качеството на жизнената среда и създаване на работни места. Финансират се разходи за изграждане, реконструкция и рехабилитация на канализационна и вътрешна водопроводна мрежа в населени места, разходи за устройствено планиране, кадастрални карти и регистри, разходи за </w:t>
      </w:r>
      <w:proofErr w:type="spellStart"/>
      <w:r w:rsidRPr="00634079">
        <w:t>геозащита</w:t>
      </w:r>
      <w:proofErr w:type="spellEnd"/>
      <w:r w:rsidRPr="00634079">
        <w:t xml:space="preserve">, поддържане, модернизация и изграждане на техническата инфраструктура и интегрирано управление на водните ресурси. При дейностите по опазване на околната среда се изпълняват проекти, свързани с изграждането на екологични обекти като пречиствателни станции за отпадъчни води, канализационни мрежи и довеждащи колектори, съоръжения за защита на коритата и бреговете от ерозия, съоръжения за регулиране на оттока на реките и създаване на водни площи с местно значение, голяма част от които са по бюджетите на общините. В тази област се осигуряват средства за финансиране строителството на нови или рекултивация на съществуващи депа, инсталации или съоръжения за управление на отпадъците. Част от основните дейности в това функционално направление са свързани с </w:t>
      </w:r>
      <w:r w:rsidRPr="00634079">
        <w:rPr>
          <w:iCs/>
        </w:rPr>
        <w:t>прилагане на механизми за превенция и контрол за намаляване на общия натиск от различните източници и дейности върху околната среда</w:t>
      </w:r>
      <w:r w:rsidRPr="00634079">
        <w:t xml:space="preserve">. В тази функция се отчитат и разходите, свързани с поддържането на чистотата и благоустрояването, извършвани от фирми или общински предприятия. </w:t>
      </w:r>
    </w:p>
    <w:p w14:paraId="72BC44B5" w14:textId="77777777" w:rsidR="00677E5F" w:rsidRPr="00A37023" w:rsidRDefault="00677E5F" w:rsidP="00677E5F">
      <w:pPr>
        <w:autoSpaceDE w:val="0"/>
        <w:autoSpaceDN w:val="0"/>
        <w:adjustRightInd w:val="0"/>
        <w:spacing w:after="120"/>
        <w:jc w:val="both"/>
      </w:pPr>
      <w:r w:rsidRPr="003309D5">
        <w:rPr>
          <w:b/>
        </w:rPr>
        <w:t>Разходите</w:t>
      </w:r>
      <w:r w:rsidRPr="003309D5">
        <w:t xml:space="preserve"> за </w:t>
      </w:r>
      <w:r w:rsidRPr="003309D5">
        <w:rPr>
          <w:b/>
          <w:i/>
        </w:rPr>
        <w:t>култура, спорт, почивни дейности и религиозно дело</w:t>
      </w:r>
      <w:r w:rsidRPr="003309D5">
        <w:t xml:space="preserve"> за първото полугодие на 2024 г. са в размер на 718,1 млн. лв. или 56,2 % от разчета за годината и с 95,7 млн. лв. (15,4 %) </w:t>
      </w:r>
      <w:r w:rsidRPr="000E02D0">
        <w:t xml:space="preserve">повече спрямо отчетените за същия период на предходната година. Политиката в областта на културата е свързана с укрепването, популяризирането и развитието на българската идентичност, култура и духовни ценности, опазване на движимото и недвижимото културно наследство и оптимизиране на действащата система на финансиране в мрежата на сценичните изкуства и повишаване на ефективността на маркетинга и атрактивността на предлаганите културни продукти. Отчетените разходи за финансиране на културата за първото шестмесечие на </w:t>
      </w:r>
      <w:r w:rsidRPr="00866913">
        <w:t xml:space="preserve">2024 г. са в размер на 536,7 млн. лв. Политиките в областта на физическата култура и спорта са насочени към насърчаване на учащите от различните възрастови групи към физическа активност, здравословен начин на живот и създаване на навици за занимания със спорт, укрепване на здравето на гражданите чрез здравословна физическа активност и осигуряване на условия за практикуване на спорт, за развитие на елитния спорт на регионално, национално и международно ниво чрез реализиране на програми, оптимизиране управлението на спортната подготовка и подобряване на координацията между държавните институции, </w:t>
      </w:r>
      <w:r w:rsidRPr="00A37023">
        <w:t>общините и спортните организации, както и изграждане, реконструкция и модернизация на спортните обекти и съоръжения. Разходите в тази група към 30.06.2024 г. са 124,5 млн. лв. Към края на юни 2024 г. разходите за финансиране на почивни дейности са 16,8 млн. лв., а в областта на религиозно дело – 40,1 млн. лева.</w:t>
      </w:r>
    </w:p>
    <w:p w14:paraId="3BA4CDD0" w14:textId="77777777" w:rsidR="00677E5F" w:rsidRPr="0038166A" w:rsidRDefault="00677E5F" w:rsidP="00677E5F">
      <w:pPr>
        <w:autoSpaceDE w:val="0"/>
        <w:autoSpaceDN w:val="0"/>
        <w:adjustRightInd w:val="0"/>
        <w:spacing w:after="120"/>
        <w:jc w:val="both"/>
      </w:pPr>
      <w:r w:rsidRPr="005542D0">
        <w:rPr>
          <w:b/>
        </w:rPr>
        <w:t>Разходите</w:t>
      </w:r>
      <w:r w:rsidRPr="005542D0">
        <w:t xml:space="preserve"> за </w:t>
      </w:r>
      <w:r w:rsidRPr="005542D0">
        <w:rPr>
          <w:b/>
          <w:i/>
        </w:rPr>
        <w:t>икономическите дейности и услуги</w:t>
      </w:r>
      <w:r w:rsidRPr="005542D0">
        <w:t xml:space="preserve"> за първото полугодие на 2024 г. са в размер на 4 662,9 млн. лв. или 33,9 % от разчета за годината. Сравнени със същия период на 2023 г.</w:t>
      </w:r>
      <w:r w:rsidRPr="005542D0">
        <w:rPr>
          <w:lang w:val="ru-RU"/>
        </w:rPr>
        <w:t>,</w:t>
      </w:r>
      <w:r w:rsidRPr="005542D0">
        <w:t xml:space="preserve"> разходите са по-малко с 5,2 % (255,6 млн. лв.). С използваните средства се осъществява държавната политика по отношение на реалния сектор,  политиките в селското и горското стопанство, рибарството и </w:t>
      </w:r>
      <w:proofErr w:type="spellStart"/>
      <w:r w:rsidRPr="005542D0">
        <w:t>аквакултурите</w:t>
      </w:r>
      <w:proofErr w:type="spellEnd"/>
      <w:r w:rsidRPr="005542D0">
        <w:t xml:space="preserve">, както и приоритетните политики в сферата на </w:t>
      </w:r>
      <w:r w:rsidRPr="00B43314">
        <w:t xml:space="preserve">енергетиката, проекти в сферата на транспорта, проекти, свързани с енергийната сигурност и ефективност, промишлеността, строителството и туризма. Основните приоритети в областта на енергетиката са насочени към </w:t>
      </w:r>
      <w:r w:rsidRPr="00B43314">
        <w:rPr>
          <w:noProof/>
        </w:rPr>
        <w:t xml:space="preserve">устойчиво енергийно развитие на страната, ефективно използване на енергията и енергийните ресурси, задоволяване потребностите на обществото от електрическа и топлинна енергия, природен газ и горива, установяване на по-чисто и ефективно производство на енергия чрез рационално използване на конвенционалните и възобновяеми източници на енергия (ВИ), минимизиране влиянието на производството, преноса и използването на енергия върху околната среда, подобряване управлението на природните ресурси. </w:t>
      </w:r>
      <w:r w:rsidRPr="0087260B">
        <w:rPr>
          <w:noProof/>
        </w:rPr>
        <w:t xml:space="preserve">Специфична дейност в областта е </w:t>
      </w:r>
      <w:r w:rsidRPr="0087260B">
        <w:t xml:space="preserve">извеждане на ядрени съоръжения от експлоатация и безопасно съхранение на ядрени отпадъци, извършване на експертизи и обследвания на енергийни потребители, разработване на мерки за намаляване на енергийното потребление в индустрията, осъществяване на дейности и програми за енергийна ефективност. Една от основните цели в областта на енергетиката е свързана с пълна либерализация на пазарите на електроенергия и газ и интегрирането им в Общия европейски енергиен пазар, </w:t>
      </w:r>
      <w:r w:rsidRPr="0038166A">
        <w:t xml:space="preserve">както и защитата на уязвимите потребители. Насърчава се въвеждането на </w:t>
      </w:r>
      <w:proofErr w:type="spellStart"/>
      <w:r w:rsidRPr="0038166A">
        <w:t>енергоефективни</w:t>
      </w:r>
      <w:proofErr w:type="spellEnd"/>
      <w:r w:rsidRPr="0038166A">
        <w:t xml:space="preserve"> и екологосъобразни технологии в промишления и енергийния сектор. Изграждането и модернизирането на транспортната инфраструктура на страната е също сред основните приоритети. В това функционално направление се осъществяват дейностите в областта на осигуряването на ефективен и устойчив транспорт, развитието на екологосъобразни, безопасни и сигурни видове транспорт и висококачествени транспортно-логистични услуги, подобряване на свързаността на българската транспортна система с единното европейско транспортно пространство, ограничаване на негативното въздействие на транспорта върху околната среда и здравето на хората, повишаване на сигурността и безопасността на транспортната система, развитието на модерна съобщителна и пощенска инфраструктура, подкрепа за балансирано регионално развитие, изграждане на съвременна електронна инфраструктура и услуги, както и технологично развитие и иновации. В областта на селското стопанство приоритетите са свързани с: борбата със заразни и паразитни болести, събиране и унищожаване на високорискови отпадъци, охрана и възпроизводство на горите, с издръжка на горската и ловна стража с оглед опазване на горите и дивеча; с опазване, възстановяване и подобряване на почвеното плодородие и екологичните функции на почвената покривка; с развитието на </w:t>
      </w:r>
      <w:proofErr w:type="spellStart"/>
      <w:r w:rsidRPr="0038166A">
        <w:t>лозаро</w:t>
      </w:r>
      <w:proofErr w:type="spellEnd"/>
      <w:r w:rsidRPr="0038166A">
        <w:t xml:space="preserve">-винарския сектор в страната съгласно изискванията на ЕС; с осъществяване на </w:t>
      </w:r>
      <w:proofErr w:type="spellStart"/>
      <w:r w:rsidRPr="0038166A">
        <w:t>противоградова</w:t>
      </w:r>
      <w:proofErr w:type="spellEnd"/>
      <w:r w:rsidRPr="0038166A">
        <w:t xml:space="preserve"> защита на продукцията в селското стопанство; с опазване и възпроизводство на рибата и </w:t>
      </w:r>
      <w:proofErr w:type="spellStart"/>
      <w:r w:rsidRPr="0038166A">
        <w:t>аквакултурите</w:t>
      </w:r>
      <w:proofErr w:type="spellEnd"/>
      <w:r w:rsidRPr="0038166A">
        <w:t xml:space="preserve"> и други. В областта на туризма осъществяваните приоритети са свързани с: насърчаване предоставянето на качествени услуги и защита правата и сигурността на потребителите; постигане на ефективна координация между институциите, ангажирани с определяне и осъществяване на политиката в туризма; взаимодействие с туристическия бизнес, нарастване на приходите от международен туризъм в България, в т.ч. чрез облекчен достъп и оптимизирана система за привличане на чуждестранни туристи на територията на България; превръщане на подходящото културно-историческо наследство в част от инфраструктурата на туризма; разнообразяване на предлаганите продукти с цел целогодишно използване на туристическия потенциал на страната. В областта на</w:t>
      </w:r>
      <w:r w:rsidRPr="0038166A">
        <w:rPr>
          <w:b/>
        </w:rPr>
        <w:t xml:space="preserve"> </w:t>
      </w:r>
      <w:r w:rsidRPr="0038166A">
        <w:t xml:space="preserve">промишлеността и строителството се реализира политиката, насочена към постигане на устойчиво икономическо развитие и конкурентоспособност на българската икономика. Със средствата в тази област се осъществяват дейностите по насърчаване създаването и развитието на </w:t>
      </w:r>
      <w:proofErr w:type="spellStart"/>
      <w:r w:rsidRPr="0038166A">
        <w:t>микро</w:t>
      </w:r>
      <w:proofErr w:type="spellEnd"/>
      <w:r w:rsidRPr="0038166A">
        <w:t>, малки и средни предприятия, подкрепа на процеса на предприемачество, насърчаване създаването на предприятия, базирани на иновативни идеи и стимулиране на научно-изследователската и развойна дейност, стимулиране на пазарно ориентирани научно-приложни изследвания, предназначени за индустрията и създаване на условия за привличане на частни капитали за финансиране на иновации, подобряване на бизнес средата, дейности в областта на метрологията и техническия надзор, на патентната дейност, на дейностите по акредитиране на лаборатории и органи, на обществените поръчки и други.</w:t>
      </w:r>
    </w:p>
    <w:p w14:paraId="3C787A5B" w14:textId="77777777" w:rsidR="00677E5F" w:rsidRDefault="00677E5F" w:rsidP="00677E5F">
      <w:pPr>
        <w:autoSpaceDE w:val="0"/>
        <w:autoSpaceDN w:val="0"/>
        <w:adjustRightInd w:val="0"/>
        <w:spacing w:after="120"/>
        <w:jc w:val="both"/>
      </w:pPr>
      <w:r w:rsidRPr="00ED3348">
        <w:rPr>
          <w:b/>
          <w:i/>
        </w:rPr>
        <w:t>Разходите, некласифицирани в другите функции</w:t>
      </w:r>
      <w:r w:rsidRPr="00ED3348">
        <w:t>, обхващат лихвените плащания по обслужване на държавния и общинския дълг. Годишният разчет в ЗДБРБ за 202</w:t>
      </w:r>
      <w:r w:rsidRPr="00ED3348">
        <w:rPr>
          <w:lang w:val="ru-RU"/>
        </w:rPr>
        <w:t>4</w:t>
      </w:r>
      <w:r w:rsidRPr="00ED3348">
        <w:t xml:space="preserve"> г. за функция „Разходи, некласифицирани в другите функции” включва и резерва за непредвидени и неотложни разходи. Средствата, изразходвани за сметка на резерва по отчет, са отчетени в съответните функции според функционалното предназначение на разхода. За първото полугодие на 202</w:t>
      </w:r>
      <w:r w:rsidRPr="00ED3348">
        <w:rPr>
          <w:lang w:val="ru-RU"/>
        </w:rPr>
        <w:t>4</w:t>
      </w:r>
      <w:r w:rsidRPr="00ED3348">
        <w:t xml:space="preserve"> г. отчетените разходи в тази функция са в размер на 497,2 млн. лева.</w:t>
      </w:r>
    </w:p>
    <w:p w14:paraId="74FACE12" w14:textId="77777777" w:rsidR="00677E5F" w:rsidRDefault="00677E5F" w:rsidP="00677E5F">
      <w:pPr>
        <w:autoSpaceDE w:val="0"/>
        <w:autoSpaceDN w:val="0"/>
        <w:adjustRightInd w:val="0"/>
        <w:spacing w:after="120"/>
        <w:jc w:val="both"/>
        <w:rPr>
          <w:color w:val="0070C0"/>
        </w:rPr>
      </w:pPr>
      <w:r>
        <w:rPr>
          <w:color w:val="0070C0"/>
        </w:rPr>
        <w:br w:type="page"/>
      </w:r>
    </w:p>
    <w:p w14:paraId="5CF52032" w14:textId="77777777" w:rsidR="000470AB" w:rsidRPr="0000732D" w:rsidRDefault="000470AB" w:rsidP="003E55D4">
      <w:pPr>
        <w:pStyle w:val="Heading2"/>
        <w:numPr>
          <w:ilvl w:val="0"/>
          <w:numId w:val="3"/>
        </w:numPr>
        <w:tabs>
          <w:tab w:val="clear" w:pos="720"/>
          <w:tab w:val="center" w:pos="426"/>
        </w:tabs>
        <w:spacing w:before="0" w:after="120"/>
        <w:ind w:left="0" w:firstLine="0"/>
        <w:rPr>
          <w:rFonts w:ascii="Times New Roman" w:hAnsi="Times New Roman" w:cs="Times New Roman"/>
          <w:sz w:val="24"/>
          <w:szCs w:val="24"/>
        </w:rPr>
      </w:pPr>
      <w:bookmarkStart w:id="21" w:name="_Toc176351918"/>
      <w:bookmarkStart w:id="22" w:name="_Toc301864734"/>
      <w:bookmarkStart w:id="23" w:name="_Toc365649287"/>
      <w:bookmarkStart w:id="24" w:name="_Toc365897024"/>
      <w:r w:rsidRPr="0000732D">
        <w:rPr>
          <w:rFonts w:ascii="Times New Roman" w:hAnsi="Times New Roman" w:cs="Times New Roman"/>
          <w:sz w:val="24"/>
          <w:szCs w:val="24"/>
        </w:rPr>
        <w:t>Изпълнение на приходите по видове по консолидираната фискална програма</w:t>
      </w:r>
      <w:bookmarkEnd w:id="21"/>
    </w:p>
    <w:p w14:paraId="42E0F59C" w14:textId="77777777" w:rsidR="000470AB" w:rsidRPr="00E56679" w:rsidRDefault="000470AB" w:rsidP="000473E1">
      <w:pPr>
        <w:jc w:val="center"/>
        <w:rPr>
          <w:color w:val="0070C0"/>
          <w:sz w:val="12"/>
          <w:szCs w:val="12"/>
        </w:rPr>
      </w:pPr>
    </w:p>
    <w:p w14:paraId="1EB4F336" w14:textId="77777777" w:rsidR="008502D4" w:rsidRPr="00B20830" w:rsidRDefault="008502D4" w:rsidP="008502D4">
      <w:pPr>
        <w:jc w:val="both"/>
      </w:pPr>
      <w:bookmarkStart w:id="25" w:name="_Toc365649300"/>
      <w:bookmarkStart w:id="26" w:name="_Toc365897037"/>
      <w:bookmarkEnd w:id="22"/>
      <w:bookmarkEnd w:id="23"/>
      <w:bookmarkEnd w:id="24"/>
      <w:r w:rsidRPr="00B20830">
        <w:t xml:space="preserve">Отчетът на приходите, помощите и даренията по консолидираната фискална програма към </w:t>
      </w:r>
      <w:r w:rsidRPr="00B20830">
        <w:rPr>
          <w:lang w:eastAsia="en-US"/>
        </w:rPr>
        <w:t xml:space="preserve">първото </w:t>
      </w:r>
      <w:r w:rsidRPr="00B20830">
        <w:t>полугодие на 202</w:t>
      </w:r>
      <w:r w:rsidRPr="00772219">
        <w:rPr>
          <w:lang w:val="ru-RU"/>
        </w:rPr>
        <w:t>3</w:t>
      </w:r>
      <w:r w:rsidRPr="00B20830">
        <w:rPr>
          <w:lang w:val="ru-RU"/>
        </w:rPr>
        <w:t xml:space="preserve"> г.</w:t>
      </w:r>
      <w:r w:rsidRPr="00B20830">
        <w:t xml:space="preserve"> и 202</w:t>
      </w:r>
      <w:r w:rsidRPr="00772219">
        <w:rPr>
          <w:lang w:val="ru-RU"/>
        </w:rPr>
        <w:t>4</w:t>
      </w:r>
      <w:r w:rsidRPr="00B20830">
        <w:t xml:space="preserve"> г. по основни приходни групи е представен в следната таблица:</w:t>
      </w:r>
    </w:p>
    <w:p w14:paraId="1EE325E0" w14:textId="77777777" w:rsidR="008502D4" w:rsidRPr="00E56679" w:rsidRDefault="008502D4" w:rsidP="008502D4">
      <w:pPr>
        <w:jc w:val="both"/>
        <w:rPr>
          <w:b/>
          <w:color w:val="0070C0"/>
        </w:rPr>
      </w:pPr>
    </w:p>
    <w:p w14:paraId="0B30D241" w14:textId="2F37C706" w:rsidR="008502D4" w:rsidRPr="005B46A5" w:rsidRDefault="008502D4" w:rsidP="005B46A5">
      <w:pPr>
        <w:jc w:val="center"/>
        <w:rPr>
          <w:b/>
          <w:i/>
        </w:rPr>
      </w:pPr>
      <w:r w:rsidRPr="005B46A5">
        <w:rPr>
          <w:b/>
          <w:i/>
        </w:rPr>
        <w:t>Приходи, помощи и дарения по КФП за първото полугодие на 202</w:t>
      </w:r>
      <w:r w:rsidRPr="00772219">
        <w:rPr>
          <w:b/>
          <w:i/>
          <w:lang w:val="ru-RU"/>
        </w:rPr>
        <w:t>3</w:t>
      </w:r>
      <w:r w:rsidRPr="005B46A5">
        <w:rPr>
          <w:b/>
          <w:i/>
          <w:lang w:val="ru-RU"/>
        </w:rPr>
        <w:t xml:space="preserve"> г.</w:t>
      </w:r>
      <w:r w:rsidRPr="005B46A5">
        <w:rPr>
          <w:b/>
          <w:i/>
        </w:rPr>
        <w:t xml:space="preserve"> и 202</w:t>
      </w:r>
      <w:r w:rsidRPr="00772219">
        <w:rPr>
          <w:b/>
          <w:i/>
          <w:lang w:val="ru-RU"/>
        </w:rPr>
        <w:t>4</w:t>
      </w:r>
      <w:r w:rsidRPr="005B46A5">
        <w:rPr>
          <w:b/>
          <w:i/>
        </w:rPr>
        <w:t xml:space="preserve"> г.</w:t>
      </w:r>
    </w:p>
    <w:p w14:paraId="6AFEACDA" w14:textId="72E12927" w:rsidR="008502D4" w:rsidRDefault="008502D4" w:rsidP="008502D4">
      <w:pPr>
        <w:jc w:val="both"/>
        <w:rPr>
          <w:i/>
          <w:color w:val="0070C0"/>
        </w:rPr>
      </w:pPr>
    </w:p>
    <w:tbl>
      <w:tblPr>
        <w:tblW w:w="9684" w:type="dxa"/>
        <w:tblCellMar>
          <w:left w:w="70" w:type="dxa"/>
          <w:right w:w="70" w:type="dxa"/>
        </w:tblCellMar>
        <w:tblLook w:val="04A0" w:firstRow="1" w:lastRow="0" w:firstColumn="1" w:lastColumn="0" w:noHBand="0" w:noVBand="1"/>
      </w:tblPr>
      <w:tblGrid>
        <w:gridCol w:w="3620"/>
        <w:gridCol w:w="1400"/>
        <w:gridCol w:w="1360"/>
        <w:gridCol w:w="980"/>
        <w:gridCol w:w="1080"/>
        <w:gridCol w:w="1244"/>
      </w:tblGrid>
      <w:tr w:rsidR="00E253BB" w:rsidRPr="00E56679" w14:paraId="44426025" w14:textId="77777777" w:rsidTr="008700E1">
        <w:trPr>
          <w:trHeight w:val="750"/>
        </w:trPr>
        <w:tc>
          <w:tcPr>
            <w:tcW w:w="3620" w:type="dxa"/>
            <w:vMerge w:val="restart"/>
            <w:tcBorders>
              <w:top w:val="double" w:sz="6" w:space="0" w:color="800000"/>
              <w:left w:val="double" w:sz="6" w:space="0" w:color="800000"/>
              <w:bottom w:val="double" w:sz="6" w:space="0" w:color="800000"/>
              <w:right w:val="single" w:sz="8" w:space="0" w:color="FFFFFF"/>
            </w:tcBorders>
            <w:shd w:val="clear" w:color="000000" w:fill="800000"/>
            <w:vAlign w:val="center"/>
            <w:hideMark/>
          </w:tcPr>
          <w:p w14:paraId="473A0B99" w14:textId="77777777" w:rsidR="00E253BB" w:rsidRPr="00B20830" w:rsidRDefault="00E253BB" w:rsidP="00654A69">
            <w:pPr>
              <w:jc w:val="center"/>
              <w:rPr>
                <w:b/>
                <w:bCs/>
                <w:sz w:val="20"/>
                <w:szCs w:val="20"/>
              </w:rPr>
            </w:pPr>
            <w:r w:rsidRPr="00B20830">
              <w:rPr>
                <w:b/>
                <w:bCs/>
                <w:sz w:val="20"/>
                <w:szCs w:val="20"/>
              </w:rPr>
              <w:t>ПОКАЗАТЕЛИ</w:t>
            </w:r>
          </w:p>
        </w:tc>
        <w:tc>
          <w:tcPr>
            <w:tcW w:w="1400" w:type="dxa"/>
            <w:vMerge w:val="restart"/>
            <w:tcBorders>
              <w:top w:val="double" w:sz="6" w:space="0" w:color="800000"/>
              <w:left w:val="nil"/>
              <w:right w:val="single" w:sz="8" w:space="0" w:color="FFFFFF"/>
            </w:tcBorders>
            <w:shd w:val="clear" w:color="000000" w:fill="800000"/>
            <w:vAlign w:val="center"/>
            <w:hideMark/>
          </w:tcPr>
          <w:p w14:paraId="16621037" w14:textId="012083B0" w:rsidR="00E253BB" w:rsidRDefault="00E253BB" w:rsidP="00654A69">
            <w:pPr>
              <w:jc w:val="center"/>
              <w:rPr>
                <w:b/>
                <w:bCs/>
                <w:sz w:val="20"/>
                <w:szCs w:val="20"/>
              </w:rPr>
            </w:pPr>
            <w:r w:rsidRPr="00B20830">
              <w:rPr>
                <w:b/>
                <w:bCs/>
                <w:sz w:val="20"/>
                <w:szCs w:val="20"/>
              </w:rPr>
              <w:t>Отчет H1</w:t>
            </w:r>
          </w:p>
          <w:p w14:paraId="57689728" w14:textId="77777777" w:rsidR="00E253BB" w:rsidRPr="00B20830" w:rsidRDefault="00E253BB" w:rsidP="00654A69">
            <w:pPr>
              <w:jc w:val="center"/>
              <w:rPr>
                <w:b/>
                <w:bCs/>
                <w:sz w:val="20"/>
                <w:szCs w:val="20"/>
              </w:rPr>
            </w:pPr>
          </w:p>
          <w:p w14:paraId="18DBD5B6" w14:textId="4B14D709" w:rsidR="00E253BB" w:rsidRPr="00B20830" w:rsidRDefault="00E253BB" w:rsidP="00654A69">
            <w:pPr>
              <w:jc w:val="center"/>
              <w:rPr>
                <w:b/>
                <w:bCs/>
                <w:sz w:val="20"/>
                <w:szCs w:val="20"/>
              </w:rPr>
            </w:pPr>
            <w:r w:rsidRPr="00B20830">
              <w:rPr>
                <w:b/>
                <w:bCs/>
                <w:sz w:val="20"/>
                <w:szCs w:val="20"/>
              </w:rPr>
              <w:t>202</w:t>
            </w:r>
            <w:r>
              <w:rPr>
                <w:b/>
                <w:bCs/>
                <w:sz w:val="20"/>
                <w:szCs w:val="20"/>
                <w:lang w:val="en-US"/>
              </w:rPr>
              <w:t>3</w:t>
            </w:r>
          </w:p>
        </w:tc>
        <w:tc>
          <w:tcPr>
            <w:tcW w:w="2340" w:type="dxa"/>
            <w:gridSpan w:val="2"/>
            <w:tcBorders>
              <w:top w:val="double" w:sz="6" w:space="0" w:color="800000"/>
              <w:left w:val="nil"/>
              <w:bottom w:val="single" w:sz="8" w:space="0" w:color="FFFFFF"/>
              <w:right w:val="single" w:sz="8" w:space="0" w:color="FFFFFF"/>
            </w:tcBorders>
            <w:shd w:val="clear" w:color="000000" w:fill="800000"/>
            <w:noWrap/>
            <w:vAlign w:val="center"/>
            <w:hideMark/>
          </w:tcPr>
          <w:p w14:paraId="44A25486" w14:textId="77777777" w:rsidR="00E253BB" w:rsidRPr="00B20830" w:rsidRDefault="00E253BB" w:rsidP="00654A69">
            <w:pPr>
              <w:jc w:val="center"/>
              <w:rPr>
                <w:b/>
                <w:bCs/>
                <w:sz w:val="20"/>
                <w:szCs w:val="20"/>
              </w:rPr>
            </w:pPr>
            <w:r w:rsidRPr="00B20830">
              <w:rPr>
                <w:b/>
                <w:bCs/>
                <w:sz w:val="20"/>
                <w:szCs w:val="20"/>
              </w:rPr>
              <w:t>202</w:t>
            </w:r>
            <w:r w:rsidRPr="00360C86">
              <w:rPr>
                <w:b/>
                <w:bCs/>
                <w:sz w:val="20"/>
                <w:szCs w:val="20"/>
              </w:rPr>
              <w:t>4</w:t>
            </w:r>
            <w:r w:rsidRPr="00B20830">
              <w:rPr>
                <w:b/>
                <w:bCs/>
                <w:sz w:val="20"/>
                <w:szCs w:val="20"/>
              </w:rPr>
              <w:t xml:space="preserve"> г.</w:t>
            </w:r>
          </w:p>
        </w:tc>
        <w:tc>
          <w:tcPr>
            <w:tcW w:w="1080" w:type="dxa"/>
            <w:vMerge w:val="restart"/>
            <w:tcBorders>
              <w:top w:val="double" w:sz="6" w:space="0" w:color="800000"/>
              <w:left w:val="single" w:sz="8" w:space="0" w:color="FFFFFF"/>
              <w:bottom w:val="double" w:sz="6" w:space="0" w:color="800000"/>
              <w:right w:val="single" w:sz="8" w:space="0" w:color="FFFFFF"/>
            </w:tcBorders>
            <w:shd w:val="clear" w:color="000000" w:fill="800000"/>
            <w:vAlign w:val="center"/>
            <w:hideMark/>
          </w:tcPr>
          <w:p w14:paraId="2291755E" w14:textId="77777777" w:rsidR="00E253BB" w:rsidRPr="00B20830" w:rsidRDefault="00E253BB" w:rsidP="00654A69">
            <w:pPr>
              <w:jc w:val="center"/>
              <w:rPr>
                <w:b/>
                <w:bCs/>
                <w:sz w:val="20"/>
                <w:szCs w:val="20"/>
              </w:rPr>
            </w:pPr>
            <w:r w:rsidRPr="00B20830">
              <w:rPr>
                <w:b/>
                <w:bCs/>
                <w:sz w:val="20"/>
                <w:szCs w:val="20"/>
              </w:rPr>
              <w:t>Отчет Н1 202</w:t>
            </w:r>
            <w:r w:rsidRPr="00360C86">
              <w:rPr>
                <w:b/>
                <w:bCs/>
                <w:sz w:val="20"/>
                <w:szCs w:val="20"/>
              </w:rPr>
              <w:t>4</w:t>
            </w:r>
            <w:r w:rsidRPr="00B20830">
              <w:rPr>
                <w:b/>
                <w:bCs/>
                <w:sz w:val="20"/>
                <w:szCs w:val="20"/>
              </w:rPr>
              <w:t xml:space="preserve"> спрямо Н1 202</w:t>
            </w:r>
            <w:r w:rsidRPr="00360C86">
              <w:rPr>
                <w:b/>
                <w:bCs/>
                <w:sz w:val="20"/>
                <w:szCs w:val="20"/>
              </w:rPr>
              <w:t>3</w:t>
            </w:r>
          </w:p>
        </w:tc>
        <w:tc>
          <w:tcPr>
            <w:tcW w:w="1244" w:type="dxa"/>
            <w:vMerge w:val="restart"/>
            <w:tcBorders>
              <w:top w:val="double" w:sz="6" w:space="0" w:color="800000"/>
              <w:left w:val="single" w:sz="8" w:space="0" w:color="FFFFFF"/>
              <w:bottom w:val="double" w:sz="6" w:space="0" w:color="800000"/>
              <w:right w:val="double" w:sz="6" w:space="0" w:color="800000"/>
            </w:tcBorders>
            <w:shd w:val="clear" w:color="000000" w:fill="800000"/>
            <w:vAlign w:val="center"/>
            <w:hideMark/>
          </w:tcPr>
          <w:p w14:paraId="41506513" w14:textId="77777777" w:rsidR="00E253BB" w:rsidRPr="00B20830" w:rsidRDefault="00E253BB" w:rsidP="00654A69">
            <w:pPr>
              <w:jc w:val="center"/>
              <w:rPr>
                <w:b/>
                <w:bCs/>
                <w:sz w:val="20"/>
                <w:szCs w:val="20"/>
              </w:rPr>
            </w:pPr>
            <w:r w:rsidRPr="00B20830">
              <w:rPr>
                <w:b/>
                <w:bCs/>
                <w:sz w:val="20"/>
                <w:szCs w:val="20"/>
              </w:rPr>
              <w:t>Изпълнение Н1 202</w:t>
            </w:r>
            <w:r w:rsidRPr="00360C86">
              <w:rPr>
                <w:b/>
                <w:bCs/>
                <w:sz w:val="20"/>
                <w:szCs w:val="20"/>
              </w:rPr>
              <w:t>4</w:t>
            </w:r>
            <w:r w:rsidRPr="00B20830">
              <w:rPr>
                <w:b/>
                <w:bCs/>
                <w:sz w:val="20"/>
                <w:szCs w:val="20"/>
              </w:rPr>
              <w:t xml:space="preserve"> спрямо Програма 202</w:t>
            </w:r>
            <w:r w:rsidRPr="00360C86">
              <w:rPr>
                <w:b/>
                <w:bCs/>
                <w:sz w:val="20"/>
                <w:szCs w:val="20"/>
              </w:rPr>
              <w:t>4</w:t>
            </w:r>
          </w:p>
        </w:tc>
      </w:tr>
      <w:tr w:rsidR="00E253BB" w:rsidRPr="00E56679" w14:paraId="2A3F516D" w14:textId="77777777" w:rsidTr="008700E1">
        <w:trPr>
          <w:trHeight w:val="528"/>
        </w:trPr>
        <w:tc>
          <w:tcPr>
            <w:tcW w:w="3620" w:type="dxa"/>
            <w:vMerge/>
            <w:tcBorders>
              <w:top w:val="double" w:sz="6" w:space="0" w:color="800000"/>
              <w:left w:val="double" w:sz="6" w:space="0" w:color="800000"/>
              <w:bottom w:val="double" w:sz="6" w:space="0" w:color="800000"/>
              <w:right w:val="single" w:sz="8" w:space="0" w:color="FFFFFF"/>
            </w:tcBorders>
            <w:vAlign w:val="center"/>
            <w:hideMark/>
          </w:tcPr>
          <w:p w14:paraId="416F47E7" w14:textId="77777777" w:rsidR="00E253BB" w:rsidRPr="00E56679" w:rsidRDefault="00E253BB" w:rsidP="00654A69">
            <w:pPr>
              <w:rPr>
                <w:b/>
                <w:bCs/>
                <w:color w:val="0070C0"/>
                <w:sz w:val="20"/>
                <w:szCs w:val="20"/>
              </w:rPr>
            </w:pPr>
          </w:p>
        </w:tc>
        <w:tc>
          <w:tcPr>
            <w:tcW w:w="1400" w:type="dxa"/>
            <w:vMerge/>
            <w:tcBorders>
              <w:left w:val="nil"/>
              <w:bottom w:val="nil"/>
              <w:right w:val="single" w:sz="8" w:space="0" w:color="FFFFFF"/>
            </w:tcBorders>
            <w:shd w:val="clear" w:color="000000" w:fill="800000"/>
            <w:vAlign w:val="center"/>
            <w:hideMark/>
          </w:tcPr>
          <w:p w14:paraId="6526484D" w14:textId="70B2CCA7" w:rsidR="00E253BB" w:rsidRPr="00B20830" w:rsidRDefault="00E253BB" w:rsidP="00654A69">
            <w:pPr>
              <w:jc w:val="center"/>
              <w:rPr>
                <w:b/>
                <w:bCs/>
                <w:sz w:val="20"/>
                <w:szCs w:val="20"/>
              </w:rPr>
            </w:pPr>
          </w:p>
        </w:tc>
        <w:tc>
          <w:tcPr>
            <w:tcW w:w="1360" w:type="dxa"/>
            <w:vMerge w:val="restart"/>
            <w:tcBorders>
              <w:top w:val="nil"/>
              <w:left w:val="single" w:sz="8" w:space="0" w:color="FFFFFF"/>
              <w:bottom w:val="double" w:sz="6" w:space="0" w:color="800000"/>
              <w:right w:val="single" w:sz="8" w:space="0" w:color="FFFFFF"/>
            </w:tcBorders>
            <w:shd w:val="clear" w:color="000000" w:fill="800000"/>
            <w:vAlign w:val="center"/>
            <w:hideMark/>
          </w:tcPr>
          <w:p w14:paraId="69E5A354" w14:textId="672F7840" w:rsidR="00E253BB" w:rsidRDefault="00E253BB" w:rsidP="00654A69">
            <w:pPr>
              <w:jc w:val="center"/>
              <w:rPr>
                <w:b/>
                <w:bCs/>
                <w:sz w:val="20"/>
                <w:szCs w:val="20"/>
              </w:rPr>
            </w:pPr>
            <w:r w:rsidRPr="00B20830">
              <w:rPr>
                <w:b/>
                <w:bCs/>
                <w:sz w:val="20"/>
                <w:szCs w:val="20"/>
              </w:rPr>
              <w:t>Програма 202</w:t>
            </w:r>
            <w:r>
              <w:rPr>
                <w:b/>
                <w:bCs/>
                <w:sz w:val="20"/>
                <w:szCs w:val="20"/>
                <w:lang w:val="en-US"/>
              </w:rPr>
              <w:t>4</w:t>
            </w:r>
            <w:r w:rsidRPr="00B20830">
              <w:rPr>
                <w:b/>
                <w:bCs/>
                <w:sz w:val="20"/>
                <w:szCs w:val="20"/>
              </w:rPr>
              <w:t xml:space="preserve"> г.</w:t>
            </w:r>
          </w:p>
          <w:p w14:paraId="23251F92" w14:textId="77777777" w:rsidR="00E253BB" w:rsidRDefault="00E253BB" w:rsidP="00654A69">
            <w:pPr>
              <w:jc w:val="center"/>
              <w:rPr>
                <w:b/>
                <w:bCs/>
                <w:sz w:val="20"/>
                <w:szCs w:val="20"/>
              </w:rPr>
            </w:pPr>
          </w:p>
          <w:p w14:paraId="08B09495" w14:textId="70F45ECC" w:rsidR="00E253BB" w:rsidRPr="00E83F68" w:rsidRDefault="00E253BB" w:rsidP="00654A69">
            <w:pPr>
              <w:jc w:val="center"/>
              <w:rPr>
                <w:b/>
                <w:bCs/>
                <w:sz w:val="18"/>
                <w:szCs w:val="18"/>
              </w:rPr>
            </w:pPr>
            <w:r w:rsidRPr="00E83F68">
              <w:rPr>
                <w:sz w:val="18"/>
                <w:szCs w:val="18"/>
              </w:rPr>
              <w:t xml:space="preserve"> (млн. лв.)</w:t>
            </w:r>
          </w:p>
        </w:tc>
        <w:tc>
          <w:tcPr>
            <w:tcW w:w="980" w:type="dxa"/>
            <w:tcBorders>
              <w:top w:val="nil"/>
              <w:left w:val="nil"/>
              <w:bottom w:val="nil"/>
              <w:right w:val="single" w:sz="8" w:space="0" w:color="FFFFFF"/>
            </w:tcBorders>
            <w:shd w:val="clear" w:color="000000" w:fill="800000"/>
            <w:vAlign w:val="center"/>
            <w:hideMark/>
          </w:tcPr>
          <w:p w14:paraId="7940CD1A" w14:textId="77777777" w:rsidR="00E253BB" w:rsidRPr="00B20830" w:rsidRDefault="00E253BB" w:rsidP="00654A69">
            <w:pPr>
              <w:jc w:val="center"/>
              <w:rPr>
                <w:b/>
                <w:bCs/>
                <w:sz w:val="20"/>
                <w:szCs w:val="20"/>
              </w:rPr>
            </w:pPr>
            <w:r w:rsidRPr="00B20830">
              <w:rPr>
                <w:b/>
                <w:bCs/>
                <w:sz w:val="20"/>
                <w:szCs w:val="20"/>
              </w:rPr>
              <w:t>Отчет Н1 202</w:t>
            </w:r>
            <w:r>
              <w:rPr>
                <w:b/>
                <w:bCs/>
                <w:sz w:val="20"/>
                <w:szCs w:val="20"/>
                <w:lang w:val="en-US"/>
              </w:rPr>
              <w:t>4</w:t>
            </w:r>
          </w:p>
        </w:tc>
        <w:tc>
          <w:tcPr>
            <w:tcW w:w="1080" w:type="dxa"/>
            <w:vMerge/>
            <w:tcBorders>
              <w:top w:val="double" w:sz="6" w:space="0" w:color="800000"/>
              <w:left w:val="single" w:sz="8" w:space="0" w:color="FFFFFF"/>
              <w:bottom w:val="double" w:sz="6" w:space="0" w:color="800000"/>
              <w:right w:val="single" w:sz="8" w:space="0" w:color="FFFFFF"/>
            </w:tcBorders>
            <w:vAlign w:val="center"/>
            <w:hideMark/>
          </w:tcPr>
          <w:p w14:paraId="46094865" w14:textId="77777777" w:rsidR="00E253BB" w:rsidRPr="00B20830" w:rsidRDefault="00E253BB" w:rsidP="00654A69">
            <w:pPr>
              <w:rPr>
                <w:b/>
                <w:bCs/>
                <w:sz w:val="20"/>
                <w:szCs w:val="20"/>
              </w:rPr>
            </w:pPr>
          </w:p>
        </w:tc>
        <w:tc>
          <w:tcPr>
            <w:tcW w:w="1244" w:type="dxa"/>
            <w:vMerge/>
            <w:tcBorders>
              <w:top w:val="double" w:sz="6" w:space="0" w:color="800000"/>
              <w:left w:val="single" w:sz="8" w:space="0" w:color="FFFFFF"/>
              <w:bottom w:val="double" w:sz="6" w:space="0" w:color="800000"/>
              <w:right w:val="double" w:sz="6" w:space="0" w:color="800000"/>
            </w:tcBorders>
            <w:vAlign w:val="center"/>
            <w:hideMark/>
          </w:tcPr>
          <w:p w14:paraId="6D2B1E89" w14:textId="77777777" w:rsidR="00E253BB" w:rsidRPr="00E56679" w:rsidRDefault="00E253BB" w:rsidP="00654A69">
            <w:pPr>
              <w:rPr>
                <w:b/>
                <w:bCs/>
                <w:color w:val="0070C0"/>
                <w:sz w:val="20"/>
                <w:szCs w:val="20"/>
              </w:rPr>
            </w:pPr>
          </w:p>
        </w:tc>
      </w:tr>
      <w:tr w:rsidR="008502D4" w:rsidRPr="00E56679" w14:paraId="01692E71" w14:textId="77777777" w:rsidTr="00654A69">
        <w:trPr>
          <w:trHeight w:val="276"/>
        </w:trPr>
        <w:tc>
          <w:tcPr>
            <w:tcW w:w="3620" w:type="dxa"/>
            <w:vMerge/>
            <w:tcBorders>
              <w:top w:val="double" w:sz="6" w:space="0" w:color="800000"/>
              <w:left w:val="double" w:sz="6" w:space="0" w:color="800000"/>
              <w:bottom w:val="double" w:sz="6" w:space="0" w:color="800000"/>
              <w:right w:val="single" w:sz="8" w:space="0" w:color="FFFFFF"/>
            </w:tcBorders>
            <w:vAlign w:val="center"/>
            <w:hideMark/>
          </w:tcPr>
          <w:p w14:paraId="5A238C8D" w14:textId="77777777" w:rsidR="008502D4" w:rsidRPr="00E56679" w:rsidRDefault="008502D4" w:rsidP="00654A69">
            <w:pPr>
              <w:rPr>
                <w:b/>
                <w:bCs/>
                <w:color w:val="0070C0"/>
                <w:sz w:val="20"/>
                <w:szCs w:val="20"/>
              </w:rPr>
            </w:pPr>
          </w:p>
        </w:tc>
        <w:tc>
          <w:tcPr>
            <w:tcW w:w="1400" w:type="dxa"/>
            <w:tcBorders>
              <w:top w:val="nil"/>
              <w:left w:val="nil"/>
              <w:bottom w:val="double" w:sz="6" w:space="0" w:color="800000"/>
              <w:right w:val="single" w:sz="8" w:space="0" w:color="FFFFFF"/>
            </w:tcBorders>
            <w:shd w:val="clear" w:color="000000" w:fill="800000"/>
            <w:vAlign w:val="center"/>
            <w:hideMark/>
          </w:tcPr>
          <w:p w14:paraId="20D3E1C7" w14:textId="449316BD" w:rsidR="008502D4" w:rsidRPr="00E83F68" w:rsidRDefault="00E83F68" w:rsidP="00E83F68">
            <w:pPr>
              <w:jc w:val="center"/>
              <w:rPr>
                <w:color w:val="0070C0"/>
                <w:sz w:val="18"/>
                <w:szCs w:val="18"/>
              </w:rPr>
            </w:pPr>
            <w:r w:rsidRPr="00E83F68">
              <w:rPr>
                <w:sz w:val="18"/>
                <w:szCs w:val="18"/>
              </w:rPr>
              <w:t>(млн. лв.)</w:t>
            </w:r>
          </w:p>
        </w:tc>
        <w:tc>
          <w:tcPr>
            <w:tcW w:w="1360" w:type="dxa"/>
            <w:vMerge/>
            <w:tcBorders>
              <w:top w:val="nil"/>
              <w:left w:val="single" w:sz="8" w:space="0" w:color="FFFFFF"/>
              <w:bottom w:val="double" w:sz="6" w:space="0" w:color="800000"/>
              <w:right w:val="single" w:sz="8" w:space="0" w:color="FFFFFF"/>
            </w:tcBorders>
            <w:vAlign w:val="center"/>
            <w:hideMark/>
          </w:tcPr>
          <w:p w14:paraId="7B895FFD" w14:textId="77777777" w:rsidR="008502D4" w:rsidRPr="00E56679" w:rsidRDefault="008502D4" w:rsidP="00654A69">
            <w:pPr>
              <w:rPr>
                <w:b/>
                <w:bCs/>
                <w:color w:val="0070C0"/>
                <w:sz w:val="20"/>
                <w:szCs w:val="20"/>
              </w:rPr>
            </w:pPr>
          </w:p>
        </w:tc>
        <w:tc>
          <w:tcPr>
            <w:tcW w:w="980" w:type="dxa"/>
            <w:tcBorders>
              <w:top w:val="nil"/>
              <w:left w:val="nil"/>
              <w:bottom w:val="double" w:sz="6" w:space="0" w:color="800000"/>
              <w:right w:val="single" w:sz="8" w:space="0" w:color="FFFFFF"/>
            </w:tcBorders>
            <w:shd w:val="clear" w:color="000000" w:fill="800000"/>
            <w:vAlign w:val="center"/>
            <w:hideMark/>
          </w:tcPr>
          <w:p w14:paraId="60345ECD" w14:textId="092B440D" w:rsidR="008502D4" w:rsidRPr="00E56679" w:rsidRDefault="00E83F68" w:rsidP="00654A69">
            <w:pPr>
              <w:jc w:val="center"/>
              <w:rPr>
                <w:b/>
                <w:bCs/>
                <w:color w:val="0070C0"/>
                <w:sz w:val="20"/>
                <w:szCs w:val="20"/>
              </w:rPr>
            </w:pPr>
            <w:r w:rsidRPr="00E83F68">
              <w:rPr>
                <w:sz w:val="18"/>
                <w:szCs w:val="18"/>
              </w:rPr>
              <w:t>(млн. лв.)</w:t>
            </w:r>
            <w:r w:rsidR="008502D4" w:rsidRPr="00E56679">
              <w:rPr>
                <w:b/>
                <w:bCs/>
                <w:color w:val="0070C0"/>
                <w:sz w:val="20"/>
                <w:szCs w:val="20"/>
              </w:rPr>
              <w:t> </w:t>
            </w:r>
          </w:p>
        </w:tc>
        <w:tc>
          <w:tcPr>
            <w:tcW w:w="1080" w:type="dxa"/>
            <w:vMerge/>
            <w:tcBorders>
              <w:top w:val="double" w:sz="6" w:space="0" w:color="800000"/>
              <w:left w:val="single" w:sz="8" w:space="0" w:color="FFFFFF"/>
              <w:bottom w:val="double" w:sz="6" w:space="0" w:color="800000"/>
              <w:right w:val="single" w:sz="8" w:space="0" w:color="FFFFFF"/>
            </w:tcBorders>
            <w:vAlign w:val="center"/>
            <w:hideMark/>
          </w:tcPr>
          <w:p w14:paraId="5425BBE8" w14:textId="77777777" w:rsidR="008502D4" w:rsidRPr="00E56679" w:rsidRDefault="008502D4" w:rsidP="00654A69">
            <w:pPr>
              <w:rPr>
                <w:b/>
                <w:bCs/>
                <w:color w:val="0070C0"/>
                <w:sz w:val="20"/>
                <w:szCs w:val="20"/>
              </w:rPr>
            </w:pPr>
          </w:p>
        </w:tc>
        <w:tc>
          <w:tcPr>
            <w:tcW w:w="1244" w:type="dxa"/>
            <w:vMerge/>
            <w:tcBorders>
              <w:top w:val="double" w:sz="6" w:space="0" w:color="800000"/>
              <w:left w:val="single" w:sz="8" w:space="0" w:color="FFFFFF"/>
              <w:bottom w:val="double" w:sz="6" w:space="0" w:color="800000"/>
              <w:right w:val="double" w:sz="6" w:space="0" w:color="800000"/>
            </w:tcBorders>
            <w:vAlign w:val="center"/>
            <w:hideMark/>
          </w:tcPr>
          <w:p w14:paraId="46A6A087" w14:textId="77777777" w:rsidR="008502D4" w:rsidRPr="00E56679" w:rsidRDefault="008502D4" w:rsidP="00654A69">
            <w:pPr>
              <w:rPr>
                <w:b/>
                <w:bCs/>
                <w:color w:val="0070C0"/>
                <w:sz w:val="20"/>
                <w:szCs w:val="20"/>
              </w:rPr>
            </w:pPr>
          </w:p>
        </w:tc>
      </w:tr>
      <w:tr w:rsidR="008502D4" w:rsidRPr="00E56679" w14:paraId="540C3237" w14:textId="77777777" w:rsidTr="00654A69">
        <w:trPr>
          <w:trHeight w:val="276"/>
        </w:trPr>
        <w:tc>
          <w:tcPr>
            <w:tcW w:w="3620" w:type="dxa"/>
            <w:tcBorders>
              <w:top w:val="nil"/>
              <w:left w:val="double" w:sz="6" w:space="0" w:color="800000"/>
              <w:bottom w:val="nil"/>
              <w:right w:val="single" w:sz="8" w:space="0" w:color="800000"/>
            </w:tcBorders>
            <w:shd w:val="clear" w:color="000000" w:fill="FFFFCC"/>
            <w:noWrap/>
            <w:vAlign w:val="center"/>
            <w:hideMark/>
          </w:tcPr>
          <w:p w14:paraId="3B275EE5" w14:textId="77777777" w:rsidR="008502D4" w:rsidRPr="00B20830" w:rsidRDefault="008502D4" w:rsidP="00654A69">
            <w:pPr>
              <w:rPr>
                <w:b/>
                <w:bCs/>
                <w:sz w:val="18"/>
                <w:szCs w:val="18"/>
              </w:rPr>
            </w:pPr>
            <w:r w:rsidRPr="00B20830">
              <w:rPr>
                <w:b/>
                <w:bCs/>
                <w:sz w:val="18"/>
                <w:szCs w:val="18"/>
              </w:rPr>
              <w:t>ПРИХОДИ, ПОМОЩИ И ДАРЕНИЯ</w:t>
            </w:r>
          </w:p>
        </w:tc>
        <w:tc>
          <w:tcPr>
            <w:tcW w:w="1400" w:type="dxa"/>
            <w:tcBorders>
              <w:top w:val="nil"/>
              <w:left w:val="nil"/>
              <w:bottom w:val="nil"/>
              <w:right w:val="single" w:sz="8" w:space="0" w:color="800000"/>
            </w:tcBorders>
            <w:shd w:val="clear" w:color="000000" w:fill="FFFFCC"/>
            <w:noWrap/>
            <w:vAlign w:val="center"/>
            <w:hideMark/>
          </w:tcPr>
          <w:p w14:paraId="707059B8" w14:textId="77777777" w:rsidR="008502D4" w:rsidRDefault="008502D4" w:rsidP="00654A69">
            <w:pPr>
              <w:jc w:val="right"/>
              <w:rPr>
                <w:b/>
                <w:bCs/>
                <w:sz w:val="18"/>
                <w:szCs w:val="18"/>
              </w:rPr>
            </w:pPr>
            <w:r>
              <w:rPr>
                <w:b/>
                <w:bCs/>
                <w:sz w:val="18"/>
                <w:szCs w:val="18"/>
              </w:rPr>
              <w:t>31 405,0</w:t>
            </w:r>
          </w:p>
        </w:tc>
        <w:tc>
          <w:tcPr>
            <w:tcW w:w="1360" w:type="dxa"/>
            <w:tcBorders>
              <w:top w:val="nil"/>
              <w:left w:val="nil"/>
              <w:bottom w:val="nil"/>
              <w:right w:val="single" w:sz="8" w:space="0" w:color="800000"/>
            </w:tcBorders>
            <w:shd w:val="clear" w:color="000000" w:fill="FFFFCC"/>
            <w:noWrap/>
            <w:vAlign w:val="center"/>
            <w:hideMark/>
          </w:tcPr>
          <w:p w14:paraId="212EEE0B" w14:textId="77777777" w:rsidR="008502D4" w:rsidRDefault="008502D4" w:rsidP="00654A69">
            <w:pPr>
              <w:jc w:val="right"/>
              <w:rPr>
                <w:b/>
                <w:bCs/>
                <w:sz w:val="18"/>
                <w:szCs w:val="18"/>
              </w:rPr>
            </w:pPr>
            <w:r>
              <w:rPr>
                <w:b/>
                <w:bCs/>
                <w:sz w:val="18"/>
                <w:szCs w:val="18"/>
              </w:rPr>
              <w:t>75 289,7</w:t>
            </w:r>
          </w:p>
        </w:tc>
        <w:tc>
          <w:tcPr>
            <w:tcW w:w="980" w:type="dxa"/>
            <w:tcBorders>
              <w:top w:val="nil"/>
              <w:left w:val="nil"/>
              <w:bottom w:val="nil"/>
              <w:right w:val="single" w:sz="8" w:space="0" w:color="800000"/>
            </w:tcBorders>
            <w:shd w:val="clear" w:color="000000" w:fill="FFFFCC"/>
            <w:noWrap/>
            <w:vAlign w:val="center"/>
            <w:hideMark/>
          </w:tcPr>
          <w:p w14:paraId="206EDBC3" w14:textId="77777777" w:rsidR="008502D4" w:rsidRDefault="008502D4" w:rsidP="00654A69">
            <w:pPr>
              <w:jc w:val="right"/>
              <w:rPr>
                <w:b/>
                <w:bCs/>
                <w:sz w:val="18"/>
                <w:szCs w:val="18"/>
              </w:rPr>
            </w:pPr>
            <w:r>
              <w:rPr>
                <w:b/>
                <w:bCs/>
                <w:sz w:val="18"/>
                <w:szCs w:val="18"/>
              </w:rPr>
              <w:t>34 495,4</w:t>
            </w:r>
          </w:p>
        </w:tc>
        <w:tc>
          <w:tcPr>
            <w:tcW w:w="1080" w:type="dxa"/>
            <w:tcBorders>
              <w:top w:val="nil"/>
              <w:left w:val="nil"/>
              <w:bottom w:val="nil"/>
              <w:right w:val="single" w:sz="8" w:space="0" w:color="800000"/>
            </w:tcBorders>
            <w:shd w:val="clear" w:color="000000" w:fill="FFFFCC"/>
            <w:noWrap/>
            <w:vAlign w:val="center"/>
            <w:hideMark/>
          </w:tcPr>
          <w:p w14:paraId="57F1916B" w14:textId="77777777" w:rsidR="008502D4" w:rsidRDefault="008502D4" w:rsidP="00654A69">
            <w:pPr>
              <w:jc w:val="right"/>
              <w:rPr>
                <w:b/>
                <w:bCs/>
                <w:sz w:val="18"/>
                <w:szCs w:val="18"/>
              </w:rPr>
            </w:pPr>
            <w:r>
              <w:rPr>
                <w:b/>
                <w:bCs/>
                <w:sz w:val="18"/>
                <w:szCs w:val="18"/>
              </w:rPr>
              <w:t>109,8%</w:t>
            </w:r>
          </w:p>
        </w:tc>
        <w:tc>
          <w:tcPr>
            <w:tcW w:w="1244" w:type="dxa"/>
            <w:tcBorders>
              <w:top w:val="nil"/>
              <w:left w:val="nil"/>
              <w:bottom w:val="nil"/>
              <w:right w:val="double" w:sz="6" w:space="0" w:color="800000"/>
            </w:tcBorders>
            <w:shd w:val="clear" w:color="000000" w:fill="FFFFCC"/>
            <w:noWrap/>
            <w:vAlign w:val="center"/>
            <w:hideMark/>
          </w:tcPr>
          <w:p w14:paraId="69649DF2" w14:textId="77777777" w:rsidR="008502D4" w:rsidRDefault="008502D4" w:rsidP="00654A69">
            <w:pPr>
              <w:jc w:val="right"/>
              <w:rPr>
                <w:b/>
                <w:bCs/>
                <w:sz w:val="18"/>
                <w:szCs w:val="18"/>
              </w:rPr>
            </w:pPr>
            <w:r>
              <w:rPr>
                <w:b/>
                <w:bCs/>
                <w:sz w:val="18"/>
                <w:szCs w:val="18"/>
              </w:rPr>
              <w:t>45,8%</w:t>
            </w:r>
          </w:p>
        </w:tc>
      </w:tr>
      <w:tr w:rsidR="008502D4" w:rsidRPr="00E56679" w14:paraId="0E91C5FF" w14:textId="77777777" w:rsidTr="00654A69">
        <w:trPr>
          <w:trHeight w:val="264"/>
        </w:trPr>
        <w:tc>
          <w:tcPr>
            <w:tcW w:w="3620" w:type="dxa"/>
            <w:tcBorders>
              <w:top w:val="nil"/>
              <w:left w:val="double" w:sz="6" w:space="0" w:color="800000"/>
              <w:bottom w:val="nil"/>
              <w:right w:val="single" w:sz="8" w:space="0" w:color="800000"/>
            </w:tcBorders>
            <w:shd w:val="clear" w:color="000000" w:fill="FFFFCC"/>
            <w:noWrap/>
            <w:vAlign w:val="center"/>
            <w:hideMark/>
          </w:tcPr>
          <w:p w14:paraId="72EF57FF" w14:textId="77777777" w:rsidR="008502D4" w:rsidRPr="00B20830" w:rsidRDefault="008502D4" w:rsidP="00654A69">
            <w:pPr>
              <w:rPr>
                <w:b/>
                <w:bCs/>
                <w:sz w:val="18"/>
                <w:szCs w:val="18"/>
              </w:rPr>
            </w:pPr>
            <w:r w:rsidRPr="00B20830">
              <w:rPr>
                <w:b/>
                <w:bCs/>
                <w:sz w:val="18"/>
                <w:szCs w:val="18"/>
              </w:rPr>
              <w:t xml:space="preserve">  Данъчни приходи</w:t>
            </w:r>
          </w:p>
        </w:tc>
        <w:tc>
          <w:tcPr>
            <w:tcW w:w="1400" w:type="dxa"/>
            <w:tcBorders>
              <w:top w:val="nil"/>
              <w:left w:val="nil"/>
              <w:bottom w:val="nil"/>
              <w:right w:val="single" w:sz="8" w:space="0" w:color="800000"/>
            </w:tcBorders>
            <w:shd w:val="clear" w:color="000000" w:fill="FFFFCC"/>
            <w:noWrap/>
            <w:vAlign w:val="center"/>
            <w:hideMark/>
          </w:tcPr>
          <w:p w14:paraId="630FC0AE" w14:textId="77777777" w:rsidR="008502D4" w:rsidRDefault="008502D4" w:rsidP="00654A69">
            <w:pPr>
              <w:jc w:val="right"/>
              <w:rPr>
                <w:b/>
                <w:bCs/>
                <w:sz w:val="18"/>
                <w:szCs w:val="18"/>
              </w:rPr>
            </w:pPr>
            <w:r>
              <w:rPr>
                <w:b/>
                <w:bCs/>
                <w:sz w:val="18"/>
                <w:szCs w:val="18"/>
              </w:rPr>
              <w:t>24 580,6</w:t>
            </w:r>
          </w:p>
        </w:tc>
        <w:tc>
          <w:tcPr>
            <w:tcW w:w="1360" w:type="dxa"/>
            <w:tcBorders>
              <w:top w:val="nil"/>
              <w:left w:val="nil"/>
              <w:bottom w:val="nil"/>
              <w:right w:val="single" w:sz="8" w:space="0" w:color="800000"/>
            </w:tcBorders>
            <w:shd w:val="clear" w:color="000000" w:fill="FFFFCC"/>
            <w:noWrap/>
            <w:vAlign w:val="center"/>
            <w:hideMark/>
          </w:tcPr>
          <w:p w14:paraId="6E5FB48A" w14:textId="77777777" w:rsidR="008502D4" w:rsidRDefault="008502D4" w:rsidP="00654A69">
            <w:pPr>
              <w:jc w:val="right"/>
              <w:rPr>
                <w:b/>
                <w:bCs/>
                <w:sz w:val="18"/>
                <w:szCs w:val="18"/>
              </w:rPr>
            </w:pPr>
            <w:r>
              <w:rPr>
                <w:b/>
                <w:bCs/>
                <w:sz w:val="18"/>
                <w:szCs w:val="18"/>
              </w:rPr>
              <w:t>57 950,8</w:t>
            </w:r>
          </w:p>
        </w:tc>
        <w:tc>
          <w:tcPr>
            <w:tcW w:w="980" w:type="dxa"/>
            <w:tcBorders>
              <w:top w:val="nil"/>
              <w:left w:val="nil"/>
              <w:bottom w:val="nil"/>
              <w:right w:val="single" w:sz="8" w:space="0" w:color="800000"/>
            </w:tcBorders>
            <w:shd w:val="clear" w:color="000000" w:fill="FFFFCC"/>
            <w:noWrap/>
            <w:vAlign w:val="center"/>
            <w:hideMark/>
          </w:tcPr>
          <w:p w14:paraId="689E1076" w14:textId="77777777" w:rsidR="008502D4" w:rsidRDefault="008502D4" w:rsidP="00654A69">
            <w:pPr>
              <w:jc w:val="right"/>
              <w:rPr>
                <w:b/>
                <w:bCs/>
                <w:sz w:val="18"/>
                <w:szCs w:val="18"/>
              </w:rPr>
            </w:pPr>
            <w:r>
              <w:rPr>
                <w:b/>
                <w:bCs/>
                <w:sz w:val="18"/>
                <w:szCs w:val="18"/>
              </w:rPr>
              <w:t>27 204,5</w:t>
            </w:r>
          </w:p>
        </w:tc>
        <w:tc>
          <w:tcPr>
            <w:tcW w:w="1080" w:type="dxa"/>
            <w:tcBorders>
              <w:top w:val="nil"/>
              <w:left w:val="nil"/>
              <w:bottom w:val="nil"/>
              <w:right w:val="single" w:sz="8" w:space="0" w:color="800000"/>
            </w:tcBorders>
            <w:shd w:val="clear" w:color="000000" w:fill="FFFFCC"/>
            <w:noWrap/>
            <w:vAlign w:val="center"/>
            <w:hideMark/>
          </w:tcPr>
          <w:p w14:paraId="12EA624D" w14:textId="77777777" w:rsidR="008502D4" w:rsidRDefault="008502D4" w:rsidP="00654A69">
            <w:pPr>
              <w:jc w:val="right"/>
              <w:rPr>
                <w:b/>
                <w:bCs/>
                <w:sz w:val="18"/>
                <w:szCs w:val="18"/>
              </w:rPr>
            </w:pPr>
            <w:r>
              <w:rPr>
                <w:b/>
                <w:bCs/>
                <w:sz w:val="18"/>
                <w:szCs w:val="18"/>
              </w:rPr>
              <w:t>110,7%</w:t>
            </w:r>
          </w:p>
        </w:tc>
        <w:tc>
          <w:tcPr>
            <w:tcW w:w="1244" w:type="dxa"/>
            <w:tcBorders>
              <w:top w:val="nil"/>
              <w:left w:val="nil"/>
              <w:bottom w:val="nil"/>
              <w:right w:val="double" w:sz="6" w:space="0" w:color="800000"/>
            </w:tcBorders>
            <w:shd w:val="clear" w:color="000000" w:fill="FFFFCC"/>
            <w:noWrap/>
            <w:vAlign w:val="center"/>
            <w:hideMark/>
          </w:tcPr>
          <w:p w14:paraId="44C9D8DF" w14:textId="77777777" w:rsidR="008502D4" w:rsidRDefault="008502D4" w:rsidP="00654A69">
            <w:pPr>
              <w:jc w:val="right"/>
              <w:rPr>
                <w:b/>
                <w:bCs/>
                <w:sz w:val="18"/>
                <w:szCs w:val="18"/>
              </w:rPr>
            </w:pPr>
            <w:r>
              <w:rPr>
                <w:b/>
                <w:bCs/>
                <w:sz w:val="18"/>
                <w:szCs w:val="18"/>
              </w:rPr>
              <w:t>46,9%</w:t>
            </w:r>
          </w:p>
        </w:tc>
      </w:tr>
      <w:tr w:rsidR="008502D4" w:rsidRPr="00E56679" w14:paraId="0FEAC3CD" w14:textId="77777777" w:rsidTr="00654A69">
        <w:trPr>
          <w:trHeight w:val="264"/>
        </w:trPr>
        <w:tc>
          <w:tcPr>
            <w:tcW w:w="3620" w:type="dxa"/>
            <w:tcBorders>
              <w:top w:val="nil"/>
              <w:left w:val="double" w:sz="6" w:space="0" w:color="800000"/>
              <w:bottom w:val="nil"/>
              <w:right w:val="single" w:sz="8" w:space="0" w:color="800000"/>
            </w:tcBorders>
            <w:shd w:val="clear" w:color="000000" w:fill="FFFFCC"/>
            <w:noWrap/>
            <w:vAlign w:val="center"/>
            <w:hideMark/>
          </w:tcPr>
          <w:p w14:paraId="09657918" w14:textId="77777777" w:rsidR="008502D4" w:rsidRPr="00B20830" w:rsidRDefault="008502D4" w:rsidP="00654A69">
            <w:pPr>
              <w:rPr>
                <w:b/>
                <w:bCs/>
                <w:i/>
                <w:iCs/>
                <w:sz w:val="18"/>
                <w:szCs w:val="18"/>
              </w:rPr>
            </w:pPr>
            <w:r w:rsidRPr="00B20830">
              <w:rPr>
                <w:b/>
                <w:bCs/>
                <w:i/>
                <w:iCs/>
                <w:sz w:val="18"/>
                <w:szCs w:val="18"/>
              </w:rPr>
              <w:t xml:space="preserve">    Преки данъци</w:t>
            </w:r>
          </w:p>
        </w:tc>
        <w:tc>
          <w:tcPr>
            <w:tcW w:w="1400" w:type="dxa"/>
            <w:tcBorders>
              <w:top w:val="nil"/>
              <w:left w:val="nil"/>
              <w:bottom w:val="nil"/>
              <w:right w:val="single" w:sz="8" w:space="0" w:color="800000"/>
            </w:tcBorders>
            <w:shd w:val="clear" w:color="000000" w:fill="FFFFCC"/>
            <w:noWrap/>
            <w:vAlign w:val="center"/>
            <w:hideMark/>
          </w:tcPr>
          <w:p w14:paraId="14E33CB4" w14:textId="77777777" w:rsidR="008502D4" w:rsidRDefault="008502D4" w:rsidP="00654A69">
            <w:pPr>
              <w:jc w:val="right"/>
              <w:rPr>
                <w:sz w:val="18"/>
                <w:szCs w:val="18"/>
              </w:rPr>
            </w:pPr>
            <w:r>
              <w:rPr>
                <w:sz w:val="18"/>
                <w:szCs w:val="18"/>
              </w:rPr>
              <w:t>4 946,1</w:t>
            </w:r>
          </w:p>
        </w:tc>
        <w:tc>
          <w:tcPr>
            <w:tcW w:w="1360" w:type="dxa"/>
            <w:tcBorders>
              <w:top w:val="nil"/>
              <w:left w:val="nil"/>
              <w:bottom w:val="nil"/>
              <w:right w:val="single" w:sz="8" w:space="0" w:color="800000"/>
            </w:tcBorders>
            <w:shd w:val="clear" w:color="000000" w:fill="FFFFCC"/>
            <w:noWrap/>
            <w:vAlign w:val="center"/>
            <w:hideMark/>
          </w:tcPr>
          <w:p w14:paraId="6C9C7498" w14:textId="77777777" w:rsidR="008502D4" w:rsidRDefault="008502D4" w:rsidP="00654A69">
            <w:pPr>
              <w:jc w:val="right"/>
              <w:rPr>
                <w:sz w:val="18"/>
                <w:szCs w:val="18"/>
              </w:rPr>
            </w:pPr>
            <w:r>
              <w:rPr>
                <w:sz w:val="18"/>
                <w:szCs w:val="18"/>
              </w:rPr>
              <w:t>12 868,8</w:t>
            </w:r>
          </w:p>
        </w:tc>
        <w:tc>
          <w:tcPr>
            <w:tcW w:w="980" w:type="dxa"/>
            <w:tcBorders>
              <w:top w:val="nil"/>
              <w:left w:val="nil"/>
              <w:bottom w:val="nil"/>
              <w:right w:val="single" w:sz="8" w:space="0" w:color="800000"/>
            </w:tcBorders>
            <w:shd w:val="clear" w:color="000000" w:fill="FFFFCC"/>
            <w:noWrap/>
            <w:vAlign w:val="center"/>
            <w:hideMark/>
          </w:tcPr>
          <w:p w14:paraId="4931D5B1" w14:textId="77777777" w:rsidR="008502D4" w:rsidRDefault="008502D4" w:rsidP="00654A69">
            <w:pPr>
              <w:jc w:val="right"/>
              <w:rPr>
                <w:sz w:val="18"/>
                <w:szCs w:val="18"/>
              </w:rPr>
            </w:pPr>
            <w:r>
              <w:rPr>
                <w:sz w:val="18"/>
                <w:szCs w:val="18"/>
              </w:rPr>
              <w:t>5 418,9</w:t>
            </w:r>
          </w:p>
        </w:tc>
        <w:tc>
          <w:tcPr>
            <w:tcW w:w="1080" w:type="dxa"/>
            <w:tcBorders>
              <w:top w:val="nil"/>
              <w:left w:val="nil"/>
              <w:bottom w:val="nil"/>
              <w:right w:val="single" w:sz="8" w:space="0" w:color="800000"/>
            </w:tcBorders>
            <w:shd w:val="clear" w:color="000000" w:fill="FFFFCC"/>
            <w:noWrap/>
            <w:vAlign w:val="center"/>
            <w:hideMark/>
          </w:tcPr>
          <w:p w14:paraId="17DFC57D" w14:textId="77777777" w:rsidR="008502D4" w:rsidRDefault="008502D4" w:rsidP="00654A69">
            <w:pPr>
              <w:jc w:val="right"/>
              <w:rPr>
                <w:sz w:val="18"/>
                <w:szCs w:val="18"/>
              </w:rPr>
            </w:pPr>
            <w:r>
              <w:rPr>
                <w:sz w:val="18"/>
                <w:szCs w:val="18"/>
              </w:rPr>
              <w:t>109,6%</w:t>
            </w:r>
          </w:p>
        </w:tc>
        <w:tc>
          <w:tcPr>
            <w:tcW w:w="1244" w:type="dxa"/>
            <w:tcBorders>
              <w:top w:val="nil"/>
              <w:left w:val="nil"/>
              <w:bottom w:val="nil"/>
              <w:right w:val="double" w:sz="6" w:space="0" w:color="800000"/>
            </w:tcBorders>
            <w:shd w:val="clear" w:color="000000" w:fill="FFFFCC"/>
            <w:noWrap/>
            <w:vAlign w:val="center"/>
            <w:hideMark/>
          </w:tcPr>
          <w:p w14:paraId="7EA80C3F" w14:textId="77777777" w:rsidR="008502D4" w:rsidRDefault="008502D4" w:rsidP="00654A69">
            <w:pPr>
              <w:jc w:val="right"/>
              <w:rPr>
                <w:sz w:val="18"/>
                <w:szCs w:val="18"/>
              </w:rPr>
            </w:pPr>
            <w:r>
              <w:rPr>
                <w:sz w:val="18"/>
                <w:szCs w:val="18"/>
              </w:rPr>
              <w:t>42,1%</w:t>
            </w:r>
          </w:p>
        </w:tc>
      </w:tr>
      <w:tr w:rsidR="008502D4" w:rsidRPr="00E56679" w14:paraId="777A16FB" w14:textId="77777777" w:rsidTr="00654A69">
        <w:trPr>
          <w:trHeight w:val="264"/>
        </w:trPr>
        <w:tc>
          <w:tcPr>
            <w:tcW w:w="3620" w:type="dxa"/>
            <w:tcBorders>
              <w:top w:val="nil"/>
              <w:left w:val="double" w:sz="6" w:space="0" w:color="800000"/>
              <w:bottom w:val="nil"/>
              <w:right w:val="single" w:sz="8" w:space="0" w:color="800000"/>
            </w:tcBorders>
            <w:shd w:val="clear" w:color="000000" w:fill="FFFFCC"/>
            <w:noWrap/>
            <w:vAlign w:val="center"/>
            <w:hideMark/>
          </w:tcPr>
          <w:p w14:paraId="3C664D24" w14:textId="77777777" w:rsidR="008502D4" w:rsidRPr="00B20830" w:rsidRDefault="008502D4" w:rsidP="00654A69">
            <w:pPr>
              <w:rPr>
                <w:sz w:val="18"/>
                <w:szCs w:val="18"/>
              </w:rPr>
            </w:pPr>
            <w:r w:rsidRPr="00B20830">
              <w:rPr>
                <w:sz w:val="18"/>
                <w:szCs w:val="18"/>
              </w:rPr>
              <w:t xml:space="preserve">       Корпоративни данъци</w:t>
            </w:r>
          </w:p>
        </w:tc>
        <w:tc>
          <w:tcPr>
            <w:tcW w:w="1400" w:type="dxa"/>
            <w:tcBorders>
              <w:top w:val="nil"/>
              <w:left w:val="nil"/>
              <w:bottom w:val="nil"/>
              <w:right w:val="single" w:sz="8" w:space="0" w:color="800000"/>
            </w:tcBorders>
            <w:shd w:val="clear" w:color="000000" w:fill="FFFFCC"/>
            <w:noWrap/>
            <w:vAlign w:val="center"/>
            <w:hideMark/>
          </w:tcPr>
          <w:p w14:paraId="3BAA245D" w14:textId="77777777" w:rsidR="008502D4" w:rsidRDefault="008502D4" w:rsidP="00654A69">
            <w:pPr>
              <w:jc w:val="right"/>
              <w:rPr>
                <w:sz w:val="18"/>
                <w:szCs w:val="18"/>
              </w:rPr>
            </w:pPr>
            <w:r>
              <w:rPr>
                <w:sz w:val="18"/>
                <w:szCs w:val="18"/>
              </w:rPr>
              <w:t>2 086,2</w:t>
            </w:r>
          </w:p>
        </w:tc>
        <w:tc>
          <w:tcPr>
            <w:tcW w:w="1360" w:type="dxa"/>
            <w:tcBorders>
              <w:top w:val="nil"/>
              <w:left w:val="nil"/>
              <w:bottom w:val="nil"/>
              <w:right w:val="single" w:sz="8" w:space="0" w:color="800000"/>
            </w:tcBorders>
            <w:shd w:val="clear" w:color="000000" w:fill="FFFFCC"/>
            <w:noWrap/>
            <w:vAlign w:val="center"/>
            <w:hideMark/>
          </w:tcPr>
          <w:p w14:paraId="0941C5CD" w14:textId="77777777" w:rsidR="008502D4" w:rsidRDefault="008502D4" w:rsidP="00654A69">
            <w:pPr>
              <w:jc w:val="right"/>
              <w:rPr>
                <w:sz w:val="18"/>
                <w:szCs w:val="18"/>
              </w:rPr>
            </w:pPr>
            <w:r>
              <w:rPr>
                <w:sz w:val="18"/>
                <w:szCs w:val="18"/>
              </w:rPr>
              <w:t>5 930,0</w:t>
            </w:r>
          </w:p>
        </w:tc>
        <w:tc>
          <w:tcPr>
            <w:tcW w:w="980" w:type="dxa"/>
            <w:tcBorders>
              <w:top w:val="nil"/>
              <w:left w:val="nil"/>
              <w:bottom w:val="nil"/>
              <w:right w:val="single" w:sz="8" w:space="0" w:color="800000"/>
            </w:tcBorders>
            <w:shd w:val="clear" w:color="000000" w:fill="FFFFCC"/>
            <w:noWrap/>
            <w:vAlign w:val="center"/>
            <w:hideMark/>
          </w:tcPr>
          <w:p w14:paraId="3B4DFDEC" w14:textId="77777777" w:rsidR="008502D4" w:rsidRDefault="008502D4" w:rsidP="00654A69">
            <w:pPr>
              <w:jc w:val="right"/>
              <w:rPr>
                <w:sz w:val="18"/>
                <w:szCs w:val="18"/>
              </w:rPr>
            </w:pPr>
            <w:r>
              <w:rPr>
                <w:sz w:val="18"/>
                <w:szCs w:val="18"/>
              </w:rPr>
              <w:t>2 144,4</w:t>
            </w:r>
          </w:p>
        </w:tc>
        <w:tc>
          <w:tcPr>
            <w:tcW w:w="1080" w:type="dxa"/>
            <w:tcBorders>
              <w:top w:val="nil"/>
              <w:left w:val="nil"/>
              <w:bottom w:val="nil"/>
              <w:right w:val="single" w:sz="8" w:space="0" w:color="800000"/>
            </w:tcBorders>
            <w:shd w:val="clear" w:color="000000" w:fill="FFFFCC"/>
            <w:noWrap/>
            <w:vAlign w:val="center"/>
            <w:hideMark/>
          </w:tcPr>
          <w:p w14:paraId="3A132645" w14:textId="77777777" w:rsidR="008502D4" w:rsidRDefault="008502D4" w:rsidP="00654A69">
            <w:pPr>
              <w:jc w:val="right"/>
              <w:rPr>
                <w:sz w:val="18"/>
                <w:szCs w:val="18"/>
              </w:rPr>
            </w:pPr>
            <w:r>
              <w:rPr>
                <w:sz w:val="18"/>
                <w:szCs w:val="18"/>
              </w:rPr>
              <w:t>102,8%</w:t>
            </w:r>
          </w:p>
        </w:tc>
        <w:tc>
          <w:tcPr>
            <w:tcW w:w="1244" w:type="dxa"/>
            <w:tcBorders>
              <w:top w:val="nil"/>
              <w:left w:val="nil"/>
              <w:bottom w:val="nil"/>
              <w:right w:val="double" w:sz="6" w:space="0" w:color="800000"/>
            </w:tcBorders>
            <w:shd w:val="clear" w:color="000000" w:fill="FFFFCC"/>
            <w:noWrap/>
            <w:vAlign w:val="center"/>
            <w:hideMark/>
          </w:tcPr>
          <w:p w14:paraId="0BAFEF40" w14:textId="77777777" w:rsidR="008502D4" w:rsidRDefault="008502D4" w:rsidP="00654A69">
            <w:pPr>
              <w:jc w:val="right"/>
              <w:rPr>
                <w:sz w:val="18"/>
                <w:szCs w:val="18"/>
              </w:rPr>
            </w:pPr>
            <w:r>
              <w:rPr>
                <w:sz w:val="18"/>
                <w:szCs w:val="18"/>
              </w:rPr>
              <w:t>36,2%</w:t>
            </w:r>
          </w:p>
        </w:tc>
      </w:tr>
      <w:tr w:rsidR="008502D4" w:rsidRPr="00E56679" w14:paraId="199E3896" w14:textId="77777777" w:rsidTr="00654A69">
        <w:trPr>
          <w:trHeight w:val="264"/>
        </w:trPr>
        <w:tc>
          <w:tcPr>
            <w:tcW w:w="3620" w:type="dxa"/>
            <w:tcBorders>
              <w:top w:val="nil"/>
              <w:left w:val="double" w:sz="6" w:space="0" w:color="800000"/>
              <w:bottom w:val="nil"/>
              <w:right w:val="single" w:sz="8" w:space="0" w:color="800000"/>
            </w:tcBorders>
            <w:shd w:val="clear" w:color="000000" w:fill="FFFFCC"/>
            <w:noWrap/>
            <w:vAlign w:val="center"/>
            <w:hideMark/>
          </w:tcPr>
          <w:p w14:paraId="21D085E2" w14:textId="77777777" w:rsidR="008502D4" w:rsidRPr="00B20830" w:rsidRDefault="008502D4" w:rsidP="00654A69">
            <w:pPr>
              <w:ind w:firstLineChars="200" w:firstLine="360"/>
              <w:rPr>
                <w:sz w:val="18"/>
                <w:szCs w:val="18"/>
              </w:rPr>
            </w:pPr>
            <w:r w:rsidRPr="00B20830">
              <w:rPr>
                <w:sz w:val="18"/>
                <w:szCs w:val="18"/>
              </w:rPr>
              <w:t xml:space="preserve"> - от нефинансови предприятия *</w:t>
            </w:r>
          </w:p>
        </w:tc>
        <w:tc>
          <w:tcPr>
            <w:tcW w:w="1400" w:type="dxa"/>
            <w:tcBorders>
              <w:top w:val="nil"/>
              <w:left w:val="nil"/>
              <w:bottom w:val="nil"/>
              <w:right w:val="single" w:sz="8" w:space="0" w:color="800000"/>
            </w:tcBorders>
            <w:shd w:val="clear" w:color="000000" w:fill="FFFFCC"/>
            <w:noWrap/>
            <w:vAlign w:val="center"/>
            <w:hideMark/>
          </w:tcPr>
          <w:p w14:paraId="57ACFBC1" w14:textId="77777777" w:rsidR="008502D4" w:rsidRDefault="008502D4" w:rsidP="00654A69">
            <w:pPr>
              <w:jc w:val="right"/>
              <w:rPr>
                <w:sz w:val="18"/>
                <w:szCs w:val="18"/>
              </w:rPr>
            </w:pPr>
            <w:r>
              <w:rPr>
                <w:sz w:val="18"/>
                <w:szCs w:val="18"/>
              </w:rPr>
              <w:t>1 953,7</w:t>
            </w:r>
          </w:p>
        </w:tc>
        <w:tc>
          <w:tcPr>
            <w:tcW w:w="1360" w:type="dxa"/>
            <w:tcBorders>
              <w:top w:val="nil"/>
              <w:left w:val="nil"/>
              <w:bottom w:val="nil"/>
              <w:right w:val="single" w:sz="8" w:space="0" w:color="800000"/>
            </w:tcBorders>
            <w:shd w:val="clear" w:color="000000" w:fill="FFFFCC"/>
            <w:noWrap/>
            <w:vAlign w:val="center"/>
            <w:hideMark/>
          </w:tcPr>
          <w:p w14:paraId="2242EDFC" w14:textId="77777777" w:rsidR="008502D4" w:rsidRDefault="008502D4" w:rsidP="00654A69">
            <w:pPr>
              <w:jc w:val="right"/>
              <w:rPr>
                <w:sz w:val="18"/>
                <w:szCs w:val="18"/>
              </w:rPr>
            </w:pPr>
            <w:r>
              <w:rPr>
                <w:sz w:val="18"/>
                <w:szCs w:val="18"/>
              </w:rPr>
              <w:t>5 620,3</w:t>
            </w:r>
          </w:p>
        </w:tc>
        <w:tc>
          <w:tcPr>
            <w:tcW w:w="980" w:type="dxa"/>
            <w:tcBorders>
              <w:top w:val="nil"/>
              <w:left w:val="nil"/>
              <w:bottom w:val="nil"/>
              <w:right w:val="single" w:sz="8" w:space="0" w:color="800000"/>
            </w:tcBorders>
            <w:shd w:val="clear" w:color="000000" w:fill="FFFFCC"/>
            <w:noWrap/>
            <w:vAlign w:val="center"/>
            <w:hideMark/>
          </w:tcPr>
          <w:p w14:paraId="7CB0B256" w14:textId="77777777" w:rsidR="008502D4" w:rsidRDefault="008502D4" w:rsidP="00654A69">
            <w:pPr>
              <w:jc w:val="right"/>
              <w:rPr>
                <w:sz w:val="18"/>
                <w:szCs w:val="18"/>
              </w:rPr>
            </w:pPr>
            <w:r>
              <w:rPr>
                <w:sz w:val="18"/>
                <w:szCs w:val="18"/>
              </w:rPr>
              <w:t>1 860,6</w:t>
            </w:r>
          </w:p>
        </w:tc>
        <w:tc>
          <w:tcPr>
            <w:tcW w:w="1080" w:type="dxa"/>
            <w:tcBorders>
              <w:top w:val="nil"/>
              <w:left w:val="nil"/>
              <w:bottom w:val="nil"/>
              <w:right w:val="single" w:sz="8" w:space="0" w:color="800000"/>
            </w:tcBorders>
            <w:shd w:val="clear" w:color="000000" w:fill="FFFFCC"/>
            <w:noWrap/>
            <w:vAlign w:val="center"/>
            <w:hideMark/>
          </w:tcPr>
          <w:p w14:paraId="21B68C9F" w14:textId="77777777" w:rsidR="008502D4" w:rsidRDefault="008502D4" w:rsidP="00654A69">
            <w:pPr>
              <w:jc w:val="right"/>
              <w:rPr>
                <w:sz w:val="18"/>
                <w:szCs w:val="18"/>
              </w:rPr>
            </w:pPr>
            <w:r>
              <w:rPr>
                <w:sz w:val="18"/>
                <w:szCs w:val="18"/>
              </w:rPr>
              <w:t>95,2%</w:t>
            </w:r>
          </w:p>
        </w:tc>
        <w:tc>
          <w:tcPr>
            <w:tcW w:w="1244" w:type="dxa"/>
            <w:tcBorders>
              <w:top w:val="nil"/>
              <w:left w:val="nil"/>
              <w:bottom w:val="nil"/>
              <w:right w:val="double" w:sz="6" w:space="0" w:color="800000"/>
            </w:tcBorders>
            <w:shd w:val="clear" w:color="000000" w:fill="FFFFCC"/>
            <w:noWrap/>
            <w:vAlign w:val="center"/>
            <w:hideMark/>
          </w:tcPr>
          <w:p w14:paraId="733D8181" w14:textId="77777777" w:rsidR="008502D4" w:rsidRDefault="008502D4" w:rsidP="00654A69">
            <w:pPr>
              <w:jc w:val="right"/>
              <w:rPr>
                <w:sz w:val="18"/>
                <w:szCs w:val="18"/>
              </w:rPr>
            </w:pPr>
            <w:r>
              <w:rPr>
                <w:sz w:val="18"/>
                <w:szCs w:val="18"/>
              </w:rPr>
              <w:t>33,1%</w:t>
            </w:r>
          </w:p>
        </w:tc>
      </w:tr>
      <w:tr w:rsidR="008502D4" w:rsidRPr="00E56679" w14:paraId="7F5ACC6A" w14:textId="77777777" w:rsidTr="00654A69">
        <w:trPr>
          <w:trHeight w:val="264"/>
        </w:trPr>
        <w:tc>
          <w:tcPr>
            <w:tcW w:w="3620" w:type="dxa"/>
            <w:tcBorders>
              <w:top w:val="nil"/>
              <w:left w:val="double" w:sz="6" w:space="0" w:color="800000"/>
              <w:bottom w:val="nil"/>
              <w:right w:val="single" w:sz="8" w:space="0" w:color="800000"/>
            </w:tcBorders>
            <w:shd w:val="clear" w:color="000000" w:fill="FFFFCC"/>
            <w:noWrap/>
            <w:vAlign w:val="center"/>
            <w:hideMark/>
          </w:tcPr>
          <w:p w14:paraId="65ED9CBE" w14:textId="77777777" w:rsidR="008502D4" w:rsidRPr="00B20830" w:rsidRDefault="008502D4" w:rsidP="00654A69">
            <w:pPr>
              <w:rPr>
                <w:sz w:val="18"/>
                <w:szCs w:val="18"/>
              </w:rPr>
            </w:pPr>
            <w:r w:rsidRPr="00B20830">
              <w:rPr>
                <w:sz w:val="18"/>
                <w:szCs w:val="18"/>
              </w:rPr>
              <w:t xml:space="preserve">         - финансов сектор</w:t>
            </w:r>
          </w:p>
        </w:tc>
        <w:tc>
          <w:tcPr>
            <w:tcW w:w="1400" w:type="dxa"/>
            <w:tcBorders>
              <w:top w:val="nil"/>
              <w:left w:val="nil"/>
              <w:bottom w:val="nil"/>
              <w:right w:val="single" w:sz="8" w:space="0" w:color="800000"/>
            </w:tcBorders>
            <w:shd w:val="clear" w:color="000000" w:fill="FFFFCC"/>
            <w:noWrap/>
            <w:vAlign w:val="center"/>
            <w:hideMark/>
          </w:tcPr>
          <w:p w14:paraId="67A32573" w14:textId="77777777" w:rsidR="008502D4" w:rsidRDefault="008502D4" w:rsidP="00654A69">
            <w:pPr>
              <w:jc w:val="right"/>
              <w:rPr>
                <w:sz w:val="18"/>
                <w:szCs w:val="18"/>
              </w:rPr>
            </w:pPr>
            <w:r>
              <w:rPr>
                <w:sz w:val="18"/>
                <w:szCs w:val="18"/>
              </w:rPr>
              <w:t>132,5</w:t>
            </w:r>
          </w:p>
        </w:tc>
        <w:tc>
          <w:tcPr>
            <w:tcW w:w="1360" w:type="dxa"/>
            <w:tcBorders>
              <w:top w:val="nil"/>
              <w:left w:val="nil"/>
              <w:bottom w:val="nil"/>
              <w:right w:val="single" w:sz="8" w:space="0" w:color="800000"/>
            </w:tcBorders>
            <w:shd w:val="clear" w:color="000000" w:fill="FFFFCC"/>
            <w:noWrap/>
            <w:vAlign w:val="center"/>
            <w:hideMark/>
          </w:tcPr>
          <w:p w14:paraId="78E0935A" w14:textId="77777777" w:rsidR="008502D4" w:rsidRDefault="008502D4" w:rsidP="00654A69">
            <w:pPr>
              <w:jc w:val="right"/>
              <w:rPr>
                <w:sz w:val="18"/>
                <w:szCs w:val="18"/>
              </w:rPr>
            </w:pPr>
            <w:r>
              <w:rPr>
                <w:sz w:val="18"/>
                <w:szCs w:val="18"/>
              </w:rPr>
              <w:t>309,7</w:t>
            </w:r>
          </w:p>
        </w:tc>
        <w:tc>
          <w:tcPr>
            <w:tcW w:w="980" w:type="dxa"/>
            <w:tcBorders>
              <w:top w:val="nil"/>
              <w:left w:val="nil"/>
              <w:bottom w:val="nil"/>
              <w:right w:val="single" w:sz="8" w:space="0" w:color="800000"/>
            </w:tcBorders>
            <w:shd w:val="clear" w:color="000000" w:fill="FFFFCC"/>
            <w:noWrap/>
            <w:vAlign w:val="center"/>
            <w:hideMark/>
          </w:tcPr>
          <w:p w14:paraId="5A81D715" w14:textId="77777777" w:rsidR="008502D4" w:rsidRDefault="008502D4" w:rsidP="00654A69">
            <w:pPr>
              <w:jc w:val="right"/>
              <w:rPr>
                <w:sz w:val="18"/>
                <w:szCs w:val="18"/>
              </w:rPr>
            </w:pPr>
            <w:r>
              <w:rPr>
                <w:sz w:val="18"/>
                <w:szCs w:val="18"/>
              </w:rPr>
              <w:t>283,7</w:t>
            </w:r>
          </w:p>
        </w:tc>
        <w:tc>
          <w:tcPr>
            <w:tcW w:w="1080" w:type="dxa"/>
            <w:tcBorders>
              <w:top w:val="nil"/>
              <w:left w:val="nil"/>
              <w:bottom w:val="nil"/>
              <w:right w:val="single" w:sz="8" w:space="0" w:color="800000"/>
            </w:tcBorders>
            <w:shd w:val="clear" w:color="000000" w:fill="FFFFCC"/>
            <w:noWrap/>
            <w:vAlign w:val="center"/>
            <w:hideMark/>
          </w:tcPr>
          <w:p w14:paraId="42253657" w14:textId="77777777" w:rsidR="008502D4" w:rsidRDefault="008502D4" w:rsidP="00654A69">
            <w:pPr>
              <w:jc w:val="right"/>
              <w:rPr>
                <w:sz w:val="18"/>
                <w:szCs w:val="18"/>
              </w:rPr>
            </w:pPr>
            <w:r>
              <w:rPr>
                <w:sz w:val="18"/>
                <w:szCs w:val="18"/>
              </w:rPr>
              <w:t>214,1%</w:t>
            </w:r>
          </w:p>
        </w:tc>
        <w:tc>
          <w:tcPr>
            <w:tcW w:w="1244" w:type="dxa"/>
            <w:tcBorders>
              <w:top w:val="nil"/>
              <w:left w:val="nil"/>
              <w:bottom w:val="nil"/>
              <w:right w:val="double" w:sz="6" w:space="0" w:color="800000"/>
            </w:tcBorders>
            <w:shd w:val="clear" w:color="000000" w:fill="FFFFCC"/>
            <w:noWrap/>
            <w:vAlign w:val="center"/>
            <w:hideMark/>
          </w:tcPr>
          <w:p w14:paraId="28A28F28" w14:textId="77777777" w:rsidR="008502D4" w:rsidRDefault="008502D4" w:rsidP="00654A69">
            <w:pPr>
              <w:jc w:val="right"/>
              <w:rPr>
                <w:sz w:val="18"/>
                <w:szCs w:val="18"/>
              </w:rPr>
            </w:pPr>
            <w:r>
              <w:rPr>
                <w:sz w:val="18"/>
                <w:szCs w:val="18"/>
              </w:rPr>
              <w:t>91,6%</w:t>
            </w:r>
          </w:p>
        </w:tc>
      </w:tr>
      <w:tr w:rsidR="008502D4" w:rsidRPr="00E56679" w14:paraId="5C8B815A" w14:textId="77777777" w:rsidTr="00654A69">
        <w:trPr>
          <w:trHeight w:val="330"/>
        </w:trPr>
        <w:tc>
          <w:tcPr>
            <w:tcW w:w="3620" w:type="dxa"/>
            <w:tcBorders>
              <w:top w:val="nil"/>
              <w:left w:val="double" w:sz="6" w:space="0" w:color="800000"/>
              <w:bottom w:val="single" w:sz="8" w:space="0" w:color="FFFFCC"/>
              <w:right w:val="single" w:sz="8" w:space="0" w:color="800000"/>
            </w:tcBorders>
            <w:shd w:val="clear" w:color="000000" w:fill="FFFFCC"/>
            <w:vAlign w:val="center"/>
            <w:hideMark/>
          </w:tcPr>
          <w:p w14:paraId="59610B5F" w14:textId="77777777" w:rsidR="008502D4" w:rsidRPr="00B20830" w:rsidRDefault="008502D4" w:rsidP="00654A69">
            <w:pPr>
              <w:rPr>
                <w:sz w:val="18"/>
                <w:szCs w:val="18"/>
              </w:rPr>
            </w:pPr>
            <w:r w:rsidRPr="00B20830">
              <w:rPr>
                <w:sz w:val="18"/>
                <w:szCs w:val="18"/>
              </w:rPr>
              <w:t xml:space="preserve">       Данък в/у доходите на физическите лица</w:t>
            </w:r>
          </w:p>
        </w:tc>
        <w:tc>
          <w:tcPr>
            <w:tcW w:w="1400" w:type="dxa"/>
            <w:tcBorders>
              <w:top w:val="nil"/>
              <w:left w:val="nil"/>
              <w:bottom w:val="nil"/>
              <w:right w:val="single" w:sz="8" w:space="0" w:color="800000"/>
            </w:tcBorders>
            <w:shd w:val="clear" w:color="000000" w:fill="FFFFCC"/>
            <w:noWrap/>
            <w:vAlign w:val="center"/>
            <w:hideMark/>
          </w:tcPr>
          <w:p w14:paraId="7AFE27EE" w14:textId="77777777" w:rsidR="008502D4" w:rsidRDefault="008502D4" w:rsidP="00654A69">
            <w:pPr>
              <w:jc w:val="right"/>
              <w:rPr>
                <w:sz w:val="18"/>
                <w:szCs w:val="18"/>
              </w:rPr>
            </w:pPr>
            <w:r>
              <w:rPr>
                <w:sz w:val="18"/>
                <w:szCs w:val="18"/>
              </w:rPr>
              <w:t>2 859,8</w:t>
            </w:r>
          </w:p>
        </w:tc>
        <w:tc>
          <w:tcPr>
            <w:tcW w:w="1360" w:type="dxa"/>
            <w:tcBorders>
              <w:top w:val="nil"/>
              <w:left w:val="nil"/>
              <w:bottom w:val="nil"/>
              <w:right w:val="single" w:sz="8" w:space="0" w:color="800000"/>
            </w:tcBorders>
            <w:shd w:val="clear" w:color="000000" w:fill="FFFFCC"/>
            <w:noWrap/>
            <w:vAlign w:val="center"/>
            <w:hideMark/>
          </w:tcPr>
          <w:p w14:paraId="034ECF4C" w14:textId="77777777" w:rsidR="008502D4" w:rsidRDefault="008502D4" w:rsidP="00654A69">
            <w:pPr>
              <w:jc w:val="right"/>
              <w:rPr>
                <w:sz w:val="18"/>
                <w:szCs w:val="18"/>
              </w:rPr>
            </w:pPr>
            <w:r>
              <w:rPr>
                <w:sz w:val="18"/>
                <w:szCs w:val="18"/>
              </w:rPr>
              <w:t>6 938,8</w:t>
            </w:r>
          </w:p>
        </w:tc>
        <w:tc>
          <w:tcPr>
            <w:tcW w:w="980" w:type="dxa"/>
            <w:tcBorders>
              <w:top w:val="nil"/>
              <w:left w:val="nil"/>
              <w:bottom w:val="nil"/>
              <w:right w:val="single" w:sz="8" w:space="0" w:color="800000"/>
            </w:tcBorders>
            <w:shd w:val="clear" w:color="000000" w:fill="FFFFCC"/>
            <w:noWrap/>
            <w:vAlign w:val="center"/>
            <w:hideMark/>
          </w:tcPr>
          <w:p w14:paraId="01735794" w14:textId="77777777" w:rsidR="008502D4" w:rsidRDefault="008502D4" w:rsidP="00654A69">
            <w:pPr>
              <w:jc w:val="right"/>
              <w:rPr>
                <w:sz w:val="18"/>
                <w:szCs w:val="18"/>
              </w:rPr>
            </w:pPr>
            <w:r>
              <w:rPr>
                <w:sz w:val="18"/>
                <w:szCs w:val="18"/>
              </w:rPr>
              <w:t>3 274,6</w:t>
            </w:r>
          </w:p>
        </w:tc>
        <w:tc>
          <w:tcPr>
            <w:tcW w:w="1080" w:type="dxa"/>
            <w:tcBorders>
              <w:top w:val="nil"/>
              <w:left w:val="nil"/>
              <w:bottom w:val="nil"/>
              <w:right w:val="single" w:sz="8" w:space="0" w:color="800000"/>
            </w:tcBorders>
            <w:shd w:val="clear" w:color="000000" w:fill="FFFFCC"/>
            <w:noWrap/>
            <w:vAlign w:val="center"/>
            <w:hideMark/>
          </w:tcPr>
          <w:p w14:paraId="40F36863" w14:textId="77777777" w:rsidR="008502D4" w:rsidRDefault="008502D4" w:rsidP="00654A69">
            <w:pPr>
              <w:jc w:val="right"/>
              <w:rPr>
                <w:sz w:val="18"/>
                <w:szCs w:val="18"/>
              </w:rPr>
            </w:pPr>
            <w:r>
              <w:rPr>
                <w:sz w:val="18"/>
                <w:szCs w:val="18"/>
              </w:rPr>
              <w:t>114,5%</w:t>
            </w:r>
          </w:p>
        </w:tc>
        <w:tc>
          <w:tcPr>
            <w:tcW w:w="1244" w:type="dxa"/>
            <w:tcBorders>
              <w:top w:val="nil"/>
              <w:left w:val="nil"/>
              <w:bottom w:val="nil"/>
              <w:right w:val="double" w:sz="6" w:space="0" w:color="800000"/>
            </w:tcBorders>
            <w:shd w:val="clear" w:color="000000" w:fill="FFFFCC"/>
            <w:noWrap/>
            <w:vAlign w:val="center"/>
            <w:hideMark/>
          </w:tcPr>
          <w:p w14:paraId="54F88176" w14:textId="77777777" w:rsidR="008502D4" w:rsidRDefault="008502D4" w:rsidP="00654A69">
            <w:pPr>
              <w:jc w:val="right"/>
              <w:rPr>
                <w:sz w:val="18"/>
                <w:szCs w:val="18"/>
              </w:rPr>
            </w:pPr>
            <w:r>
              <w:rPr>
                <w:sz w:val="18"/>
                <w:szCs w:val="18"/>
              </w:rPr>
              <w:t>47,2%</w:t>
            </w:r>
          </w:p>
        </w:tc>
      </w:tr>
      <w:tr w:rsidR="008502D4" w:rsidRPr="00E56679" w14:paraId="0C1C4F9F" w14:textId="77777777" w:rsidTr="00654A69">
        <w:trPr>
          <w:trHeight w:val="264"/>
        </w:trPr>
        <w:tc>
          <w:tcPr>
            <w:tcW w:w="3620" w:type="dxa"/>
            <w:tcBorders>
              <w:top w:val="nil"/>
              <w:left w:val="double" w:sz="6" w:space="0" w:color="800000"/>
              <w:bottom w:val="nil"/>
              <w:right w:val="single" w:sz="8" w:space="0" w:color="800000"/>
            </w:tcBorders>
            <w:shd w:val="clear" w:color="000000" w:fill="FFFFCC"/>
            <w:noWrap/>
            <w:vAlign w:val="center"/>
            <w:hideMark/>
          </w:tcPr>
          <w:p w14:paraId="6EEE52B4" w14:textId="77777777" w:rsidR="008502D4" w:rsidRPr="00B20830" w:rsidRDefault="008502D4" w:rsidP="00654A69">
            <w:pPr>
              <w:rPr>
                <w:b/>
                <w:bCs/>
                <w:i/>
                <w:iCs/>
                <w:sz w:val="18"/>
                <w:szCs w:val="18"/>
              </w:rPr>
            </w:pPr>
            <w:r w:rsidRPr="00B20830">
              <w:rPr>
                <w:b/>
                <w:bCs/>
                <w:i/>
                <w:iCs/>
                <w:sz w:val="18"/>
                <w:szCs w:val="18"/>
              </w:rPr>
              <w:t xml:space="preserve">    </w:t>
            </w:r>
            <w:r w:rsidRPr="00B20830">
              <w:rPr>
                <w:i/>
                <w:iCs/>
                <w:sz w:val="18"/>
                <w:szCs w:val="18"/>
              </w:rPr>
              <w:t>Други данъци</w:t>
            </w:r>
          </w:p>
        </w:tc>
        <w:tc>
          <w:tcPr>
            <w:tcW w:w="1400" w:type="dxa"/>
            <w:tcBorders>
              <w:top w:val="nil"/>
              <w:left w:val="nil"/>
              <w:bottom w:val="nil"/>
              <w:right w:val="single" w:sz="8" w:space="0" w:color="800000"/>
            </w:tcBorders>
            <w:shd w:val="clear" w:color="000000" w:fill="FFFFCC"/>
            <w:noWrap/>
            <w:vAlign w:val="center"/>
            <w:hideMark/>
          </w:tcPr>
          <w:p w14:paraId="47E7AAA4" w14:textId="77777777" w:rsidR="008502D4" w:rsidRDefault="008502D4" w:rsidP="00654A69">
            <w:pPr>
              <w:jc w:val="right"/>
              <w:rPr>
                <w:sz w:val="18"/>
                <w:szCs w:val="18"/>
              </w:rPr>
            </w:pPr>
            <w:r>
              <w:rPr>
                <w:sz w:val="18"/>
                <w:szCs w:val="18"/>
              </w:rPr>
              <w:t>1 720,6</w:t>
            </w:r>
          </w:p>
        </w:tc>
        <w:tc>
          <w:tcPr>
            <w:tcW w:w="1360" w:type="dxa"/>
            <w:tcBorders>
              <w:top w:val="nil"/>
              <w:left w:val="nil"/>
              <w:bottom w:val="nil"/>
              <w:right w:val="single" w:sz="8" w:space="0" w:color="800000"/>
            </w:tcBorders>
            <w:shd w:val="clear" w:color="000000" w:fill="FFFFCC"/>
            <w:noWrap/>
            <w:vAlign w:val="center"/>
            <w:hideMark/>
          </w:tcPr>
          <w:p w14:paraId="1D8A3B1C" w14:textId="77777777" w:rsidR="008502D4" w:rsidRDefault="008502D4" w:rsidP="00654A69">
            <w:pPr>
              <w:jc w:val="right"/>
              <w:rPr>
                <w:sz w:val="18"/>
                <w:szCs w:val="18"/>
              </w:rPr>
            </w:pPr>
            <w:r>
              <w:rPr>
                <w:sz w:val="18"/>
                <w:szCs w:val="18"/>
              </w:rPr>
              <w:t>1 851,5</w:t>
            </w:r>
          </w:p>
        </w:tc>
        <w:tc>
          <w:tcPr>
            <w:tcW w:w="980" w:type="dxa"/>
            <w:tcBorders>
              <w:top w:val="nil"/>
              <w:left w:val="nil"/>
              <w:bottom w:val="nil"/>
              <w:right w:val="single" w:sz="8" w:space="0" w:color="800000"/>
            </w:tcBorders>
            <w:shd w:val="clear" w:color="000000" w:fill="FFFFCC"/>
            <w:noWrap/>
            <w:vAlign w:val="center"/>
            <w:hideMark/>
          </w:tcPr>
          <w:p w14:paraId="5B0A595E" w14:textId="77777777" w:rsidR="008502D4" w:rsidRDefault="008502D4" w:rsidP="00654A69">
            <w:pPr>
              <w:jc w:val="right"/>
              <w:rPr>
                <w:sz w:val="18"/>
                <w:szCs w:val="18"/>
              </w:rPr>
            </w:pPr>
            <w:r>
              <w:rPr>
                <w:sz w:val="18"/>
                <w:szCs w:val="18"/>
              </w:rPr>
              <w:t>1 276,5</w:t>
            </w:r>
          </w:p>
        </w:tc>
        <w:tc>
          <w:tcPr>
            <w:tcW w:w="1080" w:type="dxa"/>
            <w:tcBorders>
              <w:top w:val="nil"/>
              <w:left w:val="nil"/>
              <w:bottom w:val="nil"/>
              <w:right w:val="single" w:sz="8" w:space="0" w:color="800000"/>
            </w:tcBorders>
            <w:shd w:val="clear" w:color="000000" w:fill="FFFFCC"/>
            <w:noWrap/>
            <w:vAlign w:val="center"/>
            <w:hideMark/>
          </w:tcPr>
          <w:p w14:paraId="37134DD4" w14:textId="77777777" w:rsidR="008502D4" w:rsidRDefault="008502D4" w:rsidP="00654A69">
            <w:pPr>
              <w:jc w:val="right"/>
              <w:rPr>
                <w:sz w:val="18"/>
                <w:szCs w:val="18"/>
              </w:rPr>
            </w:pPr>
            <w:r>
              <w:rPr>
                <w:sz w:val="18"/>
                <w:szCs w:val="18"/>
              </w:rPr>
              <w:t>74,2%</w:t>
            </w:r>
          </w:p>
        </w:tc>
        <w:tc>
          <w:tcPr>
            <w:tcW w:w="1244" w:type="dxa"/>
            <w:tcBorders>
              <w:top w:val="nil"/>
              <w:left w:val="nil"/>
              <w:bottom w:val="nil"/>
              <w:right w:val="double" w:sz="6" w:space="0" w:color="800000"/>
            </w:tcBorders>
            <w:shd w:val="clear" w:color="000000" w:fill="FFFFCC"/>
            <w:noWrap/>
            <w:vAlign w:val="center"/>
            <w:hideMark/>
          </w:tcPr>
          <w:p w14:paraId="7A9DA051" w14:textId="77777777" w:rsidR="008502D4" w:rsidRDefault="008502D4" w:rsidP="00654A69">
            <w:pPr>
              <w:jc w:val="right"/>
              <w:rPr>
                <w:sz w:val="18"/>
                <w:szCs w:val="18"/>
              </w:rPr>
            </w:pPr>
            <w:r>
              <w:rPr>
                <w:sz w:val="18"/>
                <w:szCs w:val="18"/>
              </w:rPr>
              <w:t>68,9%</w:t>
            </w:r>
          </w:p>
        </w:tc>
      </w:tr>
      <w:tr w:rsidR="008502D4" w:rsidRPr="00E56679" w14:paraId="0F813C9E" w14:textId="77777777" w:rsidTr="00654A69">
        <w:trPr>
          <w:trHeight w:val="264"/>
        </w:trPr>
        <w:tc>
          <w:tcPr>
            <w:tcW w:w="3620" w:type="dxa"/>
            <w:tcBorders>
              <w:top w:val="nil"/>
              <w:left w:val="double" w:sz="6" w:space="0" w:color="800000"/>
              <w:bottom w:val="nil"/>
              <w:right w:val="single" w:sz="8" w:space="0" w:color="800000"/>
            </w:tcBorders>
            <w:shd w:val="clear" w:color="000000" w:fill="FFFFCC"/>
            <w:noWrap/>
            <w:vAlign w:val="center"/>
            <w:hideMark/>
          </w:tcPr>
          <w:p w14:paraId="3527348B" w14:textId="77777777" w:rsidR="008502D4" w:rsidRPr="00B20830" w:rsidRDefault="008502D4" w:rsidP="00654A69">
            <w:pPr>
              <w:rPr>
                <w:sz w:val="4"/>
                <w:szCs w:val="4"/>
              </w:rPr>
            </w:pPr>
            <w:r w:rsidRPr="00B20830">
              <w:rPr>
                <w:sz w:val="4"/>
                <w:szCs w:val="4"/>
              </w:rPr>
              <w:t> </w:t>
            </w:r>
          </w:p>
        </w:tc>
        <w:tc>
          <w:tcPr>
            <w:tcW w:w="1400" w:type="dxa"/>
            <w:tcBorders>
              <w:top w:val="nil"/>
              <w:left w:val="nil"/>
              <w:bottom w:val="nil"/>
              <w:right w:val="single" w:sz="8" w:space="0" w:color="800000"/>
            </w:tcBorders>
            <w:shd w:val="clear" w:color="000000" w:fill="FFFFCC"/>
            <w:noWrap/>
            <w:vAlign w:val="center"/>
            <w:hideMark/>
          </w:tcPr>
          <w:p w14:paraId="3C1791A9" w14:textId="77777777" w:rsidR="008502D4" w:rsidRDefault="008502D4" w:rsidP="00654A69">
            <w:pPr>
              <w:jc w:val="right"/>
              <w:rPr>
                <w:sz w:val="18"/>
                <w:szCs w:val="18"/>
              </w:rPr>
            </w:pPr>
            <w:r>
              <w:rPr>
                <w:sz w:val="18"/>
                <w:szCs w:val="18"/>
              </w:rPr>
              <w:t> </w:t>
            </w:r>
          </w:p>
        </w:tc>
        <w:tc>
          <w:tcPr>
            <w:tcW w:w="1360" w:type="dxa"/>
            <w:tcBorders>
              <w:top w:val="nil"/>
              <w:left w:val="nil"/>
              <w:bottom w:val="nil"/>
              <w:right w:val="single" w:sz="8" w:space="0" w:color="800000"/>
            </w:tcBorders>
            <w:shd w:val="clear" w:color="000000" w:fill="FFFFCC"/>
            <w:noWrap/>
            <w:vAlign w:val="center"/>
            <w:hideMark/>
          </w:tcPr>
          <w:p w14:paraId="6F3BE013" w14:textId="77777777" w:rsidR="008502D4" w:rsidRDefault="008502D4" w:rsidP="00654A69">
            <w:pPr>
              <w:jc w:val="right"/>
              <w:rPr>
                <w:sz w:val="18"/>
                <w:szCs w:val="18"/>
              </w:rPr>
            </w:pPr>
            <w:r>
              <w:rPr>
                <w:sz w:val="18"/>
                <w:szCs w:val="18"/>
              </w:rPr>
              <w:t> </w:t>
            </w:r>
          </w:p>
        </w:tc>
        <w:tc>
          <w:tcPr>
            <w:tcW w:w="980" w:type="dxa"/>
            <w:tcBorders>
              <w:top w:val="nil"/>
              <w:left w:val="nil"/>
              <w:bottom w:val="nil"/>
              <w:right w:val="single" w:sz="8" w:space="0" w:color="800000"/>
            </w:tcBorders>
            <w:shd w:val="clear" w:color="000000" w:fill="FFFFCC"/>
            <w:noWrap/>
            <w:vAlign w:val="center"/>
            <w:hideMark/>
          </w:tcPr>
          <w:p w14:paraId="67103761" w14:textId="77777777" w:rsidR="008502D4" w:rsidRDefault="008502D4" w:rsidP="00654A69">
            <w:pPr>
              <w:jc w:val="right"/>
              <w:rPr>
                <w:sz w:val="18"/>
                <w:szCs w:val="18"/>
              </w:rPr>
            </w:pPr>
            <w:r>
              <w:rPr>
                <w:sz w:val="18"/>
                <w:szCs w:val="18"/>
              </w:rPr>
              <w:t> </w:t>
            </w:r>
          </w:p>
        </w:tc>
        <w:tc>
          <w:tcPr>
            <w:tcW w:w="1080" w:type="dxa"/>
            <w:tcBorders>
              <w:top w:val="nil"/>
              <w:left w:val="nil"/>
              <w:bottom w:val="nil"/>
              <w:right w:val="single" w:sz="8" w:space="0" w:color="800000"/>
            </w:tcBorders>
            <w:shd w:val="clear" w:color="000000" w:fill="FFFFCC"/>
            <w:noWrap/>
            <w:vAlign w:val="center"/>
            <w:hideMark/>
          </w:tcPr>
          <w:p w14:paraId="74297574" w14:textId="77777777" w:rsidR="008502D4" w:rsidRDefault="008502D4" w:rsidP="00654A69">
            <w:pPr>
              <w:jc w:val="right"/>
              <w:rPr>
                <w:sz w:val="18"/>
                <w:szCs w:val="18"/>
              </w:rPr>
            </w:pPr>
            <w:r>
              <w:rPr>
                <w:sz w:val="18"/>
                <w:szCs w:val="18"/>
              </w:rPr>
              <w:t> </w:t>
            </w:r>
          </w:p>
        </w:tc>
        <w:tc>
          <w:tcPr>
            <w:tcW w:w="1244" w:type="dxa"/>
            <w:tcBorders>
              <w:top w:val="nil"/>
              <w:left w:val="nil"/>
              <w:bottom w:val="nil"/>
              <w:right w:val="double" w:sz="6" w:space="0" w:color="800000"/>
            </w:tcBorders>
            <w:shd w:val="clear" w:color="000000" w:fill="FFFFCC"/>
            <w:noWrap/>
            <w:vAlign w:val="center"/>
            <w:hideMark/>
          </w:tcPr>
          <w:p w14:paraId="758BCE96" w14:textId="77777777" w:rsidR="008502D4" w:rsidRDefault="008502D4" w:rsidP="00654A69">
            <w:pPr>
              <w:jc w:val="right"/>
              <w:rPr>
                <w:sz w:val="18"/>
                <w:szCs w:val="18"/>
              </w:rPr>
            </w:pPr>
            <w:r>
              <w:rPr>
                <w:sz w:val="18"/>
                <w:szCs w:val="18"/>
              </w:rPr>
              <w:t> </w:t>
            </w:r>
          </w:p>
        </w:tc>
      </w:tr>
      <w:tr w:rsidR="008502D4" w:rsidRPr="00E56679" w14:paraId="32ED0C4B" w14:textId="77777777" w:rsidTr="00654A69">
        <w:trPr>
          <w:trHeight w:val="315"/>
        </w:trPr>
        <w:tc>
          <w:tcPr>
            <w:tcW w:w="3620" w:type="dxa"/>
            <w:tcBorders>
              <w:top w:val="nil"/>
              <w:left w:val="double" w:sz="6" w:space="0" w:color="800000"/>
              <w:bottom w:val="single" w:sz="8" w:space="0" w:color="FFFFCC"/>
              <w:right w:val="single" w:sz="8" w:space="0" w:color="800000"/>
            </w:tcBorders>
            <w:shd w:val="clear" w:color="000000" w:fill="FFFFCC"/>
            <w:vAlign w:val="center"/>
            <w:hideMark/>
          </w:tcPr>
          <w:p w14:paraId="6BFF3111" w14:textId="77777777" w:rsidR="008502D4" w:rsidRPr="00B20830" w:rsidRDefault="008502D4" w:rsidP="00654A69">
            <w:pPr>
              <w:rPr>
                <w:b/>
                <w:bCs/>
                <w:i/>
                <w:iCs/>
                <w:sz w:val="18"/>
                <w:szCs w:val="18"/>
              </w:rPr>
            </w:pPr>
            <w:r w:rsidRPr="00B20830">
              <w:rPr>
                <w:b/>
                <w:bCs/>
                <w:i/>
                <w:iCs/>
                <w:sz w:val="18"/>
                <w:szCs w:val="18"/>
              </w:rPr>
              <w:t xml:space="preserve">    Приходи на осигурителни фондове</w:t>
            </w:r>
          </w:p>
        </w:tc>
        <w:tc>
          <w:tcPr>
            <w:tcW w:w="1400" w:type="dxa"/>
            <w:tcBorders>
              <w:top w:val="nil"/>
              <w:left w:val="nil"/>
              <w:bottom w:val="nil"/>
              <w:right w:val="single" w:sz="8" w:space="0" w:color="800000"/>
            </w:tcBorders>
            <w:shd w:val="clear" w:color="000000" w:fill="FFFFCC"/>
            <w:noWrap/>
            <w:vAlign w:val="center"/>
            <w:hideMark/>
          </w:tcPr>
          <w:p w14:paraId="380A57CE" w14:textId="77777777" w:rsidR="008502D4" w:rsidRDefault="008502D4" w:rsidP="00654A69">
            <w:pPr>
              <w:jc w:val="right"/>
              <w:rPr>
                <w:sz w:val="18"/>
                <w:szCs w:val="18"/>
              </w:rPr>
            </w:pPr>
            <w:r>
              <w:rPr>
                <w:sz w:val="18"/>
                <w:szCs w:val="18"/>
              </w:rPr>
              <w:t>7 459,5</w:t>
            </w:r>
          </w:p>
        </w:tc>
        <w:tc>
          <w:tcPr>
            <w:tcW w:w="1360" w:type="dxa"/>
            <w:tcBorders>
              <w:top w:val="nil"/>
              <w:left w:val="nil"/>
              <w:bottom w:val="nil"/>
              <w:right w:val="single" w:sz="8" w:space="0" w:color="800000"/>
            </w:tcBorders>
            <w:shd w:val="clear" w:color="000000" w:fill="FFFFCC"/>
            <w:noWrap/>
            <w:vAlign w:val="center"/>
            <w:hideMark/>
          </w:tcPr>
          <w:p w14:paraId="7FD752C6" w14:textId="77777777" w:rsidR="008502D4" w:rsidRDefault="008502D4" w:rsidP="00654A69">
            <w:pPr>
              <w:jc w:val="right"/>
              <w:rPr>
                <w:sz w:val="18"/>
                <w:szCs w:val="18"/>
              </w:rPr>
            </w:pPr>
            <w:r>
              <w:rPr>
                <w:sz w:val="18"/>
                <w:szCs w:val="18"/>
              </w:rPr>
              <w:t>17 726,4</w:t>
            </w:r>
          </w:p>
        </w:tc>
        <w:tc>
          <w:tcPr>
            <w:tcW w:w="980" w:type="dxa"/>
            <w:tcBorders>
              <w:top w:val="nil"/>
              <w:left w:val="nil"/>
              <w:bottom w:val="nil"/>
              <w:right w:val="single" w:sz="8" w:space="0" w:color="800000"/>
            </w:tcBorders>
            <w:shd w:val="clear" w:color="000000" w:fill="FFFFCC"/>
            <w:noWrap/>
            <w:vAlign w:val="center"/>
            <w:hideMark/>
          </w:tcPr>
          <w:p w14:paraId="028F6713" w14:textId="77777777" w:rsidR="008502D4" w:rsidRDefault="008502D4" w:rsidP="00654A69">
            <w:pPr>
              <w:jc w:val="right"/>
              <w:rPr>
                <w:sz w:val="18"/>
                <w:szCs w:val="18"/>
              </w:rPr>
            </w:pPr>
            <w:r>
              <w:rPr>
                <w:sz w:val="18"/>
                <w:szCs w:val="18"/>
              </w:rPr>
              <w:t>8 698,2</w:t>
            </w:r>
          </w:p>
        </w:tc>
        <w:tc>
          <w:tcPr>
            <w:tcW w:w="1080" w:type="dxa"/>
            <w:tcBorders>
              <w:top w:val="nil"/>
              <w:left w:val="nil"/>
              <w:bottom w:val="nil"/>
              <w:right w:val="single" w:sz="8" w:space="0" w:color="800000"/>
            </w:tcBorders>
            <w:shd w:val="clear" w:color="000000" w:fill="FFFFCC"/>
            <w:noWrap/>
            <w:vAlign w:val="center"/>
            <w:hideMark/>
          </w:tcPr>
          <w:p w14:paraId="5272022B" w14:textId="77777777" w:rsidR="008502D4" w:rsidRDefault="008502D4" w:rsidP="00654A69">
            <w:pPr>
              <w:jc w:val="right"/>
              <w:rPr>
                <w:sz w:val="18"/>
                <w:szCs w:val="18"/>
              </w:rPr>
            </w:pPr>
            <w:r>
              <w:rPr>
                <w:sz w:val="18"/>
                <w:szCs w:val="18"/>
              </w:rPr>
              <w:t>116,6%</w:t>
            </w:r>
          </w:p>
        </w:tc>
        <w:tc>
          <w:tcPr>
            <w:tcW w:w="1244" w:type="dxa"/>
            <w:tcBorders>
              <w:top w:val="nil"/>
              <w:left w:val="nil"/>
              <w:bottom w:val="nil"/>
              <w:right w:val="double" w:sz="6" w:space="0" w:color="800000"/>
            </w:tcBorders>
            <w:shd w:val="clear" w:color="000000" w:fill="FFFFCC"/>
            <w:noWrap/>
            <w:vAlign w:val="center"/>
            <w:hideMark/>
          </w:tcPr>
          <w:p w14:paraId="7ACA0349" w14:textId="77777777" w:rsidR="008502D4" w:rsidRDefault="008502D4" w:rsidP="00654A69">
            <w:pPr>
              <w:jc w:val="right"/>
              <w:rPr>
                <w:sz w:val="18"/>
                <w:szCs w:val="18"/>
              </w:rPr>
            </w:pPr>
            <w:r>
              <w:rPr>
                <w:sz w:val="18"/>
                <w:szCs w:val="18"/>
              </w:rPr>
              <w:t>49,1%</w:t>
            </w:r>
          </w:p>
        </w:tc>
      </w:tr>
      <w:tr w:rsidR="008502D4" w:rsidRPr="00E56679" w14:paraId="104C6B19" w14:textId="77777777" w:rsidTr="00654A69">
        <w:trPr>
          <w:trHeight w:val="264"/>
        </w:trPr>
        <w:tc>
          <w:tcPr>
            <w:tcW w:w="3620" w:type="dxa"/>
            <w:tcBorders>
              <w:top w:val="nil"/>
              <w:left w:val="double" w:sz="6" w:space="0" w:color="800000"/>
              <w:bottom w:val="nil"/>
              <w:right w:val="single" w:sz="8" w:space="0" w:color="800000"/>
            </w:tcBorders>
            <w:shd w:val="clear" w:color="000000" w:fill="FFFFCC"/>
            <w:noWrap/>
            <w:vAlign w:val="center"/>
            <w:hideMark/>
          </w:tcPr>
          <w:p w14:paraId="4AFD6DFD" w14:textId="77777777" w:rsidR="008502D4" w:rsidRPr="00B20830" w:rsidRDefault="008502D4" w:rsidP="00654A69">
            <w:pPr>
              <w:rPr>
                <w:sz w:val="18"/>
                <w:szCs w:val="18"/>
              </w:rPr>
            </w:pPr>
            <w:r w:rsidRPr="00B20830">
              <w:rPr>
                <w:sz w:val="18"/>
                <w:szCs w:val="18"/>
              </w:rPr>
              <w:t xml:space="preserve">      - НОИ, УПФ и ФГВРС</w:t>
            </w:r>
          </w:p>
        </w:tc>
        <w:tc>
          <w:tcPr>
            <w:tcW w:w="1400" w:type="dxa"/>
            <w:tcBorders>
              <w:top w:val="nil"/>
              <w:left w:val="nil"/>
              <w:bottom w:val="nil"/>
              <w:right w:val="single" w:sz="8" w:space="0" w:color="800000"/>
            </w:tcBorders>
            <w:shd w:val="clear" w:color="000000" w:fill="FFFFCC"/>
            <w:noWrap/>
            <w:vAlign w:val="center"/>
            <w:hideMark/>
          </w:tcPr>
          <w:p w14:paraId="77716D75" w14:textId="77777777" w:rsidR="008502D4" w:rsidRDefault="008502D4" w:rsidP="00654A69">
            <w:pPr>
              <w:jc w:val="right"/>
              <w:rPr>
                <w:sz w:val="18"/>
                <w:szCs w:val="18"/>
              </w:rPr>
            </w:pPr>
            <w:r>
              <w:rPr>
                <w:sz w:val="18"/>
                <w:szCs w:val="18"/>
              </w:rPr>
              <w:t>5 390,8</w:t>
            </w:r>
          </w:p>
        </w:tc>
        <w:tc>
          <w:tcPr>
            <w:tcW w:w="1360" w:type="dxa"/>
            <w:tcBorders>
              <w:top w:val="nil"/>
              <w:left w:val="nil"/>
              <w:bottom w:val="nil"/>
              <w:right w:val="single" w:sz="8" w:space="0" w:color="800000"/>
            </w:tcBorders>
            <w:shd w:val="clear" w:color="000000" w:fill="FFFFCC"/>
            <w:noWrap/>
            <w:vAlign w:val="center"/>
            <w:hideMark/>
          </w:tcPr>
          <w:p w14:paraId="55810695" w14:textId="77777777" w:rsidR="008502D4" w:rsidRDefault="008502D4" w:rsidP="00654A69">
            <w:pPr>
              <w:jc w:val="right"/>
              <w:rPr>
                <w:sz w:val="18"/>
                <w:szCs w:val="18"/>
              </w:rPr>
            </w:pPr>
            <w:r>
              <w:rPr>
                <w:sz w:val="18"/>
                <w:szCs w:val="18"/>
              </w:rPr>
              <w:t>12 846,3</w:t>
            </w:r>
          </w:p>
        </w:tc>
        <w:tc>
          <w:tcPr>
            <w:tcW w:w="980" w:type="dxa"/>
            <w:tcBorders>
              <w:top w:val="nil"/>
              <w:left w:val="nil"/>
              <w:bottom w:val="nil"/>
              <w:right w:val="single" w:sz="8" w:space="0" w:color="800000"/>
            </w:tcBorders>
            <w:shd w:val="clear" w:color="000000" w:fill="FFFFCC"/>
            <w:noWrap/>
            <w:vAlign w:val="center"/>
            <w:hideMark/>
          </w:tcPr>
          <w:p w14:paraId="51E65D51" w14:textId="77777777" w:rsidR="008502D4" w:rsidRDefault="008502D4" w:rsidP="00654A69">
            <w:pPr>
              <w:jc w:val="right"/>
              <w:rPr>
                <w:sz w:val="18"/>
                <w:szCs w:val="18"/>
              </w:rPr>
            </w:pPr>
            <w:r>
              <w:rPr>
                <w:sz w:val="18"/>
                <w:szCs w:val="18"/>
              </w:rPr>
              <w:t>6 277,7</w:t>
            </w:r>
          </w:p>
        </w:tc>
        <w:tc>
          <w:tcPr>
            <w:tcW w:w="1080" w:type="dxa"/>
            <w:tcBorders>
              <w:top w:val="nil"/>
              <w:left w:val="nil"/>
              <w:bottom w:val="nil"/>
              <w:right w:val="single" w:sz="8" w:space="0" w:color="800000"/>
            </w:tcBorders>
            <w:shd w:val="clear" w:color="000000" w:fill="FFFFCC"/>
            <w:noWrap/>
            <w:vAlign w:val="center"/>
            <w:hideMark/>
          </w:tcPr>
          <w:p w14:paraId="0D96C871" w14:textId="77777777" w:rsidR="008502D4" w:rsidRDefault="008502D4" w:rsidP="00654A69">
            <w:pPr>
              <w:jc w:val="right"/>
              <w:rPr>
                <w:sz w:val="18"/>
                <w:szCs w:val="18"/>
              </w:rPr>
            </w:pPr>
            <w:r>
              <w:rPr>
                <w:sz w:val="18"/>
                <w:szCs w:val="18"/>
              </w:rPr>
              <w:t>116,5%</w:t>
            </w:r>
          </w:p>
        </w:tc>
        <w:tc>
          <w:tcPr>
            <w:tcW w:w="1244" w:type="dxa"/>
            <w:tcBorders>
              <w:top w:val="nil"/>
              <w:left w:val="nil"/>
              <w:bottom w:val="nil"/>
              <w:right w:val="double" w:sz="6" w:space="0" w:color="800000"/>
            </w:tcBorders>
            <w:shd w:val="clear" w:color="000000" w:fill="FFFFCC"/>
            <w:noWrap/>
            <w:vAlign w:val="center"/>
            <w:hideMark/>
          </w:tcPr>
          <w:p w14:paraId="6C944C9F" w14:textId="77777777" w:rsidR="008502D4" w:rsidRDefault="008502D4" w:rsidP="00654A69">
            <w:pPr>
              <w:jc w:val="right"/>
              <w:rPr>
                <w:sz w:val="18"/>
                <w:szCs w:val="18"/>
              </w:rPr>
            </w:pPr>
            <w:r>
              <w:rPr>
                <w:sz w:val="18"/>
                <w:szCs w:val="18"/>
              </w:rPr>
              <w:t>48,9%</w:t>
            </w:r>
          </w:p>
        </w:tc>
      </w:tr>
      <w:tr w:rsidR="008502D4" w:rsidRPr="00E56679" w14:paraId="3BBD7E2E" w14:textId="77777777" w:rsidTr="00654A69">
        <w:trPr>
          <w:trHeight w:val="264"/>
        </w:trPr>
        <w:tc>
          <w:tcPr>
            <w:tcW w:w="3620" w:type="dxa"/>
            <w:tcBorders>
              <w:top w:val="nil"/>
              <w:left w:val="double" w:sz="6" w:space="0" w:color="800000"/>
              <w:bottom w:val="nil"/>
              <w:right w:val="single" w:sz="8" w:space="0" w:color="800000"/>
            </w:tcBorders>
            <w:shd w:val="clear" w:color="000000" w:fill="FFFFCC"/>
            <w:noWrap/>
            <w:vAlign w:val="center"/>
            <w:hideMark/>
          </w:tcPr>
          <w:p w14:paraId="5EB550F5" w14:textId="77777777" w:rsidR="008502D4" w:rsidRPr="00B20830" w:rsidRDefault="008502D4" w:rsidP="00654A69">
            <w:pPr>
              <w:rPr>
                <w:sz w:val="18"/>
                <w:szCs w:val="18"/>
              </w:rPr>
            </w:pPr>
            <w:r w:rsidRPr="00B20830">
              <w:rPr>
                <w:sz w:val="18"/>
                <w:szCs w:val="18"/>
              </w:rPr>
              <w:t xml:space="preserve">      - НЗОК</w:t>
            </w:r>
          </w:p>
        </w:tc>
        <w:tc>
          <w:tcPr>
            <w:tcW w:w="1400" w:type="dxa"/>
            <w:tcBorders>
              <w:top w:val="nil"/>
              <w:left w:val="nil"/>
              <w:bottom w:val="nil"/>
              <w:right w:val="single" w:sz="8" w:space="0" w:color="800000"/>
            </w:tcBorders>
            <w:shd w:val="clear" w:color="000000" w:fill="FFFFCC"/>
            <w:noWrap/>
            <w:vAlign w:val="center"/>
            <w:hideMark/>
          </w:tcPr>
          <w:p w14:paraId="6CEFADA7" w14:textId="77777777" w:rsidR="008502D4" w:rsidRDefault="008502D4" w:rsidP="00654A69">
            <w:pPr>
              <w:jc w:val="right"/>
              <w:rPr>
                <w:sz w:val="18"/>
                <w:szCs w:val="18"/>
              </w:rPr>
            </w:pPr>
            <w:r>
              <w:rPr>
                <w:sz w:val="18"/>
                <w:szCs w:val="18"/>
              </w:rPr>
              <w:t>2 068,7</w:t>
            </w:r>
          </w:p>
        </w:tc>
        <w:tc>
          <w:tcPr>
            <w:tcW w:w="1360" w:type="dxa"/>
            <w:tcBorders>
              <w:top w:val="nil"/>
              <w:left w:val="nil"/>
              <w:bottom w:val="nil"/>
              <w:right w:val="single" w:sz="8" w:space="0" w:color="800000"/>
            </w:tcBorders>
            <w:shd w:val="clear" w:color="000000" w:fill="FFFFCC"/>
            <w:noWrap/>
            <w:vAlign w:val="center"/>
            <w:hideMark/>
          </w:tcPr>
          <w:p w14:paraId="41E5DA07" w14:textId="77777777" w:rsidR="008502D4" w:rsidRDefault="008502D4" w:rsidP="00654A69">
            <w:pPr>
              <w:jc w:val="right"/>
              <w:rPr>
                <w:sz w:val="18"/>
                <w:szCs w:val="18"/>
              </w:rPr>
            </w:pPr>
            <w:r>
              <w:rPr>
                <w:sz w:val="18"/>
                <w:szCs w:val="18"/>
              </w:rPr>
              <w:t>4 880,1</w:t>
            </w:r>
          </w:p>
        </w:tc>
        <w:tc>
          <w:tcPr>
            <w:tcW w:w="980" w:type="dxa"/>
            <w:tcBorders>
              <w:top w:val="nil"/>
              <w:left w:val="nil"/>
              <w:bottom w:val="nil"/>
              <w:right w:val="single" w:sz="8" w:space="0" w:color="800000"/>
            </w:tcBorders>
            <w:shd w:val="clear" w:color="000000" w:fill="FFFFCC"/>
            <w:noWrap/>
            <w:vAlign w:val="center"/>
            <w:hideMark/>
          </w:tcPr>
          <w:p w14:paraId="29EA09D9" w14:textId="77777777" w:rsidR="008502D4" w:rsidRDefault="008502D4" w:rsidP="00654A69">
            <w:pPr>
              <w:jc w:val="right"/>
              <w:rPr>
                <w:sz w:val="18"/>
                <w:szCs w:val="18"/>
              </w:rPr>
            </w:pPr>
            <w:r>
              <w:rPr>
                <w:sz w:val="18"/>
                <w:szCs w:val="18"/>
              </w:rPr>
              <w:t>2 420,5</w:t>
            </w:r>
          </w:p>
        </w:tc>
        <w:tc>
          <w:tcPr>
            <w:tcW w:w="1080" w:type="dxa"/>
            <w:tcBorders>
              <w:top w:val="nil"/>
              <w:left w:val="nil"/>
              <w:bottom w:val="nil"/>
              <w:right w:val="single" w:sz="8" w:space="0" w:color="800000"/>
            </w:tcBorders>
            <w:shd w:val="clear" w:color="000000" w:fill="FFFFCC"/>
            <w:noWrap/>
            <w:vAlign w:val="center"/>
            <w:hideMark/>
          </w:tcPr>
          <w:p w14:paraId="1288925E" w14:textId="77777777" w:rsidR="008502D4" w:rsidRDefault="008502D4" w:rsidP="00654A69">
            <w:pPr>
              <w:jc w:val="right"/>
              <w:rPr>
                <w:sz w:val="18"/>
                <w:szCs w:val="18"/>
              </w:rPr>
            </w:pPr>
            <w:r>
              <w:rPr>
                <w:sz w:val="18"/>
                <w:szCs w:val="18"/>
              </w:rPr>
              <w:t>117,0%</w:t>
            </w:r>
          </w:p>
        </w:tc>
        <w:tc>
          <w:tcPr>
            <w:tcW w:w="1244" w:type="dxa"/>
            <w:tcBorders>
              <w:top w:val="nil"/>
              <w:left w:val="nil"/>
              <w:bottom w:val="nil"/>
              <w:right w:val="double" w:sz="6" w:space="0" w:color="800000"/>
            </w:tcBorders>
            <w:shd w:val="clear" w:color="000000" w:fill="FFFFCC"/>
            <w:noWrap/>
            <w:vAlign w:val="center"/>
            <w:hideMark/>
          </w:tcPr>
          <w:p w14:paraId="1C63CD08" w14:textId="77777777" w:rsidR="008502D4" w:rsidRDefault="008502D4" w:rsidP="00654A69">
            <w:pPr>
              <w:jc w:val="right"/>
              <w:rPr>
                <w:sz w:val="18"/>
                <w:szCs w:val="18"/>
              </w:rPr>
            </w:pPr>
            <w:r>
              <w:rPr>
                <w:sz w:val="18"/>
                <w:szCs w:val="18"/>
              </w:rPr>
              <w:t>49,6%</w:t>
            </w:r>
          </w:p>
        </w:tc>
      </w:tr>
      <w:tr w:rsidR="008502D4" w:rsidRPr="00E56679" w14:paraId="729FB19E" w14:textId="77777777" w:rsidTr="00654A69">
        <w:trPr>
          <w:trHeight w:val="264"/>
        </w:trPr>
        <w:tc>
          <w:tcPr>
            <w:tcW w:w="3620" w:type="dxa"/>
            <w:tcBorders>
              <w:top w:val="nil"/>
              <w:left w:val="double" w:sz="6" w:space="0" w:color="800000"/>
              <w:bottom w:val="nil"/>
              <w:right w:val="single" w:sz="8" w:space="0" w:color="800000"/>
            </w:tcBorders>
            <w:shd w:val="clear" w:color="000000" w:fill="FFFFCC"/>
            <w:noWrap/>
            <w:vAlign w:val="center"/>
            <w:hideMark/>
          </w:tcPr>
          <w:p w14:paraId="6F9E6F1E" w14:textId="77777777" w:rsidR="008502D4" w:rsidRPr="00B20830" w:rsidRDefault="008502D4" w:rsidP="00654A69">
            <w:pPr>
              <w:rPr>
                <w:sz w:val="4"/>
                <w:szCs w:val="4"/>
              </w:rPr>
            </w:pPr>
            <w:r w:rsidRPr="00B20830">
              <w:rPr>
                <w:sz w:val="4"/>
                <w:szCs w:val="4"/>
              </w:rPr>
              <w:t> </w:t>
            </w:r>
          </w:p>
        </w:tc>
        <w:tc>
          <w:tcPr>
            <w:tcW w:w="1400" w:type="dxa"/>
            <w:tcBorders>
              <w:top w:val="nil"/>
              <w:left w:val="nil"/>
              <w:bottom w:val="nil"/>
              <w:right w:val="single" w:sz="8" w:space="0" w:color="800000"/>
            </w:tcBorders>
            <w:shd w:val="clear" w:color="000000" w:fill="FFFFCC"/>
            <w:noWrap/>
            <w:vAlign w:val="center"/>
            <w:hideMark/>
          </w:tcPr>
          <w:p w14:paraId="2C19CBE2" w14:textId="77777777" w:rsidR="008502D4" w:rsidRDefault="008502D4" w:rsidP="00654A69">
            <w:pPr>
              <w:jc w:val="right"/>
              <w:rPr>
                <w:sz w:val="18"/>
                <w:szCs w:val="18"/>
              </w:rPr>
            </w:pPr>
            <w:r>
              <w:rPr>
                <w:sz w:val="18"/>
                <w:szCs w:val="18"/>
              </w:rPr>
              <w:t> </w:t>
            </w:r>
          </w:p>
        </w:tc>
        <w:tc>
          <w:tcPr>
            <w:tcW w:w="1360" w:type="dxa"/>
            <w:tcBorders>
              <w:top w:val="nil"/>
              <w:left w:val="nil"/>
              <w:bottom w:val="nil"/>
              <w:right w:val="single" w:sz="8" w:space="0" w:color="800000"/>
            </w:tcBorders>
            <w:shd w:val="clear" w:color="000000" w:fill="FFFFCC"/>
            <w:noWrap/>
            <w:vAlign w:val="center"/>
            <w:hideMark/>
          </w:tcPr>
          <w:p w14:paraId="74AF6BD9" w14:textId="77777777" w:rsidR="008502D4" w:rsidRDefault="008502D4" w:rsidP="00654A69">
            <w:pPr>
              <w:jc w:val="right"/>
              <w:rPr>
                <w:sz w:val="18"/>
                <w:szCs w:val="18"/>
              </w:rPr>
            </w:pPr>
            <w:r>
              <w:rPr>
                <w:sz w:val="18"/>
                <w:szCs w:val="18"/>
              </w:rPr>
              <w:t> </w:t>
            </w:r>
          </w:p>
        </w:tc>
        <w:tc>
          <w:tcPr>
            <w:tcW w:w="980" w:type="dxa"/>
            <w:tcBorders>
              <w:top w:val="nil"/>
              <w:left w:val="nil"/>
              <w:bottom w:val="nil"/>
              <w:right w:val="single" w:sz="8" w:space="0" w:color="800000"/>
            </w:tcBorders>
            <w:shd w:val="clear" w:color="000000" w:fill="FFFFCC"/>
            <w:noWrap/>
            <w:vAlign w:val="center"/>
            <w:hideMark/>
          </w:tcPr>
          <w:p w14:paraId="08C9605E" w14:textId="77777777" w:rsidR="008502D4" w:rsidRDefault="008502D4" w:rsidP="00654A69">
            <w:pPr>
              <w:jc w:val="right"/>
              <w:rPr>
                <w:sz w:val="18"/>
                <w:szCs w:val="18"/>
              </w:rPr>
            </w:pPr>
            <w:r>
              <w:rPr>
                <w:sz w:val="18"/>
                <w:szCs w:val="18"/>
              </w:rPr>
              <w:t> </w:t>
            </w:r>
          </w:p>
        </w:tc>
        <w:tc>
          <w:tcPr>
            <w:tcW w:w="1080" w:type="dxa"/>
            <w:tcBorders>
              <w:top w:val="nil"/>
              <w:left w:val="nil"/>
              <w:bottom w:val="nil"/>
              <w:right w:val="single" w:sz="8" w:space="0" w:color="800000"/>
            </w:tcBorders>
            <w:shd w:val="clear" w:color="000000" w:fill="FFFFCC"/>
            <w:noWrap/>
            <w:vAlign w:val="center"/>
            <w:hideMark/>
          </w:tcPr>
          <w:p w14:paraId="3082A56E" w14:textId="77777777" w:rsidR="008502D4" w:rsidRDefault="008502D4" w:rsidP="00654A69">
            <w:pPr>
              <w:jc w:val="right"/>
              <w:rPr>
                <w:sz w:val="18"/>
                <w:szCs w:val="18"/>
              </w:rPr>
            </w:pPr>
            <w:r>
              <w:rPr>
                <w:sz w:val="18"/>
                <w:szCs w:val="18"/>
              </w:rPr>
              <w:t> </w:t>
            </w:r>
          </w:p>
        </w:tc>
        <w:tc>
          <w:tcPr>
            <w:tcW w:w="1244" w:type="dxa"/>
            <w:tcBorders>
              <w:top w:val="nil"/>
              <w:left w:val="nil"/>
              <w:bottom w:val="nil"/>
              <w:right w:val="double" w:sz="6" w:space="0" w:color="800000"/>
            </w:tcBorders>
            <w:shd w:val="clear" w:color="000000" w:fill="FFFFCC"/>
            <w:noWrap/>
            <w:vAlign w:val="center"/>
            <w:hideMark/>
          </w:tcPr>
          <w:p w14:paraId="1F11380B" w14:textId="77777777" w:rsidR="008502D4" w:rsidRDefault="008502D4" w:rsidP="00654A69">
            <w:pPr>
              <w:jc w:val="right"/>
              <w:rPr>
                <w:sz w:val="18"/>
                <w:szCs w:val="18"/>
              </w:rPr>
            </w:pPr>
            <w:r>
              <w:rPr>
                <w:sz w:val="18"/>
                <w:szCs w:val="18"/>
              </w:rPr>
              <w:t> </w:t>
            </w:r>
          </w:p>
        </w:tc>
      </w:tr>
      <w:tr w:rsidR="008502D4" w:rsidRPr="00E56679" w14:paraId="430E448C" w14:textId="77777777" w:rsidTr="00654A69">
        <w:trPr>
          <w:trHeight w:val="264"/>
        </w:trPr>
        <w:tc>
          <w:tcPr>
            <w:tcW w:w="3620" w:type="dxa"/>
            <w:tcBorders>
              <w:top w:val="nil"/>
              <w:left w:val="double" w:sz="6" w:space="0" w:color="800000"/>
              <w:bottom w:val="nil"/>
              <w:right w:val="single" w:sz="8" w:space="0" w:color="800000"/>
            </w:tcBorders>
            <w:shd w:val="clear" w:color="000000" w:fill="FFFFCC"/>
            <w:noWrap/>
            <w:vAlign w:val="center"/>
            <w:hideMark/>
          </w:tcPr>
          <w:p w14:paraId="736E005E" w14:textId="77777777" w:rsidR="008502D4" w:rsidRPr="00B20830" w:rsidRDefault="008502D4" w:rsidP="00654A69">
            <w:pPr>
              <w:rPr>
                <w:b/>
                <w:bCs/>
                <w:i/>
                <w:iCs/>
                <w:sz w:val="18"/>
                <w:szCs w:val="18"/>
              </w:rPr>
            </w:pPr>
            <w:r w:rsidRPr="00B20830">
              <w:rPr>
                <w:b/>
                <w:bCs/>
                <w:i/>
                <w:iCs/>
                <w:sz w:val="18"/>
                <w:szCs w:val="18"/>
              </w:rPr>
              <w:t xml:space="preserve">    Косвени данъци, в т.ч.:</w:t>
            </w:r>
          </w:p>
        </w:tc>
        <w:tc>
          <w:tcPr>
            <w:tcW w:w="1400" w:type="dxa"/>
            <w:tcBorders>
              <w:top w:val="nil"/>
              <w:left w:val="nil"/>
              <w:bottom w:val="nil"/>
              <w:right w:val="single" w:sz="8" w:space="0" w:color="800000"/>
            </w:tcBorders>
            <w:shd w:val="clear" w:color="000000" w:fill="FFFFCC"/>
            <w:noWrap/>
            <w:vAlign w:val="center"/>
            <w:hideMark/>
          </w:tcPr>
          <w:p w14:paraId="5E110DA8" w14:textId="77777777" w:rsidR="008502D4" w:rsidRDefault="008502D4" w:rsidP="00654A69">
            <w:pPr>
              <w:jc w:val="right"/>
              <w:rPr>
                <w:sz w:val="18"/>
                <w:szCs w:val="18"/>
              </w:rPr>
            </w:pPr>
            <w:r>
              <w:rPr>
                <w:sz w:val="18"/>
                <w:szCs w:val="18"/>
              </w:rPr>
              <w:t>10 454,4</w:t>
            </w:r>
          </w:p>
        </w:tc>
        <w:tc>
          <w:tcPr>
            <w:tcW w:w="1360" w:type="dxa"/>
            <w:tcBorders>
              <w:top w:val="nil"/>
              <w:left w:val="nil"/>
              <w:bottom w:val="nil"/>
              <w:right w:val="single" w:sz="8" w:space="0" w:color="800000"/>
            </w:tcBorders>
            <w:shd w:val="clear" w:color="000000" w:fill="FFFFCC"/>
            <w:noWrap/>
            <w:vAlign w:val="center"/>
            <w:hideMark/>
          </w:tcPr>
          <w:p w14:paraId="4F45DB71" w14:textId="77777777" w:rsidR="008502D4" w:rsidRDefault="008502D4" w:rsidP="00654A69">
            <w:pPr>
              <w:jc w:val="right"/>
              <w:rPr>
                <w:sz w:val="18"/>
                <w:szCs w:val="18"/>
              </w:rPr>
            </w:pPr>
            <w:r>
              <w:rPr>
                <w:sz w:val="18"/>
                <w:szCs w:val="18"/>
              </w:rPr>
              <w:t>25 504,1</w:t>
            </w:r>
          </w:p>
        </w:tc>
        <w:tc>
          <w:tcPr>
            <w:tcW w:w="980" w:type="dxa"/>
            <w:tcBorders>
              <w:top w:val="nil"/>
              <w:left w:val="nil"/>
              <w:bottom w:val="nil"/>
              <w:right w:val="single" w:sz="8" w:space="0" w:color="800000"/>
            </w:tcBorders>
            <w:shd w:val="clear" w:color="000000" w:fill="FFFFCC"/>
            <w:noWrap/>
            <w:vAlign w:val="center"/>
            <w:hideMark/>
          </w:tcPr>
          <w:p w14:paraId="46007017" w14:textId="77777777" w:rsidR="008502D4" w:rsidRDefault="008502D4" w:rsidP="00654A69">
            <w:pPr>
              <w:jc w:val="right"/>
              <w:rPr>
                <w:sz w:val="18"/>
                <w:szCs w:val="18"/>
              </w:rPr>
            </w:pPr>
            <w:r>
              <w:rPr>
                <w:sz w:val="18"/>
                <w:szCs w:val="18"/>
              </w:rPr>
              <w:t>11 810,8</w:t>
            </w:r>
          </w:p>
        </w:tc>
        <w:tc>
          <w:tcPr>
            <w:tcW w:w="1080" w:type="dxa"/>
            <w:tcBorders>
              <w:top w:val="nil"/>
              <w:left w:val="nil"/>
              <w:bottom w:val="nil"/>
              <w:right w:val="single" w:sz="8" w:space="0" w:color="800000"/>
            </w:tcBorders>
            <w:shd w:val="clear" w:color="000000" w:fill="FFFFCC"/>
            <w:noWrap/>
            <w:vAlign w:val="center"/>
            <w:hideMark/>
          </w:tcPr>
          <w:p w14:paraId="19D90DBB" w14:textId="77777777" w:rsidR="008502D4" w:rsidRDefault="008502D4" w:rsidP="00654A69">
            <w:pPr>
              <w:jc w:val="right"/>
              <w:rPr>
                <w:sz w:val="18"/>
                <w:szCs w:val="18"/>
              </w:rPr>
            </w:pPr>
            <w:r>
              <w:rPr>
                <w:sz w:val="18"/>
                <w:szCs w:val="18"/>
              </w:rPr>
              <w:t>113,0%</w:t>
            </w:r>
          </w:p>
        </w:tc>
        <w:tc>
          <w:tcPr>
            <w:tcW w:w="1244" w:type="dxa"/>
            <w:tcBorders>
              <w:top w:val="nil"/>
              <w:left w:val="nil"/>
              <w:bottom w:val="nil"/>
              <w:right w:val="double" w:sz="6" w:space="0" w:color="800000"/>
            </w:tcBorders>
            <w:shd w:val="clear" w:color="000000" w:fill="FFFFCC"/>
            <w:noWrap/>
            <w:vAlign w:val="center"/>
            <w:hideMark/>
          </w:tcPr>
          <w:p w14:paraId="36F07D93" w14:textId="77777777" w:rsidR="008502D4" w:rsidRDefault="008502D4" w:rsidP="00654A69">
            <w:pPr>
              <w:jc w:val="right"/>
              <w:rPr>
                <w:sz w:val="18"/>
                <w:szCs w:val="18"/>
              </w:rPr>
            </w:pPr>
            <w:r>
              <w:rPr>
                <w:sz w:val="18"/>
                <w:szCs w:val="18"/>
              </w:rPr>
              <w:t>46,3%</w:t>
            </w:r>
          </w:p>
        </w:tc>
      </w:tr>
      <w:tr w:rsidR="008502D4" w:rsidRPr="00E56679" w14:paraId="75A47A39" w14:textId="77777777" w:rsidTr="00654A69">
        <w:trPr>
          <w:trHeight w:val="264"/>
        </w:trPr>
        <w:tc>
          <w:tcPr>
            <w:tcW w:w="3620" w:type="dxa"/>
            <w:tcBorders>
              <w:top w:val="nil"/>
              <w:left w:val="double" w:sz="6" w:space="0" w:color="800000"/>
              <w:bottom w:val="nil"/>
              <w:right w:val="single" w:sz="8" w:space="0" w:color="800000"/>
            </w:tcBorders>
            <w:shd w:val="clear" w:color="000000" w:fill="FFFFCC"/>
            <w:noWrap/>
            <w:vAlign w:val="center"/>
            <w:hideMark/>
          </w:tcPr>
          <w:p w14:paraId="15688807" w14:textId="77777777" w:rsidR="008502D4" w:rsidRPr="00B20830" w:rsidRDefault="008502D4" w:rsidP="00654A69">
            <w:pPr>
              <w:rPr>
                <w:sz w:val="18"/>
                <w:szCs w:val="18"/>
              </w:rPr>
            </w:pPr>
            <w:r w:rsidRPr="00B20830">
              <w:rPr>
                <w:sz w:val="18"/>
                <w:szCs w:val="18"/>
              </w:rPr>
              <w:t xml:space="preserve">      ДДС</w:t>
            </w:r>
          </w:p>
        </w:tc>
        <w:tc>
          <w:tcPr>
            <w:tcW w:w="1400" w:type="dxa"/>
            <w:tcBorders>
              <w:top w:val="nil"/>
              <w:left w:val="nil"/>
              <w:bottom w:val="nil"/>
              <w:right w:val="single" w:sz="8" w:space="0" w:color="800000"/>
            </w:tcBorders>
            <w:shd w:val="clear" w:color="000000" w:fill="FFFFCC"/>
            <w:noWrap/>
            <w:vAlign w:val="center"/>
            <w:hideMark/>
          </w:tcPr>
          <w:p w14:paraId="66372DDC" w14:textId="77777777" w:rsidR="008502D4" w:rsidRDefault="008502D4" w:rsidP="00654A69">
            <w:pPr>
              <w:jc w:val="right"/>
              <w:rPr>
                <w:sz w:val="18"/>
                <w:szCs w:val="18"/>
              </w:rPr>
            </w:pPr>
            <w:r>
              <w:rPr>
                <w:sz w:val="18"/>
                <w:szCs w:val="18"/>
              </w:rPr>
              <w:t>7 423,1</w:t>
            </w:r>
          </w:p>
        </w:tc>
        <w:tc>
          <w:tcPr>
            <w:tcW w:w="1360" w:type="dxa"/>
            <w:tcBorders>
              <w:top w:val="nil"/>
              <w:left w:val="nil"/>
              <w:bottom w:val="nil"/>
              <w:right w:val="single" w:sz="8" w:space="0" w:color="800000"/>
            </w:tcBorders>
            <w:shd w:val="clear" w:color="000000" w:fill="FFFFCC"/>
            <w:noWrap/>
            <w:vAlign w:val="center"/>
            <w:hideMark/>
          </w:tcPr>
          <w:p w14:paraId="6DE74F66" w14:textId="77777777" w:rsidR="008502D4" w:rsidRDefault="008502D4" w:rsidP="00654A69">
            <w:pPr>
              <w:jc w:val="right"/>
              <w:rPr>
                <w:sz w:val="18"/>
                <w:szCs w:val="18"/>
              </w:rPr>
            </w:pPr>
            <w:r>
              <w:rPr>
                <w:sz w:val="18"/>
                <w:szCs w:val="18"/>
              </w:rPr>
              <w:t>18 626,1</w:t>
            </w:r>
          </w:p>
        </w:tc>
        <w:tc>
          <w:tcPr>
            <w:tcW w:w="980" w:type="dxa"/>
            <w:tcBorders>
              <w:top w:val="nil"/>
              <w:left w:val="nil"/>
              <w:bottom w:val="nil"/>
              <w:right w:val="single" w:sz="8" w:space="0" w:color="800000"/>
            </w:tcBorders>
            <w:shd w:val="clear" w:color="000000" w:fill="FFFFCC"/>
            <w:noWrap/>
            <w:vAlign w:val="center"/>
            <w:hideMark/>
          </w:tcPr>
          <w:p w14:paraId="5DDDED45" w14:textId="77777777" w:rsidR="008502D4" w:rsidRDefault="008502D4" w:rsidP="00654A69">
            <w:pPr>
              <w:jc w:val="right"/>
              <w:rPr>
                <w:sz w:val="18"/>
                <w:szCs w:val="18"/>
              </w:rPr>
            </w:pPr>
            <w:r>
              <w:rPr>
                <w:sz w:val="18"/>
                <w:szCs w:val="18"/>
              </w:rPr>
              <w:t>8 428,1</w:t>
            </w:r>
          </w:p>
        </w:tc>
        <w:tc>
          <w:tcPr>
            <w:tcW w:w="1080" w:type="dxa"/>
            <w:tcBorders>
              <w:top w:val="nil"/>
              <w:left w:val="nil"/>
              <w:bottom w:val="nil"/>
              <w:right w:val="single" w:sz="8" w:space="0" w:color="800000"/>
            </w:tcBorders>
            <w:shd w:val="clear" w:color="000000" w:fill="FFFFCC"/>
            <w:noWrap/>
            <w:vAlign w:val="center"/>
            <w:hideMark/>
          </w:tcPr>
          <w:p w14:paraId="25E45B97" w14:textId="77777777" w:rsidR="008502D4" w:rsidRDefault="008502D4" w:rsidP="00654A69">
            <w:pPr>
              <w:jc w:val="right"/>
              <w:rPr>
                <w:sz w:val="18"/>
                <w:szCs w:val="18"/>
              </w:rPr>
            </w:pPr>
            <w:r>
              <w:rPr>
                <w:sz w:val="18"/>
                <w:szCs w:val="18"/>
              </w:rPr>
              <w:t>113,5%</w:t>
            </w:r>
          </w:p>
        </w:tc>
        <w:tc>
          <w:tcPr>
            <w:tcW w:w="1244" w:type="dxa"/>
            <w:tcBorders>
              <w:top w:val="nil"/>
              <w:left w:val="nil"/>
              <w:bottom w:val="nil"/>
              <w:right w:val="double" w:sz="6" w:space="0" w:color="800000"/>
            </w:tcBorders>
            <w:shd w:val="clear" w:color="000000" w:fill="FFFFCC"/>
            <w:noWrap/>
            <w:vAlign w:val="center"/>
            <w:hideMark/>
          </w:tcPr>
          <w:p w14:paraId="449A7C6F" w14:textId="77777777" w:rsidR="008502D4" w:rsidRDefault="008502D4" w:rsidP="00654A69">
            <w:pPr>
              <w:jc w:val="right"/>
              <w:rPr>
                <w:sz w:val="18"/>
                <w:szCs w:val="18"/>
              </w:rPr>
            </w:pPr>
            <w:r>
              <w:rPr>
                <w:sz w:val="18"/>
                <w:szCs w:val="18"/>
              </w:rPr>
              <w:t>45,2%</w:t>
            </w:r>
          </w:p>
        </w:tc>
      </w:tr>
      <w:tr w:rsidR="008502D4" w:rsidRPr="00E56679" w14:paraId="00EFB574" w14:textId="77777777" w:rsidTr="00654A69">
        <w:trPr>
          <w:trHeight w:val="264"/>
        </w:trPr>
        <w:tc>
          <w:tcPr>
            <w:tcW w:w="3620" w:type="dxa"/>
            <w:tcBorders>
              <w:top w:val="nil"/>
              <w:left w:val="double" w:sz="6" w:space="0" w:color="800000"/>
              <w:bottom w:val="nil"/>
              <w:right w:val="single" w:sz="8" w:space="0" w:color="800000"/>
            </w:tcBorders>
            <w:shd w:val="clear" w:color="000000" w:fill="FFFFCC"/>
            <w:noWrap/>
            <w:vAlign w:val="center"/>
            <w:hideMark/>
          </w:tcPr>
          <w:p w14:paraId="41F1DCFC" w14:textId="77777777" w:rsidR="008502D4" w:rsidRPr="00B20830" w:rsidRDefault="008502D4" w:rsidP="00654A69">
            <w:pPr>
              <w:rPr>
                <w:sz w:val="18"/>
                <w:szCs w:val="18"/>
              </w:rPr>
            </w:pPr>
            <w:r w:rsidRPr="00B20830">
              <w:rPr>
                <w:sz w:val="18"/>
                <w:szCs w:val="18"/>
              </w:rPr>
              <w:t xml:space="preserve">      Акцизи</w:t>
            </w:r>
          </w:p>
        </w:tc>
        <w:tc>
          <w:tcPr>
            <w:tcW w:w="1400" w:type="dxa"/>
            <w:tcBorders>
              <w:top w:val="nil"/>
              <w:left w:val="nil"/>
              <w:bottom w:val="nil"/>
              <w:right w:val="single" w:sz="8" w:space="0" w:color="800000"/>
            </w:tcBorders>
            <w:shd w:val="clear" w:color="000000" w:fill="FFFFCC"/>
            <w:noWrap/>
            <w:vAlign w:val="center"/>
            <w:hideMark/>
          </w:tcPr>
          <w:p w14:paraId="76B7882F" w14:textId="77777777" w:rsidR="008502D4" w:rsidRDefault="008502D4" w:rsidP="00654A69">
            <w:pPr>
              <w:jc w:val="right"/>
              <w:rPr>
                <w:sz w:val="18"/>
                <w:szCs w:val="18"/>
              </w:rPr>
            </w:pPr>
            <w:r>
              <w:rPr>
                <w:sz w:val="18"/>
                <w:szCs w:val="18"/>
              </w:rPr>
              <w:t>2 837,6</w:t>
            </w:r>
          </w:p>
        </w:tc>
        <w:tc>
          <w:tcPr>
            <w:tcW w:w="1360" w:type="dxa"/>
            <w:tcBorders>
              <w:top w:val="nil"/>
              <w:left w:val="nil"/>
              <w:bottom w:val="nil"/>
              <w:right w:val="single" w:sz="8" w:space="0" w:color="800000"/>
            </w:tcBorders>
            <w:shd w:val="clear" w:color="000000" w:fill="FFFFCC"/>
            <w:noWrap/>
            <w:vAlign w:val="center"/>
            <w:hideMark/>
          </w:tcPr>
          <w:p w14:paraId="79F06EB4" w14:textId="77777777" w:rsidR="008502D4" w:rsidRDefault="008502D4" w:rsidP="00654A69">
            <w:pPr>
              <w:jc w:val="right"/>
              <w:rPr>
                <w:sz w:val="18"/>
                <w:szCs w:val="18"/>
              </w:rPr>
            </w:pPr>
            <w:r>
              <w:rPr>
                <w:sz w:val="18"/>
                <w:szCs w:val="18"/>
              </w:rPr>
              <w:t>6 445,0</w:t>
            </w:r>
          </w:p>
        </w:tc>
        <w:tc>
          <w:tcPr>
            <w:tcW w:w="980" w:type="dxa"/>
            <w:tcBorders>
              <w:top w:val="nil"/>
              <w:left w:val="nil"/>
              <w:bottom w:val="nil"/>
              <w:right w:val="single" w:sz="8" w:space="0" w:color="800000"/>
            </w:tcBorders>
            <w:shd w:val="clear" w:color="000000" w:fill="FFFFCC"/>
            <w:noWrap/>
            <w:vAlign w:val="center"/>
            <w:hideMark/>
          </w:tcPr>
          <w:p w14:paraId="17D3E482" w14:textId="77777777" w:rsidR="008502D4" w:rsidRDefault="008502D4" w:rsidP="00654A69">
            <w:pPr>
              <w:jc w:val="right"/>
              <w:rPr>
                <w:sz w:val="18"/>
                <w:szCs w:val="18"/>
              </w:rPr>
            </w:pPr>
            <w:r>
              <w:rPr>
                <w:sz w:val="18"/>
                <w:szCs w:val="18"/>
              </w:rPr>
              <w:t>3 210,9</w:t>
            </w:r>
          </w:p>
        </w:tc>
        <w:tc>
          <w:tcPr>
            <w:tcW w:w="1080" w:type="dxa"/>
            <w:tcBorders>
              <w:top w:val="nil"/>
              <w:left w:val="nil"/>
              <w:bottom w:val="nil"/>
              <w:right w:val="single" w:sz="8" w:space="0" w:color="800000"/>
            </w:tcBorders>
            <w:shd w:val="clear" w:color="000000" w:fill="FFFFCC"/>
            <w:noWrap/>
            <w:vAlign w:val="center"/>
            <w:hideMark/>
          </w:tcPr>
          <w:p w14:paraId="36F1FF1B" w14:textId="77777777" w:rsidR="008502D4" w:rsidRDefault="008502D4" w:rsidP="00654A69">
            <w:pPr>
              <w:jc w:val="right"/>
              <w:rPr>
                <w:sz w:val="18"/>
                <w:szCs w:val="18"/>
              </w:rPr>
            </w:pPr>
            <w:r>
              <w:rPr>
                <w:sz w:val="18"/>
                <w:szCs w:val="18"/>
              </w:rPr>
              <w:t>113,2%</w:t>
            </w:r>
          </w:p>
        </w:tc>
        <w:tc>
          <w:tcPr>
            <w:tcW w:w="1244" w:type="dxa"/>
            <w:tcBorders>
              <w:top w:val="nil"/>
              <w:left w:val="nil"/>
              <w:bottom w:val="nil"/>
              <w:right w:val="double" w:sz="6" w:space="0" w:color="800000"/>
            </w:tcBorders>
            <w:shd w:val="clear" w:color="000000" w:fill="FFFFCC"/>
            <w:noWrap/>
            <w:vAlign w:val="center"/>
            <w:hideMark/>
          </w:tcPr>
          <w:p w14:paraId="7CD48B44" w14:textId="77777777" w:rsidR="008502D4" w:rsidRDefault="008502D4" w:rsidP="00654A69">
            <w:pPr>
              <w:jc w:val="right"/>
              <w:rPr>
                <w:sz w:val="18"/>
                <w:szCs w:val="18"/>
              </w:rPr>
            </w:pPr>
            <w:r>
              <w:rPr>
                <w:sz w:val="18"/>
                <w:szCs w:val="18"/>
              </w:rPr>
              <w:t>49,8%</w:t>
            </w:r>
          </w:p>
        </w:tc>
      </w:tr>
      <w:tr w:rsidR="008502D4" w:rsidRPr="00E56679" w14:paraId="70D29DD6" w14:textId="77777777" w:rsidTr="00654A69">
        <w:trPr>
          <w:trHeight w:val="264"/>
        </w:trPr>
        <w:tc>
          <w:tcPr>
            <w:tcW w:w="3620" w:type="dxa"/>
            <w:tcBorders>
              <w:top w:val="nil"/>
              <w:left w:val="double" w:sz="6" w:space="0" w:color="800000"/>
              <w:bottom w:val="nil"/>
              <w:right w:val="single" w:sz="8" w:space="0" w:color="800000"/>
            </w:tcBorders>
            <w:shd w:val="clear" w:color="000000" w:fill="FFFFCC"/>
            <w:noWrap/>
            <w:vAlign w:val="center"/>
            <w:hideMark/>
          </w:tcPr>
          <w:p w14:paraId="0710DF76" w14:textId="77777777" w:rsidR="008502D4" w:rsidRPr="00B20830" w:rsidRDefault="008502D4" w:rsidP="00654A69">
            <w:pPr>
              <w:rPr>
                <w:sz w:val="18"/>
                <w:szCs w:val="18"/>
              </w:rPr>
            </w:pPr>
            <w:r w:rsidRPr="00B20830">
              <w:rPr>
                <w:sz w:val="18"/>
                <w:szCs w:val="18"/>
              </w:rPr>
              <w:t xml:space="preserve">      Мита и митнически такси</w:t>
            </w:r>
          </w:p>
        </w:tc>
        <w:tc>
          <w:tcPr>
            <w:tcW w:w="1400" w:type="dxa"/>
            <w:tcBorders>
              <w:top w:val="nil"/>
              <w:left w:val="nil"/>
              <w:bottom w:val="nil"/>
              <w:right w:val="single" w:sz="8" w:space="0" w:color="800000"/>
            </w:tcBorders>
            <w:shd w:val="clear" w:color="000000" w:fill="FFFFCC"/>
            <w:noWrap/>
            <w:vAlign w:val="center"/>
            <w:hideMark/>
          </w:tcPr>
          <w:p w14:paraId="2D596DD0" w14:textId="77777777" w:rsidR="008502D4" w:rsidRDefault="008502D4" w:rsidP="00654A69">
            <w:pPr>
              <w:jc w:val="right"/>
              <w:rPr>
                <w:sz w:val="18"/>
                <w:szCs w:val="18"/>
              </w:rPr>
            </w:pPr>
            <w:r>
              <w:rPr>
                <w:sz w:val="18"/>
                <w:szCs w:val="18"/>
              </w:rPr>
              <w:t>166,1</w:t>
            </w:r>
          </w:p>
        </w:tc>
        <w:tc>
          <w:tcPr>
            <w:tcW w:w="1360" w:type="dxa"/>
            <w:tcBorders>
              <w:top w:val="nil"/>
              <w:left w:val="nil"/>
              <w:bottom w:val="nil"/>
              <w:right w:val="single" w:sz="8" w:space="0" w:color="800000"/>
            </w:tcBorders>
            <w:shd w:val="clear" w:color="000000" w:fill="FFFFCC"/>
            <w:noWrap/>
            <w:vAlign w:val="center"/>
            <w:hideMark/>
          </w:tcPr>
          <w:p w14:paraId="5AD68F87" w14:textId="77777777" w:rsidR="008502D4" w:rsidRDefault="008502D4" w:rsidP="00654A69">
            <w:pPr>
              <w:jc w:val="right"/>
              <w:rPr>
                <w:sz w:val="18"/>
                <w:szCs w:val="18"/>
              </w:rPr>
            </w:pPr>
            <w:r>
              <w:rPr>
                <w:sz w:val="18"/>
                <w:szCs w:val="18"/>
              </w:rPr>
              <w:t>370,0</w:t>
            </w:r>
          </w:p>
        </w:tc>
        <w:tc>
          <w:tcPr>
            <w:tcW w:w="980" w:type="dxa"/>
            <w:tcBorders>
              <w:top w:val="nil"/>
              <w:left w:val="nil"/>
              <w:bottom w:val="nil"/>
              <w:right w:val="single" w:sz="8" w:space="0" w:color="800000"/>
            </w:tcBorders>
            <w:shd w:val="clear" w:color="000000" w:fill="FFFFCC"/>
            <w:noWrap/>
            <w:vAlign w:val="center"/>
            <w:hideMark/>
          </w:tcPr>
          <w:p w14:paraId="744D10C2" w14:textId="77777777" w:rsidR="008502D4" w:rsidRDefault="008502D4" w:rsidP="00654A69">
            <w:pPr>
              <w:jc w:val="right"/>
              <w:rPr>
                <w:sz w:val="18"/>
                <w:szCs w:val="18"/>
              </w:rPr>
            </w:pPr>
            <w:r>
              <w:rPr>
                <w:sz w:val="18"/>
                <w:szCs w:val="18"/>
              </w:rPr>
              <w:t>140,2</w:t>
            </w:r>
          </w:p>
        </w:tc>
        <w:tc>
          <w:tcPr>
            <w:tcW w:w="1080" w:type="dxa"/>
            <w:tcBorders>
              <w:top w:val="nil"/>
              <w:left w:val="nil"/>
              <w:bottom w:val="nil"/>
              <w:right w:val="single" w:sz="8" w:space="0" w:color="800000"/>
            </w:tcBorders>
            <w:shd w:val="clear" w:color="000000" w:fill="FFFFCC"/>
            <w:noWrap/>
            <w:vAlign w:val="center"/>
            <w:hideMark/>
          </w:tcPr>
          <w:p w14:paraId="4B88DB69" w14:textId="77777777" w:rsidR="008502D4" w:rsidRDefault="008502D4" w:rsidP="00654A69">
            <w:pPr>
              <w:jc w:val="right"/>
              <w:rPr>
                <w:sz w:val="18"/>
                <w:szCs w:val="18"/>
              </w:rPr>
            </w:pPr>
            <w:r>
              <w:rPr>
                <w:sz w:val="18"/>
                <w:szCs w:val="18"/>
              </w:rPr>
              <w:t>84,4%</w:t>
            </w:r>
          </w:p>
        </w:tc>
        <w:tc>
          <w:tcPr>
            <w:tcW w:w="1244" w:type="dxa"/>
            <w:tcBorders>
              <w:top w:val="nil"/>
              <w:left w:val="nil"/>
              <w:bottom w:val="nil"/>
              <w:right w:val="double" w:sz="6" w:space="0" w:color="800000"/>
            </w:tcBorders>
            <w:shd w:val="clear" w:color="000000" w:fill="FFFFCC"/>
            <w:noWrap/>
            <w:vAlign w:val="center"/>
            <w:hideMark/>
          </w:tcPr>
          <w:p w14:paraId="5C562B93" w14:textId="77777777" w:rsidR="008502D4" w:rsidRDefault="008502D4" w:rsidP="00654A69">
            <w:pPr>
              <w:jc w:val="right"/>
              <w:rPr>
                <w:sz w:val="18"/>
                <w:szCs w:val="18"/>
              </w:rPr>
            </w:pPr>
            <w:r>
              <w:rPr>
                <w:sz w:val="18"/>
                <w:szCs w:val="18"/>
              </w:rPr>
              <w:t>37,9%</w:t>
            </w:r>
          </w:p>
        </w:tc>
      </w:tr>
      <w:tr w:rsidR="008502D4" w:rsidRPr="00E56679" w14:paraId="375DE806" w14:textId="77777777" w:rsidTr="00654A69">
        <w:trPr>
          <w:trHeight w:val="264"/>
        </w:trPr>
        <w:tc>
          <w:tcPr>
            <w:tcW w:w="3620" w:type="dxa"/>
            <w:tcBorders>
              <w:top w:val="nil"/>
              <w:left w:val="double" w:sz="6" w:space="0" w:color="800000"/>
              <w:bottom w:val="nil"/>
              <w:right w:val="single" w:sz="8" w:space="0" w:color="800000"/>
            </w:tcBorders>
            <w:shd w:val="clear" w:color="000000" w:fill="FFFFCC"/>
            <w:noWrap/>
            <w:vAlign w:val="center"/>
            <w:hideMark/>
          </w:tcPr>
          <w:p w14:paraId="5AFE091C" w14:textId="77777777" w:rsidR="008502D4" w:rsidRPr="00B20830" w:rsidRDefault="008502D4" w:rsidP="00654A69">
            <w:pPr>
              <w:rPr>
                <w:sz w:val="18"/>
                <w:szCs w:val="18"/>
              </w:rPr>
            </w:pPr>
            <w:r w:rsidRPr="00B20830">
              <w:rPr>
                <w:sz w:val="18"/>
                <w:szCs w:val="18"/>
              </w:rPr>
              <w:t xml:space="preserve">      Данък върху застрахователните премии</w:t>
            </w:r>
          </w:p>
        </w:tc>
        <w:tc>
          <w:tcPr>
            <w:tcW w:w="1400" w:type="dxa"/>
            <w:tcBorders>
              <w:top w:val="nil"/>
              <w:left w:val="nil"/>
              <w:bottom w:val="nil"/>
              <w:right w:val="single" w:sz="8" w:space="0" w:color="800000"/>
            </w:tcBorders>
            <w:shd w:val="clear" w:color="000000" w:fill="FFFFCC"/>
            <w:noWrap/>
            <w:vAlign w:val="center"/>
            <w:hideMark/>
          </w:tcPr>
          <w:p w14:paraId="5EB06670" w14:textId="77777777" w:rsidR="008502D4" w:rsidRDefault="008502D4" w:rsidP="00654A69">
            <w:pPr>
              <w:jc w:val="right"/>
              <w:rPr>
                <w:sz w:val="18"/>
                <w:szCs w:val="18"/>
              </w:rPr>
            </w:pPr>
            <w:r>
              <w:rPr>
                <w:sz w:val="18"/>
                <w:szCs w:val="18"/>
              </w:rPr>
              <w:t>27,5</w:t>
            </w:r>
          </w:p>
        </w:tc>
        <w:tc>
          <w:tcPr>
            <w:tcW w:w="1360" w:type="dxa"/>
            <w:tcBorders>
              <w:top w:val="nil"/>
              <w:left w:val="nil"/>
              <w:bottom w:val="nil"/>
              <w:right w:val="single" w:sz="8" w:space="0" w:color="800000"/>
            </w:tcBorders>
            <w:shd w:val="clear" w:color="000000" w:fill="FFFFCC"/>
            <w:noWrap/>
            <w:vAlign w:val="center"/>
            <w:hideMark/>
          </w:tcPr>
          <w:p w14:paraId="3056CCC7" w14:textId="77777777" w:rsidR="008502D4" w:rsidRDefault="008502D4" w:rsidP="00654A69">
            <w:pPr>
              <w:jc w:val="right"/>
              <w:rPr>
                <w:sz w:val="18"/>
                <w:szCs w:val="18"/>
              </w:rPr>
            </w:pPr>
            <w:r>
              <w:rPr>
                <w:sz w:val="18"/>
                <w:szCs w:val="18"/>
              </w:rPr>
              <w:t>63,0</w:t>
            </w:r>
          </w:p>
        </w:tc>
        <w:tc>
          <w:tcPr>
            <w:tcW w:w="980" w:type="dxa"/>
            <w:tcBorders>
              <w:top w:val="nil"/>
              <w:left w:val="nil"/>
              <w:bottom w:val="nil"/>
              <w:right w:val="single" w:sz="8" w:space="0" w:color="800000"/>
            </w:tcBorders>
            <w:shd w:val="clear" w:color="000000" w:fill="FFFFCC"/>
            <w:noWrap/>
            <w:vAlign w:val="center"/>
            <w:hideMark/>
          </w:tcPr>
          <w:p w14:paraId="0CFAABF6" w14:textId="77777777" w:rsidR="008502D4" w:rsidRDefault="008502D4" w:rsidP="00654A69">
            <w:pPr>
              <w:jc w:val="right"/>
              <w:rPr>
                <w:sz w:val="18"/>
                <w:szCs w:val="18"/>
              </w:rPr>
            </w:pPr>
            <w:r>
              <w:rPr>
                <w:sz w:val="18"/>
                <w:szCs w:val="18"/>
              </w:rPr>
              <w:t>31,8</w:t>
            </w:r>
          </w:p>
        </w:tc>
        <w:tc>
          <w:tcPr>
            <w:tcW w:w="1080" w:type="dxa"/>
            <w:tcBorders>
              <w:top w:val="nil"/>
              <w:left w:val="nil"/>
              <w:bottom w:val="nil"/>
              <w:right w:val="single" w:sz="8" w:space="0" w:color="800000"/>
            </w:tcBorders>
            <w:shd w:val="clear" w:color="000000" w:fill="FFFFCC"/>
            <w:noWrap/>
            <w:vAlign w:val="center"/>
            <w:hideMark/>
          </w:tcPr>
          <w:p w14:paraId="07A3C2A7" w14:textId="77777777" w:rsidR="008502D4" w:rsidRDefault="008502D4" w:rsidP="00654A69">
            <w:pPr>
              <w:jc w:val="right"/>
              <w:rPr>
                <w:sz w:val="18"/>
                <w:szCs w:val="18"/>
              </w:rPr>
            </w:pPr>
            <w:r>
              <w:rPr>
                <w:sz w:val="18"/>
                <w:szCs w:val="18"/>
              </w:rPr>
              <w:t>115,3%</w:t>
            </w:r>
          </w:p>
        </w:tc>
        <w:tc>
          <w:tcPr>
            <w:tcW w:w="1244" w:type="dxa"/>
            <w:tcBorders>
              <w:top w:val="nil"/>
              <w:left w:val="nil"/>
              <w:bottom w:val="nil"/>
              <w:right w:val="double" w:sz="6" w:space="0" w:color="800000"/>
            </w:tcBorders>
            <w:shd w:val="clear" w:color="000000" w:fill="FFFFCC"/>
            <w:noWrap/>
            <w:vAlign w:val="center"/>
            <w:hideMark/>
          </w:tcPr>
          <w:p w14:paraId="306F42AE" w14:textId="77777777" w:rsidR="008502D4" w:rsidRDefault="008502D4" w:rsidP="00654A69">
            <w:pPr>
              <w:jc w:val="right"/>
              <w:rPr>
                <w:sz w:val="18"/>
                <w:szCs w:val="18"/>
              </w:rPr>
            </w:pPr>
            <w:r>
              <w:rPr>
                <w:sz w:val="18"/>
                <w:szCs w:val="18"/>
              </w:rPr>
              <w:t>50,4%</w:t>
            </w:r>
          </w:p>
        </w:tc>
      </w:tr>
      <w:tr w:rsidR="008502D4" w:rsidRPr="00E56679" w14:paraId="4A3CEC79" w14:textId="77777777" w:rsidTr="00654A69">
        <w:trPr>
          <w:trHeight w:val="264"/>
        </w:trPr>
        <w:tc>
          <w:tcPr>
            <w:tcW w:w="3620" w:type="dxa"/>
            <w:tcBorders>
              <w:top w:val="nil"/>
              <w:left w:val="double" w:sz="6" w:space="0" w:color="800000"/>
              <w:bottom w:val="nil"/>
              <w:right w:val="single" w:sz="8" w:space="0" w:color="800000"/>
            </w:tcBorders>
            <w:shd w:val="clear" w:color="000000" w:fill="FFFFCC"/>
            <w:noWrap/>
            <w:vAlign w:val="center"/>
            <w:hideMark/>
          </w:tcPr>
          <w:p w14:paraId="289B0DB7" w14:textId="77777777" w:rsidR="008502D4" w:rsidRPr="00B20830" w:rsidRDefault="008502D4" w:rsidP="00654A69">
            <w:pPr>
              <w:rPr>
                <w:b/>
                <w:bCs/>
                <w:sz w:val="18"/>
                <w:szCs w:val="18"/>
              </w:rPr>
            </w:pPr>
            <w:r w:rsidRPr="00B20830">
              <w:rPr>
                <w:b/>
                <w:bCs/>
                <w:sz w:val="18"/>
                <w:szCs w:val="18"/>
              </w:rPr>
              <w:t xml:space="preserve">  Неданъчни приходи</w:t>
            </w:r>
          </w:p>
        </w:tc>
        <w:tc>
          <w:tcPr>
            <w:tcW w:w="1400" w:type="dxa"/>
            <w:tcBorders>
              <w:top w:val="nil"/>
              <w:left w:val="nil"/>
              <w:bottom w:val="nil"/>
              <w:right w:val="single" w:sz="8" w:space="0" w:color="800000"/>
            </w:tcBorders>
            <w:shd w:val="clear" w:color="000000" w:fill="FFFFCC"/>
            <w:noWrap/>
            <w:vAlign w:val="center"/>
            <w:hideMark/>
          </w:tcPr>
          <w:p w14:paraId="5F69EFA8" w14:textId="77777777" w:rsidR="008502D4" w:rsidRDefault="008502D4" w:rsidP="00654A69">
            <w:pPr>
              <w:jc w:val="right"/>
              <w:rPr>
                <w:b/>
                <w:bCs/>
                <w:sz w:val="18"/>
                <w:szCs w:val="18"/>
              </w:rPr>
            </w:pPr>
            <w:r>
              <w:rPr>
                <w:b/>
                <w:bCs/>
                <w:sz w:val="18"/>
                <w:szCs w:val="18"/>
              </w:rPr>
              <w:t>5 621,0</w:t>
            </w:r>
          </w:p>
        </w:tc>
        <w:tc>
          <w:tcPr>
            <w:tcW w:w="1360" w:type="dxa"/>
            <w:tcBorders>
              <w:top w:val="nil"/>
              <w:left w:val="nil"/>
              <w:bottom w:val="nil"/>
              <w:right w:val="single" w:sz="8" w:space="0" w:color="800000"/>
            </w:tcBorders>
            <w:shd w:val="clear" w:color="000000" w:fill="FFFFCC"/>
            <w:noWrap/>
            <w:vAlign w:val="center"/>
            <w:hideMark/>
          </w:tcPr>
          <w:p w14:paraId="7E1BF97D" w14:textId="77777777" w:rsidR="008502D4" w:rsidRDefault="008502D4" w:rsidP="00654A69">
            <w:pPr>
              <w:jc w:val="right"/>
              <w:rPr>
                <w:b/>
                <w:bCs/>
                <w:sz w:val="18"/>
                <w:szCs w:val="18"/>
              </w:rPr>
            </w:pPr>
            <w:r>
              <w:rPr>
                <w:b/>
                <w:bCs/>
                <w:sz w:val="18"/>
                <w:szCs w:val="18"/>
              </w:rPr>
              <w:t>10 258,2</w:t>
            </w:r>
          </w:p>
        </w:tc>
        <w:tc>
          <w:tcPr>
            <w:tcW w:w="980" w:type="dxa"/>
            <w:tcBorders>
              <w:top w:val="nil"/>
              <w:left w:val="nil"/>
              <w:bottom w:val="nil"/>
              <w:right w:val="single" w:sz="8" w:space="0" w:color="800000"/>
            </w:tcBorders>
            <w:shd w:val="clear" w:color="000000" w:fill="FFFFCC"/>
            <w:noWrap/>
            <w:vAlign w:val="center"/>
            <w:hideMark/>
          </w:tcPr>
          <w:p w14:paraId="123F1B1C" w14:textId="77777777" w:rsidR="008502D4" w:rsidRDefault="008502D4" w:rsidP="00654A69">
            <w:pPr>
              <w:jc w:val="right"/>
              <w:rPr>
                <w:b/>
                <w:bCs/>
                <w:sz w:val="18"/>
                <w:szCs w:val="18"/>
              </w:rPr>
            </w:pPr>
            <w:r>
              <w:rPr>
                <w:b/>
                <w:bCs/>
                <w:sz w:val="18"/>
                <w:szCs w:val="18"/>
              </w:rPr>
              <w:t>5 291,3</w:t>
            </w:r>
          </w:p>
        </w:tc>
        <w:tc>
          <w:tcPr>
            <w:tcW w:w="1080" w:type="dxa"/>
            <w:tcBorders>
              <w:top w:val="nil"/>
              <w:left w:val="nil"/>
              <w:bottom w:val="nil"/>
              <w:right w:val="single" w:sz="8" w:space="0" w:color="800000"/>
            </w:tcBorders>
            <w:shd w:val="clear" w:color="000000" w:fill="FFFFCC"/>
            <w:noWrap/>
            <w:vAlign w:val="center"/>
            <w:hideMark/>
          </w:tcPr>
          <w:p w14:paraId="19FFCDD3" w14:textId="77777777" w:rsidR="008502D4" w:rsidRDefault="008502D4" w:rsidP="00654A69">
            <w:pPr>
              <w:jc w:val="right"/>
              <w:rPr>
                <w:b/>
                <w:bCs/>
                <w:sz w:val="18"/>
                <w:szCs w:val="18"/>
              </w:rPr>
            </w:pPr>
            <w:r>
              <w:rPr>
                <w:b/>
                <w:bCs/>
                <w:sz w:val="18"/>
                <w:szCs w:val="18"/>
              </w:rPr>
              <w:t>94,1%</w:t>
            </w:r>
          </w:p>
        </w:tc>
        <w:tc>
          <w:tcPr>
            <w:tcW w:w="1244" w:type="dxa"/>
            <w:tcBorders>
              <w:top w:val="nil"/>
              <w:left w:val="nil"/>
              <w:bottom w:val="nil"/>
              <w:right w:val="double" w:sz="6" w:space="0" w:color="800000"/>
            </w:tcBorders>
            <w:shd w:val="clear" w:color="000000" w:fill="FFFFCC"/>
            <w:noWrap/>
            <w:vAlign w:val="center"/>
            <w:hideMark/>
          </w:tcPr>
          <w:p w14:paraId="0587EA87" w14:textId="77777777" w:rsidR="008502D4" w:rsidRDefault="008502D4" w:rsidP="00654A69">
            <w:pPr>
              <w:jc w:val="right"/>
              <w:rPr>
                <w:b/>
                <w:bCs/>
                <w:sz w:val="18"/>
                <w:szCs w:val="18"/>
              </w:rPr>
            </w:pPr>
            <w:r>
              <w:rPr>
                <w:b/>
                <w:bCs/>
                <w:sz w:val="18"/>
                <w:szCs w:val="18"/>
              </w:rPr>
              <w:t>51,6%</w:t>
            </w:r>
          </w:p>
        </w:tc>
      </w:tr>
      <w:tr w:rsidR="008502D4" w:rsidRPr="00E56679" w14:paraId="795A7977" w14:textId="77777777" w:rsidTr="00654A69">
        <w:trPr>
          <w:trHeight w:val="276"/>
        </w:trPr>
        <w:tc>
          <w:tcPr>
            <w:tcW w:w="3620" w:type="dxa"/>
            <w:tcBorders>
              <w:top w:val="nil"/>
              <w:left w:val="double" w:sz="6" w:space="0" w:color="800000"/>
              <w:bottom w:val="double" w:sz="6" w:space="0" w:color="800000"/>
              <w:right w:val="single" w:sz="8" w:space="0" w:color="800000"/>
            </w:tcBorders>
            <w:shd w:val="clear" w:color="000000" w:fill="FFFFCC"/>
            <w:noWrap/>
            <w:vAlign w:val="center"/>
            <w:hideMark/>
          </w:tcPr>
          <w:p w14:paraId="1E48B6F9" w14:textId="77777777" w:rsidR="008502D4" w:rsidRPr="00B20830" w:rsidRDefault="008502D4" w:rsidP="00654A69">
            <w:pPr>
              <w:rPr>
                <w:b/>
                <w:bCs/>
                <w:sz w:val="18"/>
                <w:szCs w:val="18"/>
              </w:rPr>
            </w:pPr>
            <w:r w:rsidRPr="00B20830">
              <w:rPr>
                <w:b/>
                <w:bCs/>
                <w:sz w:val="18"/>
                <w:szCs w:val="18"/>
              </w:rPr>
              <w:t xml:space="preserve">  Помощи и дарения</w:t>
            </w:r>
          </w:p>
        </w:tc>
        <w:tc>
          <w:tcPr>
            <w:tcW w:w="1400" w:type="dxa"/>
            <w:tcBorders>
              <w:top w:val="nil"/>
              <w:left w:val="nil"/>
              <w:bottom w:val="double" w:sz="6" w:space="0" w:color="800000"/>
              <w:right w:val="single" w:sz="8" w:space="0" w:color="800000"/>
            </w:tcBorders>
            <w:shd w:val="clear" w:color="000000" w:fill="FFFFCC"/>
            <w:noWrap/>
            <w:vAlign w:val="center"/>
            <w:hideMark/>
          </w:tcPr>
          <w:p w14:paraId="66A04034" w14:textId="77777777" w:rsidR="008502D4" w:rsidRDefault="008502D4" w:rsidP="00654A69">
            <w:pPr>
              <w:jc w:val="right"/>
              <w:rPr>
                <w:b/>
                <w:bCs/>
                <w:sz w:val="18"/>
                <w:szCs w:val="18"/>
              </w:rPr>
            </w:pPr>
            <w:r>
              <w:rPr>
                <w:b/>
                <w:bCs/>
                <w:sz w:val="18"/>
                <w:szCs w:val="18"/>
              </w:rPr>
              <w:t>1 203,4</w:t>
            </w:r>
          </w:p>
        </w:tc>
        <w:tc>
          <w:tcPr>
            <w:tcW w:w="1360" w:type="dxa"/>
            <w:tcBorders>
              <w:top w:val="nil"/>
              <w:left w:val="nil"/>
              <w:bottom w:val="double" w:sz="6" w:space="0" w:color="800000"/>
              <w:right w:val="single" w:sz="8" w:space="0" w:color="800000"/>
            </w:tcBorders>
            <w:shd w:val="clear" w:color="000000" w:fill="FFFFCC"/>
            <w:noWrap/>
            <w:vAlign w:val="center"/>
            <w:hideMark/>
          </w:tcPr>
          <w:p w14:paraId="2CCBEB40" w14:textId="77777777" w:rsidR="008502D4" w:rsidRDefault="008502D4" w:rsidP="00654A69">
            <w:pPr>
              <w:jc w:val="right"/>
              <w:rPr>
                <w:b/>
                <w:bCs/>
                <w:sz w:val="18"/>
                <w:szCs w:val="18"/>
              </w:rPr>
            </w:pPr>
            <w:r>
              <w:rPr>
                <w:b/>
                <w:bCs/>
                <w:sz w:val="18"/>
                <w:szCs w:val="18"/>
              </w:rPr>
              <w:t>7 080,7</w:t>
            </w:r>
          </w:p>
        </w:tc>
        <w:tc>
          <w:tcPr>
            <w:tcW w:w="980" w:type="dxa"/>
            <w:tcBorders>
              <w:top w:val="nil"/>
              <w:left w:val="nil"/>
              <w:bottom w:val="double" w:sz="6" w:space="0" w:color="800000"/>
              <w:right w:val="single" w:sz="8" w:space="0" w:color="800000"/>
            </w:tcBorders>
            <w:shd w:val="clear" w:color="000000" w:fill="FFFFCC"/>
            <w:noWrap/>
            <w:vAlign w:val="center"/>
            <w:hideMark/>
          </w:tcPr>
          <w:p w14:paraId="260CC05B" w14:textId="77777777" w:rsidR="008502D4" w:rsidRDefault="008502D4" w:rsidP="00654A69">
            <w:pPr>
              <w:jc w:val="right"/>
              <w:rPr>
                <w:b/>
                <w:bCs/>
                <w:sz w:val="18"/>
                <w:szCs w:val="18"/>
              </w:rPr>
            </w:pPr>
            <w:r>
              <w:rPr>
                <w:b/>
                <w:bCs/>
                <w:sz w:val="18"/>
                <w:szCs w:val="18"/>
              </w:rPr>
              <w:t>1 999,6</w:t>
            </w:r>
          </w:p>
        </w:tc>
        <w:tc>
          <w:tcPr>
            <w:tcW w:w="1080" w:type="dxa"/>
            <w:tcBorders>
              <w:top w:val="nil"/>
              <w:left w:val="nil"/>
              <w:bottom w:val="double" w:sz="6" w:space="0" w:color="800000"/>
              <w:right w:val="single" w:sz="8" w:space="0" w:color="800000"/>
            </w:tcBorders>
            <w:shd w:val="clear" w:color="000000" w:fill="FFFFCC"/>
            <w:noWrap/>
            <w:vAlign w:val="center"/>
            <w:hideMark/>
          </w:tcPr>
          <w:p w14:paraId="523C2F2F" w14:textId="77777777" w:rsidR="008502D4" w:rsidRDefault="008502D4" w:rsidP="00654A69">
            <w:pPr>
              <w:jc w:val="right"/>
              <w:rPr>
                <w:b/>
                <w:bCs/>
                <w:sz w:val="18"/>
                <w:szCs w:val="18"/>
              </w:rPr>
            </w:pPr>
            <w:r>
              <w:rPr>
                <w:b/>
                <w:bCs/>
                <w:sz w:val="18"/>
                <w:szCs w:val="18"/>
              </w:rPr>
              <w:t>166,2%</w:t>
            </w:r>
          </w:p>
        </w:tc>
        <w:tc>
          <w:tcPr>
            <w:tcW w:w="1244" w:type="dxa"/>
            <w:tcBorders>
              <w:top w:val="nil"/>
              <w:left w:val="nil"/>
              <w:bottom w:val="double" w:sz="6" w:space="0" w:color="800000"/>
              <w:right w:val="double" w:sz="6" w:space="0" w:color="800000"/>
            </w:tcBorders>
            <w:shd w:val="clear" w:color="000000" w:fill="FFFFCC"/>
            <w:noWrap/>
            <w:vAlign w:val="center"/>
            <w:hideMark/>
          </w:tcPr>
          <w:p w14:paraId="69EB0CE4" w14:textId="77777777" w:rsidR="008502D4" w:rsidRDefault="008502D4" w:rsidP="00654A69">
            <w:pPr>
              <w:jc w:val="right"/>
              <w:rPr>
                <w:b/>
                <w:bCs/>
                <w:sz w:val="18"/>
                <w:szCs w:val="18"/>
              </w:rPr>
            </w:pPr>
            <w:r>
              <w:rPr>
                <w:b/>
                <w:bCs/>
                <w:sz w:val="18"/>
                <w:szCs w:val="18"/>
              </w:rPr>
              <w:t>28,2%</w:t>
            </w:r>
          </w:p>
        </w:tc>
      </w:tr>
    </w:tbl>
    <w:p w14:paraId="1EF2C6FD" w14:textId="77777777" w:rsidR="008502D4" w:rsidRPr="00E56679" w:rsidRDefault="008502D4" w:rsidP="008502D4">
      <w:pPr>
        <w:jc w:val="center"/>
        <w:rPr>
          <w:b/>
          <w:i/>
          <w:color w:val="0070C0"/>
          <w:sz w:val="4"/>
          <w:szCs w:val="4"/>
        </w:rPr>
      </w:pPr>
    </w:p>
    <w:p w14:paraId="62C89C05" w14:textId="77777777" w:rsidR="008502D4" w:rsidRPr="00E56679" w:rsidRDefault="008502D4" w:rsidP="008502D4">
      <w:pPr>
        <w:jc w:val="both"/>
        <w:rPr>
          <w:i/>
          <w:color w:val="0070C0"/>
          <w:sz w:val="18"/>
          <w:szCs w:val="18"/>
          <w:lang w:val="ru-RU"/>
        </w:rPr>
      </w:pPr>
      <w:r w:rsidRPr="00B20830">
        <w:rPr>
          <w:i/>
          <w:sz w:val="18"/>
          <w:szCs w:val="18"/>
        </w:rPr>
        <w:t>*   Вкл. данъци върху дивидентите, ликвидационните дялове и доходите на местни и чуждестранни лица.</w:t>
      </w:r>
    </w:p>
    <w:p w14:paraId="451649ED" w14:textId="77777777" w:rsidR="008502D4" w:rsidRPr="00E56679" w:rsidRDefault="008502D4" w:rsidP="008502D4">
      <w:pPr>
        <w:numPr>
          <w:ilvl w:val="1"/>
          <w:numId w:val="11"/>
        </w:numPr>
        <w:tabs>
          <w:tab w:val="num" w:pos="426"/>
        </w:tabs>
        <w:spacing w:before="240" w:after="120"/>
        <w:ind w:left="0" w:firstLine="0"/>
        <w:jc w:val="both"/>
        <w:rPr>
          <w:bCs/>
          <w:color w:val="0070C0"/>
          <w:sz w:val="28"/>
          <w:szCs w:val="28"/>
        </w:rPr>
      </w:pPr>
      <w:r w:rsidRPr="00B20830">
        <w:t xml:space="preserve">Общият размер на </w:t>
      </w:r>
      <w:r w:rsidRPr="00B20830">
        <w:rPr>
          <w:b/>
        </w:rPr>
        <w:t>приходите, помощите и даренията по КФП</w:t>
      </w:r>
      <w:r w:rsidRPr="00B20830">
        <w:t xml:space="preserve"> към 30.06.202</w:t>
      </w:r>
      <w:r w:rsidRPr="00772219">
        <w:rPr>
          <w:lang w:val="ru-RU"/>
        </w:rPr>
        <w:t>4</w:t>
      </w:r>
      <w:r w:rsidRPr="00B20830">
        <w:t xml:space="preserve"> г. е </w:t>
      </w:r>
      <w:r w:rsidRPr="00581CC3">
        <w:rPr>
          <w:b/>
        </w:rPr>
        <w:t>3</w:t>
      </w:r>
      <w:r w:rsidRPr="00772219">
        <w:rPr>
          <w:b/>
          <w:lang w:val="ru-RU"/>
        </w:rPr>
        <w:t>4</w:t>
      </w:r>
      <w:r w:rsidRPr="00581CC3">
        <w:rPr>
          <w:b/>
        </w:rPr>
        <w:t> 4</w:t>
      </w:r>
      <w:r w:rsidRPr="00772219">
        <w:rPr>
          <w:b/>
          <w:lang w:val="ru-RU"/>
        </w:rPr>
        <w:t>9</w:t>
      </w:r>
      <w:r w:rsidRPr="00581CC3">
        <w:rPr>
          <w:b/>
        </w:rPr>
        <w:t>5,</w:t>
      </w:r>
      <w:r w:rsidRPr="00772219">
        <w:rPr>
          <w:b/>
          <w:lang w:val="ru-RU"/>
        </w:rPr>
        <w:t>4</w:t>
      </w:r>
      <w:r w:rsidRPr="00581CC3">
        <w:rPr>
          <w:b/>
        </w:rPr>
        <w:t> млн. лв.,</w:t>
      </w:r>
      <w:r w:rsidRPr="00581CC3">
        <w:t xml:space="preserve"> което представлява 45,</w:t>
      </w:r>
      <w:r w:rsidRPr="00772219">
        <w:rPr>
          <w:lang w:val="ru-RU"/>
        </w:rPr>
        <w:t>8</w:t>
      </w:r>
      <w:r w:rsidRPr="00581CC3">
        <w:t> % от годишните разчети към ЗДБРБ за 202</w:t>
      </w:r>
      <w:r w:rsidRPr="00772219">
        <w:rPr>
          <w:lang w:val="ru-RU"/>
        </w:rPr>
        <w:t>4</w:t>
      </w:r>
      <w:r w:rsidRPr="00581CC3">
        <w:t> г.</w:t>
      </w:r>
      <w:r w:rsidRPr="00581CC3">
        <w:rPr>
          <w:rFonts w:eastAsia="Calibri"/>
        </w:rPr>
        <w:t xml:space="preserve"> Съпоставени със същия период на предходната година, постъпленията към юни 202</w:t>
      </w:r>
      <w:r w:rsidRPr="00772219">
        <w:rPr>
          <w:rFonts w:eastAsia="Calibri"/>
          <w:lang w:val="ru-RU"/>
        </w:rPr>
        <w:t>4</w:t>
      </w:r>
      <w:r w:rsidRPr="00581CC3">
        <w:rPr>
          <w:rFonts w:eastAsia="Calibri"/>
        </w:rPr>
        <w:t> г. нарастват с 3,</w:t>
      </w:r>
      <w:r w:rsidRPr="00772219">
        <w:rPr>
          <w:rFonts w:eastAsia="Calibri"/>
          <w:lang w:val="ru-RU"/>
        </w:rPr>
        <w:t>1</w:t>
      </w:r>
      <w:r w:rsidRPr="00581CC3">
        <w:rPr>
          <w:rFonts w:eastAsia="Calibri"/>
        </w:rPr>
        <w:t xml:space="preserve"> млрд. лв. (</w:t>
      </w:r>
      <w:r w:rsidRPr="00772219">
        <w:rPr>
          <w:rFonts w:eastAsia="Calibri"/>
          <w:lang w:val="ru-RU"/>
        </w:rPr>
        <w:t>9</w:t>
      </w:r>
      <w:r w:rsidRPr="00581CC3">
        <w:rPr>
          <w:rFonts w:eastAsia="Calibri"/>
        </w:rPr>
        <w:t>,</w:t>
      </w:r>
      <w:r w:rsidRPr="00772219">
        <w:rPr>
          <w:rFonts w:eastAsia="Calibri"/>
          <w:lang w:val="ru-RU"/>
        </w:rPr>
        <w:t>8</w:t>
      </w:r>
      <w:r w:rsidRPr="00581CC3">
        <w:rPr>
          <w:rFonts w:eastAsia="Calibri"/>
        </w:rPr>
        <w:t xml:space="preserve"> %)</w:t>
      </w:r>
      <w:r w:rsidRPr="00581CC3">
        <w:rPr>
          <w:lang w:eastAsia="en-US"/>
        </w:rPr>
        <w:t xml:space="preserve">, като основната част от този ръст се формира от данъчните приходи </w:t>
      </w:r>
      <w:r w:rsidRPr="00581CC3">
        <w:rPr>
          <w:lang w:val="ru-RU" w:eastAsia="en-US"/>
        </w:rPr>
        <w:t>(</w:t>
      </w:r>
      <w:r w:rsidRPr="00581CC3">
        <w:rPr>
          <w:lang w:eastAsia="en-US"/>
        </w:rPr>
        <w:t>ръст от 2,</w:t>
      </w:r>
      <w:r w:rsidRPr="00772219">
        <w:rPr>
          <w:lang w:val="ru-RU" w:eastAsia="en-US"/>
        </w:rPr>
        <w:t>6</w:t>
      </w:r>
      <w:r w:rsidRPr="00581CC3">
        <w:rPr>
          <w:lang w:eastAsia="en-US"/>
        </w:rPr>
        <w:t xml:space="preserve"> млрд. лв., 10,</w:t>
      </w:r>
      <w:r w:rsidRPr="00772219">
        <w:rPr>
          <w:lang w:val="ru-RU" w:eastAsia="en-US"/>
        </w:rPr>
        <w:t>7</w:t>
      </w:r>
      <w:r w:rsidRPr="00581CC3">
        <w:rPr>
          <w:lang w:eastAsia="en-US"/>
        </w:rPr>
        <w:t xml:space="preserve"> на сто).</w:t>
      </w:r>
      <w:r w:rsidRPr="00581CC3">
        <w:rPr>
          <w:rFonts w:eastAsia="Calibri"/>
        </w:rPr>
        <w:t xml:space="preserve"> Н</w:t>
      </w:r>
      <w:r w:rsidRPr="00581CC3">
        <w:rPr>
          <w:rFonts w:eastAsia="Calibri"/>
          <w:lang w:eastAsia="en-US"/>
        </w:rPr>
        <w:t xml:space="preserve">еданъчните приходи по КФП намаляват номинално с 0,3 млрд. лв. </w:t>
      </w:r>
      <w:r w:rsidRPr="00581CC3">
        <w:rPr>
          <w:rFonts w:eastAsia="Calibri"/>
          <w:lang w:val="ru-RU" w:eastAsia="en-US"/>
        </w:rPr>
        <w:t>(5</w:t>
      </w:r>
      <w:r w:rsidRPr="00581CC3">
        <w:rPr>
          <w:rFonts w:eastAsia="Calibri"/>
          <w:lang w:eastAsia="en-US"/>
        </w:rPr>
        <w:t>,9 %</w:t>
      </w:r>
      <w:r w:rsidRPr="00581CC3">
        <w:rPr>
          <w:rFonts w:eastAsia="Calibri"/>
          <w:lang w:val="ru-RU" w:eastAsia="en-US"/>
        </w:rPr>
        <w:t>)</w:t>
      </w:r>
      <w:r w:rsidRPr="00581CC3">
        <w:rPr>
          <w:rFonts w:eastAsia="Calibri"/>
          <w:lang w:eastAsia="en-US"/>
        </w:rPr>
        <w:t>, докато постъпленията в частта на помощите и даренията (основно грантове по програмите и фондовете на ЕС) са повече с 0,8 млрд. лв. спрямо отчетените за същия период на предходната година.</w:t>
      </w:r>
    </w:p>
    <w:p w14:paraId="031EE856" w14:textId="77777777" w:rsidR="008502D4" w:rsidRPr="00004518" w:rsidRDefault="008502D4" w:rsidP="008502D4">
      <w:pPr>
        <w:jc w:val="both"/>
        <w:rPr>
          <w:bCs/>
          <w:sz w:val="28"/>
          <w:szCs w:val="28"/>
        </w:rPr>
      </w:pPr>
      <w:r w:rsidRPr="008A1D8C">
        <w:t xml:space="preserve">Приходите от </w:t>
      </w:r>
      <w:r w:rsidRPr="008A1D8C">
        <w:rPr>
          <w:b/>
        </w:rPr>
        <w:t>данъци по КФП</w:t>
      </w:r>
      <w:r w:rsidRPr="008A1D8C">
        <w:t xml:space="preserve"> за </w:t>
      </w:r>
      <w:r w:rsidRPr="008A1D8C">
        <w:rPr>
          <w:lang w:eastAsia="en-US"/>
        </w:rPr>
        <w:t xml:space="preserve">първото </w:t>
      </w:r>
      <w:r w:rsidRPr="008A1D8C">
        <w:t>полугодие на 202</w:t>
      </w:r>
      <w:r w:rsidRPr="00772219">
        <w:rPr>
          <w:lang w:val="ru-RU"/>
        </w:rPr>
        <w:t>4</w:t>
      </w:r>
      <w:r w:rsidRPr="008A1D8C">
        <w:t xml:space="preserve"> г. са в размер на </w:t>
      </w:r>
      <w:r w:rsidRPr="008A1D8C">
        <w:rPr>
          <w:b/>
        </w:rPr>
        <w:t>2</w:t>
      </w:r>
      <w:r w:rsidRPr="00772219">
        <w:rPr>
          <w:b/>
          <w:lang w:val="ru-RU"/>
        </w:rPr>
        <w:t>7</w:t>
      </w:r>
      <w:r w:rsidRPr="008A1D8C">
        <w:rPr>
          <w:b/>
        </w:rPr>
        <w:t> </w:t>
      </w:r>
      <w:r w:rsidRPr="00772219">
        <w:rPr>
          <w:b/>
          <w:lang w:val="ru-RU"/>
        </w:rPr>
        <w:t>204</w:t>
      </w:r>
      <w:r w:rsidRPr="008A1D8C">
        <w:rPr>
          <w:b/>
        </w:rPr>
        <w:t>,</w:t>
      </w:r>
      <w:r w:rsidRPr="00772219">
        <w:rPr>
          <w:b/>
          <w:lang w:val="ru-RU"/>
        </w:rPr>
        <w:t>5</w:t>
      </w:r>
      <w:r w:rsidRPr="008A1D8C">
        <w:rPr>
          <w:b/>
        </w:rPr>
        <w:t> млн. лв.</w:t>
      </w:r>
      <w:r w:rsidRPr="008A1D8C">
        <w:t xml:space="preserve"> или 46</w:t>
      </w:r>
      <w:r w:rsidRPr="008A1D8C">
        <w:rPr>
          <w:lang w:val="ru-RU"/>
        </w:rPr>
        <w:t>,</w:t>
      </w:r>
      <w:r w:rsidRPr="00772219">
        <w:rPr>
          <w:lang w:val="ru-RU"/>
        </w:rPr>
        <w:t>9</w:t>
      </w:r>
      <w:r w:rsidRPr="008A1D8C">
        <w:rPr>
          <w:lang w:val="ru-RU"/>
        </w:rPr>
        <w:t xml:space="preserve"> </w:t>
      </w:r>
      <w:r w:rsidRPr="008A1D8C">
        <w:t>% от разчетените по ЗДБРБ за 202</w:t>
      </w:r>
      <w:r w:rsidRPr="00772219">
        <w:rPr>
          <w:lang w:val="ru-RU"/>
        </w:rPr>
        <w:t>4</w:t>
      </w:r>
      <w:r w:rsidRPr="008A1D8C">
        <w:t> г. Относителният дял на данъчните приходи в общата сума на приходите по консолидираната фискална програма е 78,</w:t>
      </w:r>
      <w:r w:rsidRPr="00772219">
        <w:rPr>
          <w:lang w:val="ru-RU"/>
        </w:rPr>
        <w:t>9</w:t>
      </w:r>
      <w:r w:rsidRPr="008A1D8C">
        <w:rPr>
          <w:lang w:val="ru-RU"/>
        </w:rPr>
        <w:t> </w:t>
      </w:r>
      <w:r w:rsidRPr="008A1D8C">
        <w:t>процента. Съпоставени със същия период на предходната година, данъчните приходи нарастват номинално с 2 </w:t>
      </w:r>
      <w:r w:rsidRPr="00772219">
        <w:rPr>
          <w:lang w:val="ru-RU"/>
        </w:rPr>
        <w:t>623</w:t>
      </w:r>
      <w:r w:rsidRPr="008A1D8C">
        <w:t>,</w:t>
      </w:r>
      <w:r w:rsidRPr="00772219">
        <w:rPr>
          <w:lang w:val="ru-RU"/>
        </w:rPr>
        <w:t>9</w:t>
      </w:r>
      <w:r w:rsidRPr="008A1D8C">
        <w:t xml:space="preserve"> млн. лв. или 10,</w:t>
      </w:r>
      <w:r w:rsidRPr="00772219">
        <w:rPr>
          <w:lang w:val="ru-RU"/>
        </w:rPr>
        <w:t>7</w:t>
      </w:r>
      <w:r w:rsidRPr="008A1D8C">
        <w:t xml:space="preserve"> </w:t>
      </w:r>
      <w:r w:rsidRPr="00004518">
        <w:t xml:space="preserve">%. </w:t>
      </w:r>
      <w:r w:rsidRPr="00004518">
        <w:rPr>
          <w:color w:val="000000" w:themeColor="text1"/>
        </w:rPr>
        <w:t xml:space="preserve">Първото тримесечие на годината очерта ясно изразено забавяне при косвените данъци, които останаха номинално по-ниски от отчетените за същия период на 2023 г. Номиналният ръст на постъпленията от ДДС за първото тримесечие остана нисък (3,9 на сто). Предприетите действия от приходните администрации за повишаване на събираемостта дадоха положителен резултат, като постъпленията от ДДС за второто тримесечие на 2024 г. отчитат номинален ръст от 23,9 на сто спрямо второто тримесечие на 2023 г. Това съответно компенсира в голяма степен забавянето от първото тримесечие и данъчните приходи към полугодието са близки до разчета за периода. Изпълнението на разчетите към ЗДБРБ за 2024 г. в частта на данъчните приходи по КФП към полугодието на 2024 г. е 46,9 на сто, което е малко по-добро от отчетеното за същия период на 2023 г. (46,2 на </w:t>
      </w:r>
      <w:r w:rsidRPr="00004518">
        <w:t>сто).</w:t>
      </w:r>
      <w:r w:rsidRPr="00772219">
        <w:rPr>
          <w:sz w:val="28"/>
          <w:szCs w:val="28"/>
          <w:lang w:val="ru-RU"/>
        </w:rPr>
        <w:t xml:space="preserve"> </w:t>
      </w:r>
    </w:p>
    <w:p w14:paraId="53C3D98C" w14:textId="77777777" w:rsidR="008502D4" w:rsidRPr="00A26253" w:rsidRDefault="008502D4" w:rsidP="008502D4">
      <w:pPr>
        <w:spacing w:before="120" w:after="120"/>
        <w:jc w:val="both"/>
      </w:pPr>
      <w:r w:rsidRPr="00004518">
        <w:t xml:space="preserve">Постъпленията в групата на </w:t>
      </w:r>
      <w:r w:rsidRPr="00004518">
        <w:rPr>
          <w:b/>
          <w:i/>
        </w:rPr>
        <w:t>преките данъци</w:t>
      </w:r>
      <w:r w:rsidRPr="00004518">
        <w:t xml:space="preserve"> за първото полугодие</w:t>
      </w:r>
      <w:r w:rsidRPr="00A26253">
        <w:t xml:space="preserve"> на 202</w:t>
      </w:r>
      <w:r w:rsidRPr="00772219">
        <w:rPr>
          <w:lang w:val="ru-RU"/>
        </w:rPr>
        <w:t>4</w:t>
      </w:r>
      <w:r w:rsidRPr="00A26253">
        <w:t xml:space="preserve"> г. са в размер на </w:t>
      </w:r>
      <w:r w:rsidRPr="00772219">
        <w:rPr>
          <w:lang w:val="ru-RU"/>
        </w:rPr>
        <w:t>5</w:t>
      </w:r>
      <w:r w:rsidRPr="00A26253">
        <w:t> </w:t>
      </w:r>
      <w:r w:rsidRPr="00772219">
        <w:rPr>
          <w:lang w:val="ru-RU"/>
        </w:rPr>
        <w:t>418</w:t>
      </w:r>
      <w:r w:rsidRPr="00A26253">
        <w:t>,</w:t>
      </w:r>
      <w:r w:rsidRPr="00772219">
        <w:rPr>
          <w:lang w:val="ru-RU"/>
        </w:rPr>
        <w:t>9</w:t>
      </w:r>
      <w:r w:rsidRPr="00A26253">
        <w:t> млн. лв., което представлява изпълнение от 42,</w:t>
      </w:r>
      <w:r w:rsidRPr="00772219">
        <w:rPr>
          <w:lang w:val="ru-RU"/>
        </w:rPr>
        <w:t>1</w:t>
      </w:r>
      <w:r w:rsidRPr="00A26253">
        <w:t xml:space="preserve"> % от разчета за годината, при 4 </w:t>
      </w:r>
      <w:r w:rsidRPr="00772219">
        <w:rPr>
          <w:lang w:val="ru-RU"/>
        </w:rPr>
        <w:t>946</w:t>
      </w:r>
      <w:r w:rsidRPr="00A26253">
        <w:t>,</w:t>
      </w:r>
      <w:r w:rsidRPr="00772219">
        <w:rPr>
          <w:lang w:val="ru-RU"/>
        </w:rPr>
        <w:t>1</w:t>
      </w:r>
      <w:r w:rsidRPr="00A26253">
        <w:t> млн. лв. за същия период на 202</w:t>
      </w:r>
      <w:r w:rsidRPr="00772219">
        <w:rPr>
          <w:lang w:val="ru-RU"/>
        </w:rPr>
        <w:t>3</w:t>
      </w:r>
      <w:r w:rsidRPr="00A26253">
        <w:t xml:space="preserve"> година. Ръстът при преките данъци е </w:t>
      </w:r>
      <w:r w:rsidRPr="00772219">
        <w:rPr>
          <w:lang w:val="ru-RU"/>
        </w:rPr>
        <w:t>9</w:t>
      </w:r>
      <w:r w:rsidRPr="00A26253">
        <w:t>,</w:t>
      </w:r>
      <w:r w:rsidRPr="00772219">
        <w:rPr>
          <w:lang w:val="ru-RU"/>
        </w:rPr>
        <w:t>6</w:t>
      </w:r>
      <w:r w:rsidRPr="00A26253">
        <w:t xml:space="preserve"> % (</w:t>
      </w:r>
      <w:r w:rsidRPr="00772219">
        <w:rPr>
          <w:lang w:val="ru-RU"/>
        </w:rPr>
        <w:t>472</w:t>
      </w:r>
      <w:r w:rsidRPr="00A26253">
        <w:t xml:space="preserve">,8 млн. лв.). </w:t>
      </w:r>
    </w:p>
    <w:p w14:paraId="1B7DB372" w14:textId="77777777" w:rsidR="008502D4" w:rsidRPr="00A26253" w:rsidRDefault="008502D4" w:rsidP="008502D4">
      <w:pPr>
        <w:spacing w:before="120" w:after="120"/>
        <w:jc w:val="both"/>
      </w:pPr>
      <w:r w:rsidRPr="00A26253">
        <w:t xml:space="preserve">Отчетените </w:t>
      </w:r>
      <w:r w:rsidRPr="00A26253">
        <w:rPr>
          <w:b/>
        </w:rPr>
        <w:t xml:space="preserve">приходи от социални и здравноосигурителни вноски </w:t>
      </w:r>
      <w:r w:rsidRPr="00A26253">
        <w:t>към 30.06.202</w:t>
      </w:r>
      <w:r w:rsidRPr="00772219">
        <w:rPr>
          <w:lang w:val="ru-RU"/>
        </w:rPr>
        <w:t>4</w:t>
      </w:r>
      <w:r w:rsidRPr="00A26253">
        <w:t xml:space="preserve"> г. са в размер на </w:t>
      </w:r>
      <w:r w:rsidRPr="00772219">
        <w:rPr>
          <w:lang w:val="ru-RU"/>
        </w:rPr>
        <w:t>8</w:t>
      </w:r>
      <w:r w:rsidRPr="00A26253">
        <w:t> </w:t>
      </w:r>
      <w:r w:rsidRPr="00772219">
        <w:rPr>
          <w:lang w:val="ru-RU"/>
        </w:rPr>
        <w:t>698</w:t>
      </w:r>
      <w:r w:rsidRPr="00A26253">
        <w:t>,</w:t>
      </w:r>
      <w:r w:rsidRPr="00772219">
        <w:rPr>
          <w:lang w:val="ru-RU"/>
        </w:rPr>
        <w:t>2</w:t>
      </w:r>
      <w:r w:rsidRPr="00A26253">
        <w:t xml:space="preserve"> млн. лв. или 4</w:t>
      </w:r>
      <w:r w:rsidRPr="00772219">
        <w:rPr>
          <w:lang w:val="ru-RU"/>
        </w:rPr>
        <w:t>9</w:t>
      </w:r>
      <w:r w:rsidRPr="00A26253">
        <w:t>,</w:t>
      </w:r>
      <w:r w:rsidRPr="00772219">
        <w:rPr>
          <w:lang w:val="ru-RU"/>
        </w:rPr>
        <w:t>1</w:t>
      </w:r>
      <w:r w:rsidRPr="00A26253">
        <w:rPr>
          <w:lang w:val="en-US"/>
        </w:rPr>
        <w:t> </w:t>
      </w:r>
      <w:r w:rsidRPr="00A26253">
        <w:t>% изпълнение спрямо разчета. В номинално изражение осигурителните вноски са повече от предходната година с 1</w:t>
      </w:r>
      <w:r w:rsidRPr="00772219">
        <w:rPr>
          <w:lang w:val="ru-RU"/>
        </w:rPr>
        <w:t>6</w:t>
      </w:r>
      <w:r w:rsidRPr="00A26253">
        <w:t>,</w:t>
      </w:r>
      <w:r w:rsidRPr="00772219">
        <w:rPr>
          <w:lang w:val="ru-RU"/>
        </w:rPr>
        <w:t>6</w:t>
      </w:r>
      <w:r w:rsidRPr="00A26253">
        <w:t xml:space="preserve"> % или </w:t>
      </w:r>
      <w:r w:rsidRPr="00772219">
        <w:rPr>
          <w:lang w:val="ru-RU"/>
        </w:rPr>
        <w:t>1 238</w:t>
      </w:r>
      <w:r w:rsidRPr="00A26253">
        <w:t>,7 млн. лева.</w:t>
      </w:r>
    </w:p>
    <w:p w14:paraId="4059CFE4" w14:textId="77777777" w:rsidR="008502D4" w:rsidRPr="00A26253" w:rsidRDefault="008502D4" w:rsidP="008502D4">
      <w:pPr>
        <w:spacing w:after="120"/>
        <w:jc w:val="both"/>
      </w:pPr>
      <w:r w:rsidRPr="00A26253">
        <w:t xml:space="preserve">Постъпленията от </w:t>
      </w:r>
      <w:r w:rsidRPr="00A26253">
        <w:rPr>
          <w:b/>
          <w:i/>
        </w:rPr>
        <w:t>косвени данъци</w:t>
      </w:r>
      <w:r w:rsidRPr="00A26253">
        <w:t xml:space="preserve"> са в размер на 1</w:t>
      </w:r>
      <w:r w:rsidRPr="00772219">
        <w:rPr>
          <w:lang w:val="ru-RU"/>
        </w:rPr>
        <w:t>1</w:t>
      </w:r>
      <w:r w:rsidRPr="00A26253">
        <w:t> </w:t>
      </w:r>
      <w:r w:rsidRPr="00772219">
        <w:rPr>
          <w:lang w:val="ru-RU"/>
        </w:rPr>
        <w:t>810</w:t>
      </w:r>
      <w:r w:rsidRPr="00A26253">
        <w:t>,</w:t>
      </w:r>
      <w:r w:rsidRPr="00772219">
        <w:rPr>
          <w:lang w:val="ru-RU"/>
        </w:rPr>
        <w:t>8</w:t>
      </w:r>
      <w:r w:rsidRPr="00A26253">
        <w:t xml:space="preserve"> млн. лв., което представлява 4</w:t>
      </w:r>
      <w:r w:rsidRPr="00772219">
        <w:rPr>
          <w:lang w:val="ru-RU"/>
        </w:rPr>
        <w:t>6</w:t>
      </w:r>
      <w:r w:rsidRPr="00A26253">
        <w:t>,</w:t>
      </w:r>
      <w:r w:rsidRPr="00772219">
        <w:rPr>
          <w:lang w:val="ru-RU"/>
        </w:rPr>
        <w:t>3</w:t>
      </w:r>
      <w:r w:rsidRPr="00A26253">
        <w:rPr>
          <w:lang w:val="ru-RU"/>
        </w:rPr>
        <w:t> </w:t>
      </w:r>
      <w:r w:rsidRPr="00A26253">
        <w:t>% от предвидените в ЗДБРБ за 202</w:t>
      </w:r>
      <w:r w:rsidRPr="00772219">
        <w:rPr>
          <w:lang w:val="ru-RU"/>
        </w:rPr>
        <w:t>4</w:t>
      </w:r>
      <w:r w:rsidRPr="00A26253">
        <w:t xml:space="preserve"> г. Спрямо полугодието на предходната година е налице нарастване от 1 356,4 млн. лв. (13,0 %). </w:t>
      </w:r>
    </w:p>
    <w:p w14:paraId="50892F80" w14:textId="327A1418" w:rsidR="008502D4" w:rsidRPr="00024639" w:rsidRDefault="008502D4" w:rsidP="008502D4">
      <w:pPr>
        <w:spacing w:after="120"/>
        <w:jc w:val="both"/>
      </w:pPr>
      <w:r w:rsidRPr="006938EF">
        <w:t xml:space="preserve">Постъпленията от </w:t>
      </w:r>
      <w:r w:rsidRPr="006938EF">
        <w:rPr>
          <w:b/>
          <w:i/>
        </w:rPr>
        <w:t>други данъци</w:t>
      </w:r>
      <w:r w:rsidRPr="006938EF">
        <w:t xml:space="preserve"> (включват други данъци по ЗКПО, имуществени данъци и др.) са в размер на 1 276,2 млн. лв., което представлява 68,9 % от разчетите към ЗДБРБ за 2024 г., </w:t>
      </w:r>
      <w:r w:rsidRPr="00024639">
        <w:t>като намаляват с 25,8 % (444,1 млн. лв.) спрямо юни 2023 година. Тук се отчита базов ефект основно</w:t>
      </w:r>
      <w:r w:rsidRPr="00024639">
        <w:rPr>
          <w:lang w:val="ru-RU"/>
        </w:rPr>
        <w:t xml:space="preserve"> </w:t>
      </w:r>
      <w:r w:rsidRPr="00024639">
        <w:t>в две направления. Първо, целевите вноски от производителите на електрическа енергия</w:t>
      </w:r>
      <w:r w:rsidRPr="00024639">
        <w:rPr>
          <w:lang w:val="ru-RU"/>
        </w:rPr>
        <w:t xml:space="preserve"> </w:t>
      </w:r>
      <w:r w:rsidRPr="00024639">
        <w:t>по бюджета на ФСЕС намаляват във връзка с нормализирането на цените на електрическата енергия на Българската независима енергийна борса. Второ, няма постъпления от временната солидарна вноска, която е с изтекъл срок на действие и не се прилага през 2024</w:t>
      </w:r>
      <w:r w:rsidR="00926C78" w:rsidRPr="00024639">
        <w:rPr>
          <w:lang w:val="en-US"/>
        </w:rPr>
        <w:t> </w:t>
      </w:r>
      <w:r w:rsidRPr="00024639">
        <w:t>г.</w:t>
      </w:r>
      <w:r w:rsidRPr="00024639">
        <w:rPr>
          <w:lang w:val="ru-RU"/>
        </w:rPr>
        <w:t xml:space="preserve"> </w:t>
      </w:r>
      <w:r w:rsidRPr="00024639">
        <w:t>за дружествата и местата на стопанска дейност от Съюза, извършващи дейност в отраслите на суровия нефт, природния газ, въглищата и нефтопреработването, за генерираните свръхпечалби съгласно член 14 от Регламент (ЕС) 2022/1854 на Съвета от 6 октомври 2022 г. относно спешна намеса за справяне с високите цени на енергията.</w:t>
      </w:r>
    </w:p>
    <w:p w14:paraId="39F01AE4" w14:textId="327949FE" w:rsidR="008502D4" w:rsidRPr="00B77FA0" w:rsidRDefault="008502D4" w:rsidP="008502D4">
      <w:pPr>
        <w:spacing w:after="120"/>
        <w:jc w:val="both"/>
      </w:pPr>
      <w:r w:rsidRPr="00024639">
        <w:rPr>
          <w:b/>
        </w:rPr>
        <w:t>Неданъчните приходи</w:t>
      </w:r>
      <w:r w:rsidRPr="00024639">
        <w:t xml:space="preserve"> са в размер на 5 </w:t>
      </w:r>
      <w:r w:rsidRPr="00772219">
        <w:rPr>
          <w:lang w:val="ru-RU"/>
        </w:rPr>
        <w:t>291</w:t>
      </w:r>
      <w:r w:rsidRPr="00024639">
        <w:t>,</w:t>
      </w:r>
      <w:r w:rsidRPr="00772219">
        <w:rPr>
          <w:lang w:val="ru-RU"/>
        </w:rPr>
        <w:t>3</w:t>
      </w:r>
      <w:r w:rsidRPr="00024639">
        <w:t xml:space="preserve"> млн. лв., което представлява 5</w:t>
      </w:r>
      <w:r w:rsidRPr="00772219">
        <w:rPr>
          <w:lang w:val="ru-RU"/>
        </w:rPr>
        <w:t>1</w:t>
      </w:r>
      <w:r w:rsidRPr="00024639">
        <w:t>,</w:t>
      </w:r>
      <w:r w:rsidRPr="00772219">
        <w:rPr>
          <w:lang w:val="ru-RU"/>
        </w:rPr>
        <w:t>6</w:t>
      </w:r>
      <w:r w:rsidRPr="00024639">
        <w:t xml:space="preserve"> % изпълнение на годишните разчети. </w:t>
      </w:r>
      <w:r w:rsidRPr="00024639">
        <w:rPr>
          <w:rFonts w:eastAsia="Calibri"/>
        </w:rPr>
        <w:t>В сравнение с предходната година тези приходи намаляват с 3</w:t>
      </w:r>
      <w:r w:rsidR="00892112">
        <w:rPr>
          <w:rFonts w:eastAsia="Calibri"/>
        </w:rPr>
        <w:t>29</w:t>
      </w:r>
      <w:r w:rsidRPr="00024639">
        <w:rPr>
          <w:rFonts w:eastAsia="Calibri"/>
        </w:rPr>
        <w:t>,</w:t>
      </w:r>
      <w:r w:rsidR="00892112">
        <w:rPr>
          <w:rFonts w:eastAsia="Calibri"/>
        </w:rPr>
        <w:t>7</w:t>
      </w:r>
      <w:r w:rsidRPr="00024639">
        <w:rPr>
          <w:rFonts w:eastAsia="Calibri"/>
        </w:rPr>
        <w:t xml:space="preserve"> млн. лв. (5,9 %) </w:t>
      </w:r>
      <w:r w:rsidRPr="00024639">
        <w:t>основно поради спад при постъпленията от продажба на квоти за емисии на парникови газове по бюджета на ФСЕС и приходи от дивидент за държавата от държавни предприятия.</w:t>
      </w:r>
      <w:r w:rsidRPr="00024639">
        <w:rPr>
          <w:rFonts w:eastAsia="Calibri"/>
        </w:rPr>
        <w:t xml:space="preserve"> За разлика от предходната година, когато към полугодието в държавния бюджет бяха постъпили 727,8 млн. лв. от дивидент за държавата от държавни предприятия, през първите шест месеца на 2024 г. приходите от дивидент са едва 78,5 млн. лева</w:t>
      </w:r>
      <w:r w:rsidR="00B77FA0" w:rsidRPr="00024639">
        <w:rPr>
          <w:rFonts w:eastAsia="Calibri"/>
        </w:rPr>
        <w:t>.</w:t>
      </w:r>
    </w:p>
    <w:p w14:paraId="4B446B0E" w14:textId="77777777" w:rsidR="008502D4" w:rsidRPr="008C0E7A" w:rsidRDefault="008502D4" w:rsidP="008502D4">
      <w:pPr>
        <w:spacing w:after="120"/>
        <w:jc w:val="both"/>
      </w:pPr>
      <w:r w:rsidRPr="008C0E7A">
        <w:t>Постъпленията от</w:t>
      </w:r>
      <w:r w:rsidRPr="008C0E7A">
        <w:rPr>
          <w:b/>
          <w:i/>
        </w:rPr>
        <w:t xml:space="preserve"> </w:t>
      </w:r>
      <w:r w:rsidRPr="008C0E7A">
        <w:rPr>
          <w:b/>
        </w:rPr>
        <w:t>помощи и дарения</w:t>
      </w:r>
      <w:r w:rsidRPr="008C0E7A">
        <w:t xml:space="preserve"> от страната и чужбина (основно помощи от фондовете на ЕС) са в размер на 1 </w:t>
      </w:r>
      <w:r w:rsidRPr="00772219">
        <w:rPr>
          <w:lang w:val="ru-RU"/>
        </w:rPr>
        <w:t>999</w:t>
      </w:r>
      <w:r w:rsidRPr="008C0E7A">
        <w:t>,</w:t>
      </w:r>
      <w:r w:rsidRPr="00772219">
        <w:rPr>
          <w:lang w:val="ru-RU"/>
        </w:rPr>
        <w:t>6</w:t>
      </w:r>
      <w:r w:rsidRPr="008C0E7A">
        <w:t xml:space="preserve"> млн. лв., което представлява 2</w:t>
      </w:r>
      <w:r w:rsidRPr="00772219">
        <w:rPr>
          <w:lang w:val="ru-RU"/>
        </w:rPr>
        <w:t>8</w:t>
      </w:r>
      <w:r w:rsidRPr="008C0E7A">
        <w:t>,</w:t>
      </w:r>
      <w:r w:rsidRPr="00772219">
        <w:rPr>
          <w:lang w:val="ru-RU"/>
        </w:rPr>
        <w:t>2</w:t>
      </w:r>
      <w:r w:rsidRPr="008C0E7A">
        <w:t xml:space="preserve"> % от годишния разчет. </w:t>
      </w:r>
    </w:p>
    <w:p w14:paraId="1ACBC3D7" w14:textId="77777777" w:rsidR="008502D4" w:rsidRPr="00E56679" w:rsidRDefault="008502D4" w:rsidP="008502D4">
      <w:pPr>
        <w:jc w:val="center"/>
        <w:rPr>
          <w:b/>
          <w:color w:val="0070C0"/>
        </w:rPr>
      </w:pPr>
    </w:p>
    <w:p w14:paraId="1624DB16" w14:textId="77777777" w:rsidR="008502D4" w:rsidRPr="003A4705" w:rsidRDefault="008502D4" w:rsidP="008502D4">
      <w:pPr>
        <w:jc w:val="center"/>
        <w:rPr>
          <w:b/>
        </w:rPr>
      </w:pPr>
      <w:r w:rsidRPr="003A4705">
        <w:rPr>
          <w:b/>
        </w:rPr>
        <w:t xml:space="preserve">Структура на данъчните приходи по консолидирания </w:t>
      </w:r>
    </w:p>
    <w:p w14:paraId="1EF59583" w14:textId="77777777" w:rsidR="008502D4" w:rsidRPr="008C0E7A" w:rsidRDefault="008502D4" w:rsidP="008502D4">
      <w:pPr>
        <w:jc w:val="center"/>
        <w:rPr>
          <w:b/>
        </w:rPr>
      </w:pPr>
      <w:r w:rsidRPr="008C0E7A">
        <w:rPr>
          <w:b/>
        </w:rPr>
        <w:t>бюджет за първото полугодие на 202</w:t>
      </w:r>
      <w:r w:rsidRPr="00772219">
        <w:rPr>
          <w:b/>
          <w:lang w:val="ru-RU"/>
        </w:rPr>
        <w:t>3</w:t>
      </w:r>
      <w:r w:rsidRPr="008C0E7A">
        <w:rPr>
          <w:b/>
        </w:rPr>
        <w:t xml:space="preserve"> г. и 202</w:t>
      </w:r>
      <w:r w:rsidRPr="00772219">
        <w:rPr>
          <w:b/>
          <w:lang w:val="ru-RU"/>
        </w:rPr>
        <w:t>4</w:t>
      </w:r>
      <w:r w:rsidRPr="008C0E7A">
        <w:rPr>
          <w:b/>
        </w:rPr>
        <w:t xml:space="preserve"> г.</w:t>
      </w:r>
    </w:p>
    <w:p w14:paraId="4E75971C" w14:textId="77777777" w:rsidR="008502D4" w:rsidRPr="008C0E7A" w:rsidRDefault="008502D4" w:rsidP="008502D4">
      <w:pPr>
        <w:jc w:val="center"/>
        <w:rPr>
          <w:b/>
          <w:bCs/>
        </w:rPr>
      </w:pPr>
    </w:p>
    <w:p w14:paraId="1032E2D1" w14:textId="77777777" w:rsidR="008502D4" w:rsidRPr="00E56679" w:rsidRDefault="008502D4" w:rsidP="008502D4">
      <w:pPr>
        <w:rPr>
          <w:b/>
          <w:color w:val="0070C0"/>
          <w:sz w:val="8"/>
          <w:szCs w:val="8"/>
          <w:u w:val="single"/>
        </w:rPr>
      </w:pPr>
    </w:p>
    <w:p w14:paraId="0B343702" w14:textId="77777777" w:rsidR="008502D4" w:rsidRPr="00E56679" w:rsidRDefault="008502D4" w:rsidP="008502D4">
      <w:pPr>
        <w:rPr>
          <w:b/>
          <w:color w:val="0070C0"/>
          <w:sz w:val="4"/>
          <w:szCs w:val="4"/>
        </w:rPr>
      </w:pPr>
      <w:r w:rsidRPr="00E56679">
        <w:rPr>
          <w:b/>
          <w:color w:val="0070C0"/>
        </w:rPr>
        <w:t xml:space="preserve">                     </w:t>
      </w:r>
    </w:p>
    <w:p w14:paraId="6D2EFB5A" w14:textId="77777777" w:rsidR="008502D4" w:rsidRPr="00E56679" w:rsidRDefault="008502D4" w:rsidP="008502D4">
      <w:pPr>
        <w:spacing w:after="120"/>
        <w:rPr>
          <w:b/>
          <w:color w:val="0070C0"/>
        </w:rPr>
      </w:pPr>
      <w:r w:rsidRPr="00E83CFB">
        <w:rPr>
          <w:b/>
        </w:rPr>
        <w:t xml:space="preserve">                          юни 2023 г.                                                 </w:t>
      </w:r>
      <w:r w:rsidRPr="00E83CFB">
        <w:rPr>
          <w:b/>
          <w:lang w:val="en-US"/>
        </w:rPr>
        <w:t xml:space="preserve">   </w:t>
      </w:r>
      <w:r w:rsidRPr="00E83CFB">
        <w:rPr>
          <w:b/>
        </w:rPr>
        <w:t>юни 2024 г.</w:t>
      </w:r>
    </w:p>
    <w:p w14:paraId="3E6D8B4E" w14:textId="1078B96F" w:rsidR="008502D4" w:rsidRPr="00E56679" w:rsidRDefault="008502D4" w:rsidP="008502D4">
      <w:pPr>
        <w:spacing w:after="120"/>
        <w:rPr>
          <w:color w:val="0070C0"/>
        </w:rPr>
      </w:pPr>
      <w:r w:rsidRPr="00E56679">
        <w:rPr>
          <w:color w:val="0070C0"/>
          <w:lang w:val="en-US"/>
        </w:rPr>
        <w:t xml:space="preserve">    </w:t>
      </w:r>
      <w:r w:rsidRPr="00131E75">
        <w:rPr>
          <w:noProof/>
          <w:color w:val="4F81BD" w:themeColor="accent1"/>
        </w:rPr>
        <w:drawing>
          <wp:inline distT="0" distB="0" distL="0" distR="0" wp14:anchorId="4F3AACDD" wp14:editId="1906861C">
            <wp:extent cx="2603500" cy="1884045"/>
            <wp:effectExtent l="0" t="0" r="635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0" cy="1884045"/>
                    </a:xfrm>
                    <a:prstGeom prst="rect">
                      <a:avLst/>
                    </a:prstGeom>
                    <a:noFill/>
                  </pic:spPr>
                </pic:pic>
              </a:graphicData>
            </a:graphic>
          </wp:inline>
        </w:drawing>
      </w:r>
      <w:r w:rsidR="00921ADC">
        <w:rPr>
          <w:noProof/>
          <w:color w:val="0070C0"/>
        </w:rPr>
        <w:drawing>
          <wp:inline distT="0" distB="0" distL="0" distR="0" wp14:anchorId="61556A94" wp14:editId="7F9F46F1">
            <wp:extent cx="2573020" cy="1884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3020" cy="1884045"/>
                    </a:xfrm>
                    <a:prstGeom prst="rect">
                      <a:avLst/>
                    </a:prstGeom>
                    <a:noFill/>
                  </pic:spPr>
                </pic:pic>
              </a:graphicData>
            </a:graphic>
          </wp:inline>
        </w:drawing>
      </w:r>
    </w:p>
    <w:p w14:paraId="0B86007D" w14:textId="77777777" w:rsidR="008502D4" w:rsidRPr="00131E75" w:rsidRDefault="008502D4" w:rsidP="008502D4">
      <w:pPr>
        <w:pStyle w:val="Heading3"/>
        <w:numPr>
          <w:ilvl w:val="1"/>
          <w:numId w:val="37"/>
        </w:numPr>
        <w:spacing w:before="0"/>
        <w:ind w:left="567" w:hanging="567"/>
        <w:rPr>
          <w:rFonts w:ascii="Times New Roman" w:hAnsi="Times New Roman" w:cs="Times New Roman"/>
          <w:sz w:val="24"/>
          <w:szCs w:val="24"/>
        </w:rPr>
      </w:pPr>
      <w:bookmarkStart w:id="27" w:name="_Toc81485859"/>
      <w:bookmarkStart w:id="28" w:name="_Toc18400754"/>
      <w:bookmarkStart w:id="29" w:name="_Toc143522983"/>
      <w:bookmarkStart w:id="30" w:name="_Toc174117321"/>
      <w:bookmarkStart w:id="31" w:name="_Toc176351919"/>
      <w:r w:rsidRPr="00131E75">
        <w:rPr>
          <w:rFonts w:ascii="Times New Roman" w:hAnsi="Times New Roman" w:cs="Times New Roman"/>
          <w:sz w:val="24"/>
          <w:szCs w:val="24"/>
        </w:rPr>
        <w:t>Преки данъци</w:t>
      </w:r>
      <w:bookmarkEnd w:id="27"/>
      <w:bookmarkEnd w:id="28"/>
      <w:bookmarkEnd w:id="29"/>
      <w:bookmarkEnd w:id="30"/>
      <w:bookmarkEnd w:id="31"/>
    </w:p>
    <w:p w14:paraId="2ECD6406" w14:textId="77777777" w:rsidR="008502D4" w:rsidRPr="00131E75" w:rsidRDefault="008502D4" w:rsidP="008502D4">
      <w:pPr>
        <w:pStyle w:val="Heading3"/>
        <w:spacing w:after="0"/>
        <w:ind w:left="568"/>
        <w:rPr>
          <w:rFonts w:ascii="Times New Roman" w:hAnsi="Times New Roman"/>
          <w:i/>
          <w:iCs/>
          <w:sz w:val="24"/>
          <w:szCs w:val="24"/>
        </w:rPr>
      </w:pPr>
      <w:bookmarkStart w:id="32" w:name="_Toc81485860"/>
      <w:bookmarkStart w:id="33" w:name="_Toc18400755"/>
      <w:bookmarkStart w:id="34" w:name="_Toc143522984"/>
      <w:bookmarkStart w:id="35" w:name="_Toc174117322"/>
      <w:bookmarkStart w:id="36" w:name="_Toc176351920"/>
      <w:r w:rsidRPr="00131E75">
        <w:rPr>
          <w:rFonts w:ascii="Times New Roman" w:hAnsi="Times New Roman"/>
          <w:i/>
          <w:iCs/>
          <w:sz w:val="24"/>
          <w:szCs w:val="24"/>
        </w:rPr>
        <w:t>1.1.1 Корпоративни данъци</w:t>
      </w:r>
      <w:bookmarkEnd w:id="32"/>
      <w:bookmarkEnd w:id="33"/>
      <w:bookmarkEnd w:id="34"/>
      <w:bookmarkEnd w:id="35"/>
      <w:bookmarkEnd w:id="36"/>
    </w:p>
    <w:p w14:paraId="1882FEE4" w14:textId="55FDDA4B" w:rsidR="008502D4" w:rsidRPr="00E56679" w:rsidRDefault="008502D4" w:rsidP="008502D4">
      <w:pPr>
        <w:pStyle w:val="BodyText"/>
        <w:spacing w:after="0"/>
        <w:ind w:right="-108"/>
        <w:jc w:val="both"/>
        <w:rPr>
          <w:color w:val="0070C0"/>
        </w:rPr>
      </w:pPr>
      <w:r w:rsidRPr="00131E75">
        <w:t xml:space="preserve">Приходите </w:t>
      </w:r>
      <w:r w:rsidRPr="00F56A25">
        <w:t xml:space="preserve">от </w:t>
      </w:r>
      <w:r w:rsidRPr="00F56A25">
        <w:rPr>
          <w:bCs/>
        </w:rPr>
        <w:t>корпоративни данъци</w:t>
      </w:r>
      <w:r w:rsidRPr="00F56A25">
        <w:t xml:space="preserve"> по КФП (вкл. данък върху дивидентите и доходите) към края на месец юни 2024 г. са в размер на 2 144,4 млн. лв. или 36,2 % от годишния разчет и заемат 7,9 % в общия размер на данъчните приходи. Спрямо полугодието на 202</w:t>
      </w:r>
      <w:r w:rsidR="00D835DB" w:rsidRPr="001853DF">
        <w:rPr>
          <w:lang w:val="ru-RU"/>
        </w:rPr>
        <w:t>3</w:t>
      </w:r>
      <w:r w:rsidRPr="00F56A25">
        <w:t> г. са постъпили с 58,1 млн. лв. (2,8 %) повече приходи.</w:t>
      </w:r>
    </w:p>
    <w:p w14:paraId="747939F5" w14:textId="77777777" w:rsidR="008502D4" w:rsidRPr="00E56679" w:rsidRDefault="008502D4" w:rsidP="008502D4">
      <w:pPr>
        <w:pStyle w:val="BodyText"/>
        <w:spacing w:after="0"/>
        <w:ind w:right="-108"/>
        <w:jc w:val="both"/>
        <w:rPr>
          <w:iCs/>
          <w:color w:val="0070C0"/>
        </w:rPr>
      </w:pPr>
    </w:p>
    <w:p w14:paraId="69B150A1" w14:textId="77777777" w:rsidR="008502D4" w:rsidRPr="006F5A77" w:rsidRDefault="008502D4" w:rsidP="008502D4">
      <w:pPr>
        <w:pStyle w:val="BodyText"/>
        <w:numPr>
          <w:ilvl w:val="1"/>
          <w:numId w:val="38"/>
        </w:numPr>
        <w:tabs>
          <w:tab w:val="num" w:pos="567"/>
        </w:tabs>
        <w:ind w:left="0" w:right="-110" w:firstLine="0"/>
        <w:jc w:val="both"/>
        <w:rPr>
          <w:b/>
        </w:rPr>
      </w:pPr>
      <w:r w:rsidRPr="006F5A77">
        <w:rPr>
          <w:b/>
        </w:rPr>
        <w:t>Корпоративен данък</w:t>
      </w:r>
    </w:p>
    <w:p w14:paraId="526F2E97" w14:textId="77777777" w:rsidR="008502D4" w:rsidRPr="00E56679" w:rsidRDefault="008502D4" w:rsidP="008502D4">
      <w:pPr>
        <w:jc w:val="both"/>
        <w:rPr>
          <w:color w:val="0070C0"/>
        </w:rPr>
      </w:pPr>
      <w:r w:rsidRPr="006F5A77">
        <w:rPr>
          <w:b/>
        </w:rPr>
        <w:t xml:space="preserve">Приходите от </w:t>
      </w:r>
      <w:r w:rsidRPr="006F5A77">
        <w:rPr>
          <w:b/>
          <w:bCs/>
        </w:rPr>
        <w:t>корпоративен данък</w:t>
      </w:r>
      <w:r w:rsidRPr="006F5A77">
        <w:t xml:space="preserve"> за периода са в размер на 2 0</w:t>
      </w:r>
      <w:r w:rsidRPr="00772219">
        <w:rPr>
          <w:lang w:val="ru-RU"/>
        </w:rPr>
        <w:t>79</w:t>
      </w:r>
      <w:r w:rsidRPr="006F5A77">
        <w:t>,</w:t>
      </w:r>
      <w:r w:rsidRPr="00772219">
        <w:rPr>
          <w:lang w:val="ru-RU"/>
        </w:rPr>
        <w:t>3</w:t>
      </w:r>
      <w:r w:rsidRPr="006F5A77">
        <w:t xml:space="preserve"> млн. лв. и представляват 3</w:t>
      </w:r>
      <w:r w:rsidRPr="00772219">
        <w:rPr>
          <w:lang w:val="ru-RU"/>
        </w:rPr>
        <w:t>5</w:t>
      </w:r>
      <w:r w:rsidRPr="006F5A77">
        <w:t>,8 % от годишния разчет за 202</w:t>
      </w:r>
      <w:r w:rsidRPr="00772219">
        <w:rPr>
          <w:lang w:val="ru-RU"/>
        </w:rPr>
        <w:t>4</w:t>
      </w:r>
      <w:r w:rsidRPr="006F5A77">
        <w:t xml:space="preserve"> година. Относителният дял на корпоративния данък в данъчните постъпления по консолидираната фискална програма е </w:t>
      </w:r>
      <w:r w:rsidRPr="00772219">
        <w:rPr>
          <w:lang w:val="ru-RU"/>
        </w:rPr>
        <w:t>7</w:t>
      </w:r>
      <w:r w:rsidRPr="006F5A77">
        <w:t>,</w:t>
      </w:r>
      <w:r w:rsidRPr="00772219">
        <w:rPr>
          <w:lang w:val="ru-RU"/>
        </w:rPr>
        <w:t>6</w:t>
      </w:r>
      <w:r w:rsidRPr="006F5A77">
        <w:t> %. Спрямо юни 202</w:t>
      </w:r>
      <w:r w:rsidRPr="00772219">
        <w:rPr>
          <w:lang w:val="ru-RU"/>
        </w:rPr>
        <w:t>3</w:t>
      </w:r>
      <w:r w:rsidRPr="006F5A77">
        <w:t> г. се отчита увеличение от 1,</w:t>
      </w:r>
      <w:r w:rsidRPr="00772219">
        <w:rPr>
          <w:lang w:val="ru-RU"/>
        </w:rPr>
        <w:t>9</w:t>
      </w:r>
      <w:r w:rsidRPr="006F5A77">
        <w:t xml:space="preserve"> % или </w:t>
      </w:r>
      <w:r w:rsidRPr="00772219">
        <w:rPr>
          <w:lang w:val="ru-RU"/>
        </w:rPr>
        <w:t>38</w:t>
      </w:r>
      <w:r w:rsidRPr="006F5A77">
        <w:t>,1 млн. лева. Приходите от</w:t>
      </w:r>
      <w:r w:rsidRPr="006F5A77">
        <w:rPr>
          <w:i/>
        </w:rPr>
        <w:t xml:space="preserve"> корпоративен </w:t>
      </w:r>
      <w:r w:rsidRPr="001D6B69">
        <w:rPr>
          <w:i/>
        </w:rPr>
        <w:t>данък на нефинансовите предприятия (вкл. юридически лица с нестопанска цел)</w:t>
      </w:r>
      <w:r w:rsidRPr="001D6B69">
        <w:t xml:space="preserve"> към 30.06.202</w:t>
      </w:r>
      <w:r w:rsidRPr="00772219">
        <w:rPr>
          <w:lang w:val="ru-RU"/>
        </w:rPr>
        <w:t>4</w:t>
      </w:r>
      <w:r w:rsidRPr="001D6B69">
        <w:t xml:space="preserve"> г. са в размер на 1 </w:t>
      </w:r>
      <w:r w:rsidRPr="00772219">
        <w:rPr>
          <w:lang w:val="ru-RU"/>
        </w:rPr>
        <w:t>795</w:t>
      </w:r>
      <w:r w:rsidRPr="001D6B69">
        <w:t>,6 млн. лв., което представлява 3</w:t>
      </w:r>
      <w:r w:rsidRPr="00772219">
        <w:rPr>
          <w:lang w:val="ru-RU"/>
        </w:rPr>
        <w:t>2</w:t>
      </w:r>
      <w:r w:rsidRPr="001D6B69">
        <w:t>,</w:t>
      </w:r>
      <w:r w:rsidRPr="00772219">
        <w:rPr>
          <w:lang w:val="ru-RU"/>
        </w:rPr>
        <w:t>6</w:t>
      </w:r>
      <w:r w:rsidRPr="001D6B69">
        <w:t> % от предвидените в ЗДБРБ за 202</w:t>
      </w:r>
      <w:r w:rsidRPr="00772219">
        <w:rPr>
          <w:lang w:val="ru-RU"/>
        </w:rPr>
        <w:t>4</w:t>
      </w:r>
      <w:r w:rsidRPr="001D6B69">
        <w:t xml:space="preserve"> година. Съпоставени с юни 202</w:t>
      </w:r>
      <w:r w:rsidRPr="00772219">
        <w:rPr>
          <w:lang w:val="ru-RU"/>
        </w:rPr>
        <w:t>3</w:t>
      </w:r>
      <w:r w:rsidRPr="001D6B69">
        <w:t xml:space="preserve"> г., приходите от данъка намаляват със 113,0 млн. лв. (5,9 %). Постъпленията от </w:t>
      </w:r>
      <w:r w:rsidRPr="001D6B69">
        <w:rPr>
          <w:i/>
        </w:rPr>
        <w:t>корпоративен данък на финансови институции (включително застрахователни компании)</w:t>
      </w:r>
      <w:r w:rsidRPr="001D6B69">
        <w:t xml:space="preserve"> към края на юни възлизат на 283</w:t>
      </w:r>
      <w:r w:rsidRPr="001D6B69">
        <w:rPr>
          <w:lang w:val="ru-RU"/>
        </w:rPr>
        <w:t>,7</w:t>
      </w:r>
      <w:r w:rsidRPr="001D6B69">
        <w:t xml:space="preserve"> млн. лв. или 91</w:t>
      </w:r>
      <w:r w:rsidRPr="001D6B69">
        <w:rPr>
          <w:lang w:val="ru-RU"/>
        </w:rPr>
        <w:t>,6</w:t>
      </w:r>
      <w:r w:rsidRPr="001D6B69">
        <w:t xml:space="preserve"> % от разчета за годината. Спрямо същия период на предходната година приходите от данъка са със 151</w:t>
      </w:r>
      <w:r w:rsidRPr="001D6B69">
        <w:rPr>
          <w:lang w:val="ru-RU"/>
        </w:rPr>
        <w:t>,2</w:t>
      </w:r>
      <w:r w:rsidRPr="001D6B69">
        <w:t xml:space="preserve"> млн.</w:t>
      </w:r>
      <w:r w:rsidRPr="001D6B69">
        <w:rPr>
          <w:lang w:val="en-US"/>
        </w:rPr>
        <w:t> </w:t>
      </w:r>
      <w:r w:rsidRPr="001D6B69">
        <w:t>лв. (114,1 %) повече.</w:t>
      </w:r>
    </w:p>
    <w:p w14:paraId="0E5B4B99" w14:textId="77777777" w:rsidR="008502D4" w:rsidRPr="00E56679" w:rsidRDefault="008502D4" w:rsidP="008502D4">
      <w:pPr>
        <w:pStyle w:val="BlockText"/>
        <w:tabs>
          <w:tab w:val="left" w:pos="900"/>
        </w:tabs>
        <w:ind w:left="0" w:right="0"/>
        <w:jc w:val="both"/>
        <w:rPr>
          <w:rFonts w:ascii="Times New Roman" w:hAnsi="Times New Roman"/>
          <w:b/>
          <w:color w:val="0070C0"/>
          <w:szCs w:val="24"/>
        </w:rPr>
      </w:pPr>
    </w:p>
    <w:p w14:paraId="5F6FDFE8" w14:textId="77777777" w:rsidR="008502D4" w:rsidRPr="001D6B69" w:rsidRDefault="008502D4" w:rsidP="008502D4">
      <w:pPr>
        <w:pStyle w:val="BlockText"/>
        <w:numPr>
          <w:ilvl w:val="1"/>
          <w:numId w:val="38"/>
        </w:numPr>
        <w:tabs>
          <w:tab w:val="left" w:pos="567"/>
        </w:tabs>
        <w:ind w:left="0" w:right="0" w:firstLine="0"/>
        <w:jc w:val="both"/>
        <w:rPr>
          <w:rFonts w:ascii="Times New Roman" w:hAnsi="Times New Roman"/>
          <w:b/>
          <w:szCs w:val="24"/>
        </w:rPr>
      </w:pPr>
      <w:r w:rsidRPr="001D6B69">
        <w:rPr>
          <w:rFonts w:ascii="Times New Roman" w:hAnsi="Times New Roman"/>
          <w:b/>
          <w:szCs w:val="24"/>
        </w:rPr>
        <w:t>Данък върху дивидентите и ликвидационните дялове на местни и чуждестранни юридически лица (ЧЮЛ) и данък върху доходите на ЧЮЛ</w:t>
      </w:r>
    </w:p>
    <w:p w14:paraId="61EDB161" w14:textId="77777777" w:rsidR="008502D4" w:rsidRPr="001D6B69" w:rsidRDefault="008502D4" w:rsidP="008502D4">
      <w:pPr>
        <w:pStyle w:val="BlockText"/>
        <w:tabs>
          <w:tab w:val="left" w:pos="0"/>
        </w:tabs>
        <w:ind w:left="0" w:right="0"/>
        <w:jc w:val="both"/>
        <w:rPr>
          <w:rFonts w:ascii="Times New Roman" w:hAnsi="Times New Roman"/>
          <w:sz w:val="8"/>
          <w:szCs w:val="8"/>
        </w:rPr>
      </w:pPr>
    </w:p>
    <w:p w14:paraId="76BAB7DE" w14:textId="77777777" w:rsidR="008502D4" w:rsidRPr="001D6B69" w:rsidRDefault="008502D4" w:rsidP="008502D4">
      <w:pPr>
        <w:pStyle w:val="BlockText"/>
        <w:tabs>
          <w:tab w:val="left" w:pos="0"/>
        </w:tabs>
        <w:ind w:left="0" w:right="0"/>
        <w:jc w:val="both"/>
        <w:rPr>
          <w:rFonts w:ascii="Times New Roman" w:hAnsi="Times New Roman"/>
        </w:rPr>
      </w:pPr>
      <w:r w:rsidRPr="001D6B69">
        <w:rPr>
          <w:rFonts w:ascii="Times New Roman" w:hAnsi="Times New Roman"/>
        </w:rPr>
        <w:t xml:space="preserve">Постъпленията от тези данъци за полугодието на 2024 г. са в размер на 65,0 млн. лв. или 57,0 % от разчета за годината, като за същия период на предходната година са постъпили 45,1 млн. лева.  </w:t>
      </w:r>
    </w:p>
    <w:p w14:paraId="742CB37C" w14:textId="77777777" w:rsidR="008502D4" w:rsidRPr="004655EA" w:rsidRDefault="008502D4" w:rsidP="008502D4">
      <w:pPr>
        <w:pStyle w:val="Heading3"/>
        <w:spacing w:after="0"/>
        <w:ind w:left="568"/>
        <w:rPr>
          <w:rFonts w:ascii="Times New Roman" w:hAnsi="Times New Roman"/>
          <w:i/>
          <w:iCs/>
          <w:sz w:val="24"/>
          <w:szCs w:val="24"/>
        </w:rPr>
      </w:pPr>
      <w:bookmarkStart w:id="37" w:name="_Toc81485861"/>
      <w:bookmarkStart w:id="38" w:name="_Toc18400756"/>
      <w:bookmarkStart w:id="39" w:name="_Toc143522985"/>
      <w:bookmarkStart w:id="40" w:name="_Toc174117323"/>
      <w:bookmarkStart w:id="41" w:name="_Toc176351921"/>
      <w:r w:rsidRPr="004655EA">
        <w:rPr>
          <w:rFonts w:ascii="Times New Roman" w:hAnsi="Times New Roman"/>
          <w:i/>
          <w:iCs/>
          <w:sz w:val="24"/>
          <w:szCs w:val="24"/>
        </w:rPr>
        <w:t>1.1.2 Данък върху доходите на физическите лица</w:t>
      </w:r>
      <w:bookmarkEnd w:id="37"/>
      <w:bookmarkEnd w:id="38"/>
      <w:bookmarkEnd w:id="39"/>
      <w:bookmarkEnd w:id="40"/>
      <w:bookmarkEnd w:id="41"/>
    </w:p>
    <w:p w14:paraId="71EE955A" w14:textId="77777777" w:rsidR="008502D4" w:rsidRPr="00E56679" w:rsidRDefault="008502D4" w:rsidP="008502D4">
      <w:pPr>
        <w:spacing w:before="120" w:after="120"/>
        <w:jc w:val="both"/>
        <w:rPr>
          <w:color w:val="0070C0"/>
        </w:rPr>
      </w:pPr>
      <w:r w:rsidRPr="004655EA">
        <w:rPr>
          <w:b/>
        </w:rPr>
        <w:t xml:space="preserve">Приходите от данъка върху доходите на физически лица </w:t>
      </w:r>
      <w:r w:rsidRPr="004655EA">
        <w:t>за отчетния период са в размер на 3 274,6 млн. лв. или 47</w:t>
      </w:r>
      <w:r w:rsidRPr="004655EA">
        <w:rPr>
          <w:lang w:val="ru-RU"/>
        </w:rPr>
        <w:t>,2</w:t>
      </w:r>
      <w:r w:rsidRPr="004655EA">
        <w:t xml:space="preserve"> % от годишния разчет и формират 12,0 % относителен дял в общия размер на данъчните приходи. Върху размера на постъпленията от ДДФЛ основно влияние оказват икономическата активност и развитието на пазара на труда, предприетите законодателни и административни мерки в областта на трудовото, социалното и данъчното законодателство, както и мерките за повишаване на събираемостта на задължения за минали периоди и тематичните кампании за контрол, провеждани от НАП.</w:t>
      </w:r>
    </w:p>
    <w:p w14:paraId="68E4A0E5" w14:textId="77777777" w:rsidR="008502D4" w:rsidRPr="006D09AB" w:rsidRDefault="008502D4" w:rsidP="008502D4">
      <w:pPr>
        <w:spacing w:before="120"/>
        <w:jc w:val="both"/>
      </w:pPr>
      <w:r w:rsidRPr="006D09AB">
        <w:rPr>
          <w:i/>
        </w:rPr>
        <w:t>По трудови правоотношения</w:t>
      </w:r>
      <w:r w:rsidRPr="006D09AB">
        <w:t xml:space="preserve"> приходите от данъка </w:t>
      </w:r>
      <w:r w:rsidRPr="006D09AB">
        <w:rPr>
          <w:bCs/>
        </w:rPr>
        <w:t>към юни 2024</w:t>
      </w:r>
      <w:r w:rsidRPr="006D09AB">
        <w:t xml:space="preserve"> г. са 2 704,8 млн. лв., като нарастват с 379,6 млн. лв. (16,3 %) в сравнение със същия период на предходната година.</w:t>
      </w:r>
    </w:p>
    <w:p w14:paraId="25FD4D21" w14:textId="4A3912D6" w:rsidR="008502D4" w:rsidRPr="00E56679" w:rsidRDefault="008502D4" w:rsidP="008502D4">
      <w:pPr>
        <w:spacing w:before="120"/>
        <w:jc w:val="both"/>
        <w:rPr>
          <w:color w:val="0070C0"/>
        </w:rPr>
      </w:pPr>
      <w:r>
        <w:t>Отчетеният ръст при тази група данъчни приходи е повлиян в голяма степен от приетия през 2023 г. в Кодекса на труда (чл. 244, ал. 2) механизъм, съгласно който минималното трудово възнаграждение за страната за следващата календарна година се определя до 1 септември на текущата година в размер на 50 на сто от средната брутна работна заплата за период от 12 месеца, който включва последните две тримесечия на предходната година и първите две тримесечия на текущата година. В съответствие с новия механизъм от 1 януари 2024 г. минималната работна заплата за страната е увеличена от 780 лв. на 933 лв. или с 19,6 %. Други фактори за нарастване на приходите от ДДФЛ са отчетеният висок номинален ръст на средната работна заплата през първ</w:t>
      </w:r>
      <w:r w:rsidR="00772219">
        <w:t xml:space="preserve">ите две </w:t>
      </w:r>
      <w:r>
        <w:t>тримесечи</w:t>
      </w:r>
      <w:r w:rsidR="00772219">
        <w:t>я</w:t>
      </w:r>
      <w:r>
        <w:t xml:space="preserve"> на 2024 г., както в частния сектор, така и в обществения сектор, в т. ч. увеличението на заплатите в сферата на образованието и на разходите за персонал в бюджетните организации.</w:t>
      </w:r>
      <w:r w:rsidRPr="00E56679">
        <w:rPr>
          <w:color w:val="0070C0"/>
        </w:rPr>
        <w:t xml:space="preserve"> </w:t>
      </w:r>
    </w:p>
    <w:p w14:paraId="0184BFF6" w14:textId="77777777" w:rsidR="008502D4" w:rsidRPr="00E56679" w:rsidRDefault="008502D4" w:rsidP="008502D4">
      <w:pPr>
        <w:spacing w:before="120"/>
        <w:jc w:val="both"/>
        <w:rPr>
          <w:color w:val="0070C0"/>
        </w:rPr>
      </w:pPr>
      <w:r>
        <w:t>Влияние върху приходите от трудови правоотношения в посока намаление от началото  на годината оказва ползването на облекченията за деца по чл. 22в и чл. 22г от ЗДДФЛ чрез подаване на декларация по образец при работодателя през месец декември и чрез подаване на годишната данъчна декларация за доходите, придобити през 2023 година. Очаква се   авансовото ползване при работодател за придобитите доходи през 2024 г. да окаже въздействие и през следващите отчетни периоди.</w:t>
      </w:r>
      <w:r w:rsidRPr="00E56679">
        <w:rPr>
          <w:color w:val="0070C0"/>
        </w:rPr>
        <w:t xml:space="preserve">    </w:t>
      </w:r>
    </w:p>
    <w:p w14:paraId="5CC4F318" w14:textId="77777777" w:rsidR="008502D4" w:rsidRPr="00AE1B24" w:rsidRDefault="008502D4" w:rsidP="008502D4">
      <w:pPr>
        <w:spacing w:after="120"/>
        <w:jc w:val="both"/>
        <w:rPr>
          <w:highlight w:val="cyan"/>
        </w:rPr>
      </w:pPr>
      <w:r w:rsidRPr="00F82CAD">
        <w:rPr>
          <w:i/>
        </w:rPr>
        <w:t xml:space="preserve">По </w:t>
      </w:r>
      <w:proofErr w:type="spellStart"/>
      <w:r w:rsidRPr="00F82CAD">
        <w:rPr>
          <w:i/>
        </w:rPr>
        <w:t>извънтрудови</w:t>
      </w:r>
      <w:proofErr w:type="spellEnd"/>
      <w:r w:rsidRPr="00F82CAD">
        <w:rPr>
          <w:i/>
        </w:rPr>
        <w:t xml:space="preserve"> правоотношения (свободни професии, граждански договори, еднолични търговци и др.)</w:t>
      </w:r>
      <w:r w:rsidRPr="00F82CAD">
        <w:t xml:space="preserve"> приходите от данъка </w:t>
      </w:r>
      <w:r w:rsidRPr="00F82CAD">
        <w:rPr>
          <w:bCs/>
        </w:rPr>
        <w:t>към юни 2024</w:t>
      </w:r>
      <w:r w:rsidRPr="00F82CAD">
        <w:t xml:space="preserve"> г. са в размер на 249,1 млн. лв. За отчетния период са постъпили с 12,2 млн. лв. (4,7 %) по-малко приходи спрямо края на юни 2023 година.</w:t>
      </w:r>
      <w:r w:rsidRPr="00F82CAD">
        <w:rPr>
          <w:lang w:val="ru-RU"/>
        </w:rPr>
        <w:t xml:space="preserve"> </w:t>
      </w:r>
      <w:r>
        <w:t xml:space="preserve">Основно влияние върху тези приходи оказват резултатите от годишните данъчни декларации по чл. 50 от ЗДДФЛ (дължим данък за довнасяне или надвнесен данък) и дължимите авансови вноски. Върху размера на приходите от тези групи данъци влияе и ползването с подаването на годишните декларации на постановените в ЗДДФЛ данъчни облекчения, от които с най-голям ефект за намаляване на данъчните приходи са облекченията за деца и данъчното облекчение за лица с намалена работоспособност. По-ниският размер на приходите през отчетният период се дължи и на факта, че крайният срок за подаване на годишните данъчни декларации по чл. 50 от ЗДДФЛ за доходи от стопанска дейност като едноличен търговец през 2024 г. e 01.07.2024 г. (30.06. е почивен ден), приетите декларации на тази дата и направените </w:t>
      </w:r>
      <w:r w:rsidRPr="00AE1B24">
        <w:t xml:space="preserve">вноски се отразяват като резултат през месец юли. </w:t>
      </w:r>
    </w:p>
    <w:p w14:paraId="0AAEB870" w14:textId="77777777" w:rsidR="008502D4" w:rsidRPr="00AE1B24" w:rsidRDefault="008502D4" w:rsidP="008502D4">
      <w:pPr>
        <w:spacing w:after="120"/>
        <w:jc w:val="both"/>
      </w:pPr>
      <w:r w:rsidRPr="00AE1B24">
        <w:t xml:space="preserve">Приходите от </w:t>
      </w:r>
      <w:r w:rsidRPr="00AE1B24">
        <w:rPr>
          <w:i/>
        </w:rPr>
        <w:t>окончателния годишен (патентен) данък и данък върху таксиметров превоз на пътници</w:t>
      </w:r>
      <w:r w:rsidRPr="00AE1B24">
        <w:t xml:space="preserve"> по консолидирания бюджет за полугодието на 2024 г. са 7,9 млн. лв. </w:t>
      </w:r>
    </w:p>
    <w:p w14:paraId="6BE66206" w14:textId="0BDED938" w:rsidR="008502D4" w:rsidRPr="00E56679" w:rsidRDefault="008502D4" w:rsidP="008502D4">
      <w:pPr>
        <w:spacing w:after="120"/>
        <w:jc w:val="both"/>
        <w:rPr>
          <w:color w:val="0070C0"/>
        </w:rPr>
      </w:pPr>
      <w:r w:rsidRPr="00AE1B24">
        <w:rPr>
          <w:i/>
        </w:rPr>
        <w:t>Окончателен данък на местните и чуждестранни физически лица, данък върху дивидентите и ликвидационните дялове на местни и чуждестранни физически лица</w:t>
      </w:r>
      <w:r w:rsidRPr="00AE1B24">
        <w:rPr>
          <w:b/>
          <w:i/>
        </w:rPr>
        <w:t xml:space="preserve"> </w:t>
      </w:r>
      <w:r w:rsidRPr="00AE1B24">
        <w:t>- постъпленията от тези данъци са в размер на 312,</w:t>
      </w:r>
      <w:r w:rsidR="00772219">
        <w:t>8</w:t>
      </w:r>
      <w:r w:rsidRPr="00AE1B24">
        <w:t xml:space="preserve"> млн. лв. За отчетния период са постъпили с 45,</w:t>
      </w:r>
      <w:r w:rsidR="00772219">
        <w:t>8</w:t>
      </w:r>
      <w:r w:rsidRPr="00AE1B24">
        <w:t xml:space="preserve"> млн. лв. (17,1 %) повече приходи спрямо юни 2023 година. </w:t>
      </w:r>
      <w:r>
        <w:t xml:space="preserve">Ръстът на тези приходи се дължи, както на отчетените финансови резултати от нефинансовите предприятия през 2023 г., така и от предприетите законодателни и контролни мерки. Влияние за по-високото изпълнение на приходите от данък върху дивидентите и ликвидационните дялове на местни и чуждестранни физически и юридически лица има предприетата комуникационна кампания и контролни действия от НАП за проверка на касови наличности. Контролните действия са насочени приоритетно към лица, за които има информация за висока касова наличност (над 100 хил. лв.), и при които има риск от наличие на сделки, сключени при условия, водещи до отклонение от данъчно облагане, наличието на скрито разпределение на печалбата по смисъла на § 1, т. 5 от ДР на ЗКПО. Скритото разпределение на печалбата се третира като дивидент, за който се внася 5 % данък върху разпределените суми. От 1.09.2023 г. в Закона за ограничаване на плащанията е приетата разпоредба плащанията на територията на страната на дивиденти, със стойност равна на или надвишаваща 1000 лв., да се извършват само чрез превод или внасяне по платежна сметка, в резултат на което постъпленията от данъка върху дивидентите нарастват допълнително. </w:t>
      </w:r>
    </w:p>
    <w:p w14:paraId="004B6902" w14:textId="77777777" w:rsidR="008502D4" w:rsidRPr="00CB67FF" w:rsidRDefault="008502D4" w:rsidP="008502D4">
      <w:pPr>
        <w:pStyle w:val="Heading3"/>
        <w:numPr>
          <w:ilvl w:val="1"/>
          <w:numId w:val="37"/>
        </w:numPr>
        <w:ind w:left="567" w:hanging="567"/>
        <w:rPr>
          <w:rFonts w:ascii="Times New Roman" w:hAnsi="Times New Roman" w:cs="Times New Roman"/>
          <w:sz w:val="24"/>
          <w:szCs w:val="24"/>
        </w:rPr>
      </w:pPr>
      <w:bookmarkStart w:id="42" w:name="_Toc81485862"/>
      <w:bookmarkStart w:id="43" w:name="_Toc18400757"/>
      <w:bookmarkStart w:id="44" w:name="_Toc524080229"/>
      <w:bookmarkStart w:id="45" w:name="_Toc143522986"/>
      <w:bookmarkStart w:id="46" w:name="_Toc174117324"/>
      <w:bookmarkStart w:id="47" w:name="_Toc176351922"/>
      <w:r w:rsidRPr="00CB67FF">
        <w:rPr>
          <w:rFonts w:ascii="Times New Roman" w:hAnsi="Times New Roman" w:cs="Times New Roman"/>
          <w:sz w:val="24"/>
          <w:szCs w:val="24"/>
        </w:rPr>
        <w:t>Други данъци</w:t>
      </w:r>
      <w:bookmarkEnd w:id="42"/>
      <w:bookmarkEnd w:id="43"/>
      <w:bookmarkEnd w:id="44"/>
      <w:bookmarkEnd w:id="45"/>
      <w:bookmarkEnd w:id="46"/>
      <w:bookmarkEnd w:id="47"/>
    </w:p>
    <w:p w14:paraId="680829B2" w14:textId="77777777" w:rsidR="008502D4" w:rsidRPr="00E56679" w:rsidRDefault="008502D4" w:rsidP="008502D4">
      <w:pPr>
        <w:pStyle w:val="BlockText"/>
        <w:tabs>
          <w:tab w:val="left" w:pos="540"/>
        </w:tabs>
        <w:ind w:left="0" w:right="0"/>
        <w:jc w:val="both"/>
        <w:rPr>
          <w:rFonts w:ascii="Times New Roman" w:hAnsi="Times New Roman"/>
          <w:color w:val="0070C0"/>
          <w:szCs w:val="24"/>
        </w:rPr>
      </w:pPr>
      <w:r w:rsidRPr="00CB67FF">
        <w:rPr>
          <w:rFonts w:ascii="Times New Roman" w:hAnsi="Times New Roman"/>
          <w:szCs w:val="24"/>
        </w:rPr>
        <w:t>Приходите от други данъци по консолидирания бюджет включват основно алтернативните данъци по ЗКПО и имуществени данъци по Закона за местните данъци и такси. Постъпилите приходи в тази група</w:t>
      </w:r>
      <w:r w:rsidRPr="00CB67FF">
        <w:rPr>
          <w:rFonts w:ascii="Times New Roman" w:hAnsi="Times New Roman"/>
          <w:bCs/>
          <w:szCs w:val="24"/>
        </w:rPr>
        <w:t xml:space="preserve"> към 30.06.2024 г. </w:t>
      </w:r>
      <w:r w:rsidRPr="00CB67FF">
        <w:rPr>
          <w:rFonts w:ascii="Times New Roman" w:hAnsi="Times New Roman"/>
          <w:szCs w:val="24"/>
        </w:rPr>
        <w:t>са в размер на 1 276,5 млн. лв.</w:t>
      </w:r>
      <w:r w:rsidRPr="00CB67FF">
        <w:rPr>
          <w:rFonts w:ascii="Times New Roman" w:hAnsi="Times New Roman"/>
        </w:rPr>
        <w:t xml:space="preserve"> (в т. ч. 229,3 млн. лв. по бюджета на Фонд "Сигурност на електроенергийната система" при 676,6 млн. лв. към юни 2023 г.)</w:t>
      </w:r>
      <w:r w:rsidRPr="00CB67FF">
        <w:rPr>
          <w:rFonts w:ascii="Times New Roman" w:hAnsi="Times New Roman"/>
          <w:szCs w:val="24"/>
        </w:rPr>
        <w:t xml:space="preserve"> или 68,9 % от разчета за годината и бележат спад от 25,8 % (444,1 млн. лв.) спрямо постъпленията за шестмесечието на 2023 година. </w:t>
      </w:r>
      <w:r>
        <w:rPr>
          <w:rFonts w:ascii="Times New Roman" w:hAnsi="Times New Roman"/>
          <w:szCs w:val="24"/>
        </w:rPr>
        <w:t>Основната причина за отчетения спад е</w:t>
      </w:r>
      <w:r w:rsidRPr="00CB67FF">
        <w:rPr>
          <w:rFonts w:ascii="Times New Roman" w:hAnsi="Times New Roman"/>
        </w:rPr>
        <w:t xml:space="preserve"> базов</w:t>
      </w:r>
      <w:r>
        <w:rPr>
          <w:rFonts w:ascii="Times New Roman" w:hAnsi="Times New Roman"/>
        </w:rPr>
        <w:t>ия ефект</w:t>
      </w:r>
      <w:r w:rsidRPr="00CB67FF">
        <w:rPr>
          <w:rFonts w:ascii="Times New Roman" w:hAnsi="Times New Roman"/>
        </w:rPr>
        <w:t xml:space="preserve"> основно</w:t>
      </w:r>
      <w:r w:rsidRPr="00CB67FF">
        <w:rPr>
          <w:rFonts w:ascii="Times New Roman" w:hAnsi="Times New Roman"/>
          <w:lang w:val="ru-RU"/>
        </w:rPr>
        <w:t xml:space="preserve"> </w:t>
      </w:r>
      <w:r w:rsidRPr="00CB67FF">
        <w:rPr>
          <w:rFonts w:ascii="Times New Roman" w:hAnsi="Times New Roman"/>
        </w:rPr>
        <w:t>в две направления. Първо, целевите вноски от производителите на електрическа енергия</w:t>
      </w:r>
      <w:r w:rsidRPr="00CB67FF">
        <w:rPr>
          <w:rFonts w:ascii="Times New Roman" w:hAnsi="Times New Roman"/>
          <w:lang w:val="ru-RU"/>
        </w:rPr>
        <w:t xml:space="preserve"> </w:t>
      </w:r>
      <w:r w:rsidRPr="00CB67FF">
        <w:rPr>
          <w:rFonts w:ascii="Times New Roman" w:hAnsi="Times New Roman"/>
        </w:rPr>
        <w:t>по бюджета на ФСЕС намаляват във връзка с нормализирането на цените на електрическата енергия на Българската независима енергийна борса. Второ, няма постъпления от временната солидарна вноска, която е с изтекъл срок на действие и не се прилага през 2024 г.</w:t>
      </w:r>
      <w:r w:rsidRPr="00CB67FF">
        <w:rPr>
          <w:rFonts w:ascii="Times New Roman" w:hAnsi="Times New Roman"/>
          <w:lang w:val="ru-RU"/>
        </w:rPr>
        <w:t xml:space="preserve"> </w:t>
      </w:r>
      <w:r w:rsidRPr="00CB67FF">
        <w:rPr>
          <w:rFonts w:ascii="Times New Roman" w:hAnsi="Times New Roman"/>
        </w:rPr>
        <w:t>за дружествата и местата на стопанска дейност от Съюза, извършващи дейност в отраслите на суровия нефт, природния газ, въглищата и нефтопреработването, за генерираните свръхпечалби съгласно член 14 от Регламент (ЕС) 2022/1854 на Съвета от 6 октомври 2022 г. относно спешна намеса за справяне с високите цени на енергията.</w:t>
      </w:r>
      <w:r>
        <w:t xml:space="preserve"> </w:t>
      </w:r>
    </w:p>
    <w:p w14:paraId="1C3485CF" w14:textId="77777777" w:rsidR="008502D4" w:rsidRPr="007A3E75" w:rsidRDefault="008502D4" w:rsidP="008502D4">
      <w:pPr>
        <w:pStyle w:val="BlockText"/>
        <w:tabs>
          <w:tab w:val="left" w:pos="540"/>
        </w:tabs>
        <w:ind w:left="0" w:right="0"/>
        <w:jc w:val="both"/>
        <w:rPr>
          <w:rFonts w:ascii="Times New Roman" w:hAnsi="Times New Roman"/>
          <w:sz w:val="12"/>
          <w:szCs w:val="12"/>
        </w:rPr>
      </w:pPr>
    </w:p>
    <w:p w14:paraId="25FE0688" w14:textId="77777777" w:rsidR="008502D4" w:rsidRPr="007A3E75" w:rsidRDefault="008502D4" w:rsidP="008502D4">
      <w:pPr>
        <w:pStyle w:val="BlockText"/>
        <w:numPr>
          <w:ilvl w:val="1"/>
          <w:numId w:val="38"/>
        </w:numPr>
        <w:tabs>
          <w:tab w:val="left" w:pos="540"/>
          <w:tab w:val="left" w:pos="900"/>
        </w:tabs>
        <w:ind w:left="0" w:right="0" w:firstLine="0"/>
        <w:jc w:val="both"/>
        <w:rPr>
          <w:rFonts w:ascii="Times New Roman" w:hAnsi="Times New Roman"/>
          <w:b/>
          <w:szCs w:val="24"/>
        </w:rPr>
      </w:pPr>
      <w:r w:rsidRPr="007A3E75">
        <w:rPr>
          <w:rFonts w:ascii="Times New Roman" w:hAnsi="Times New Roman"/>
          <w:b/>
          <w:szCs w:val="24"/>
        </w:rPr>
        <w:t>Други данъци по Закона за корпоративното подоходно облагане</w:t>
      </w:r>
    </w:p>
    <w:p w14:paraId="1D4D48F4" w14:textId="77777777" w:rsidR="008502D4" w:rsidRPr="00E56679" w:rsidRDefault="008502D4" w:rsidP="008502D4">
      <w:pPr>
        <w:tabs>
          <w:tab w:val="left" w:pos="0"/>
          <w:tab w:val="center" w:pos="4153"/>
          <w:tab w:val="right" w:pos="8306"/>
        </w:tabs>
        <w:spacing w:before="120"/>
        <w:jc w:val="both"/>
        <w:rPr>
          <w:color w:val="0070C0"/>
        </w:rPr>
      </w:pPr>
      <w:r w:rsidRPr="007A3E75">
        <w:rPr>
          <w:bCs/>
        </w:rPr>
        <w:t>Постъпленията от други данъци по ЗКПО по консолидираната фискална програма към юни 2024 г. са в размер на 132,5</w:t>
      </w:r>
      <w:r w:rsidRPr="007A3E75">
        <w:rPr>
          <w:lang w:val="ru-RU"/>
        </w:rPr>
        <w:t xml:space="preserve"> </w:t>
      </w:r>
      <w:r w:rsidRPr="007A3E75">
        <w:t xml:space="preserve">млн. лв. или 50,8 % от годишния план. В сравнение със същия период на 2023 г. постъпленията от тази група данъци нарастват с 19,1  млн. лв. (16,8 %). Най-голям относителен дял в общата сума за отчетния период имат постъпленията от данъка върху хазартната дейност (36,5 %), следван от данъка върху приходите на бюджетните предприятия (22,5 %), данъка върху представителните разходи (21,8 %), данъка върху социалните разходи, предоставяни в натура (18,9 %) и данък върху дейността от опериране на кораби (0,3 %). </w:t>
      </w:r>
    </w:p>
    <w:p w14:paraId="38F47F4C" w14:textId="77777777" w:rsidR="008502D4" w:rsidRPr="003B716B" w:rsidRDefault="008502D4" w:rsidP="008502D4">
      <w:pPr>
        <w:pStyle w:val="BlockText"/>
        <w:numPr>
          <w:ilvl w:val="1"/>
          <w:numId w:val="38"/>
        </w:numPr>
        <w:tabs>
          <w:tab w:val="left" w:pos="540"/>
          <w:tab w:val="left" w:pos="900"/>
        </w:tabs>
        <w:spacing w:before="120" w:after="120"/>
        <w:ind w:left="0" w:right="0" w:firstLine="0"/>
        <w:jc w:val="both"/>
        <w:rPr>
          <w:rFonts w:ascii="Times New Roman" w:hAnsi="Times New Roman"/>
          <w:b/>
          <w:szCs w:val="24"/>
        </w:rPr>
      </w:pPr>
      <w:r w:rsidRPr="003B716B">
        <w:rPr>
          <w:rFonts w:ascii="Times New Roman" w:hAnsi="Times New Roman"/>
          <w:b/>
          <w:szCs w:val="24"/>
        </w:rPr>
        <w:t>Имуществени данъци по Закона за местните данъци и такси</w:t>
      </w:r>
    </w:p>
    <w:p w14:paraId="16C46B77" w14:textId="77777777" w:rsidR="008502D4" w:rsidRPr="00E56679" w:rsidRDefault="008502D4" w:rsidP="008502D4">
      <w:pPr>
        <w:ind w:right="23"/>
        <w:jc w:val="both"/>
        <w:rPr>
          <w:color w:val="0070C0"/>
        </w:rPr>
      </w:pPr>
      <w:r w:rsidRPr="003B716B">
        <w:t xml:space="preserve">Имуществените данъци включват данък върху недвижимите имоти, данък върху превозните средства, данък при придобиване на имущество по дарения и възмезден начин, данък върху наследствата и туристически данък, които постъпват по бюджетите на общините. Постъпленията в тази група към 30.06.2024 г. възлизат на 914,7 млн. лв., </w:t>
      </w:r>
      <w:r w:rsidRPr="0065702E">
        <w:t>което представлява 58,1 % от годишния разчет, като нарастват номинално с 88,5 млн. лв. (10,7 %) спрямо постъпленията за същия период на предходната година. В структурно отношение най-голям дял заемат постъпленията от данък върху недвижимите имоти (34,8 %), следват данък върху превозните средства (32,3 %), данък при придобиване на имущество по дарения и възмезден начин (31,9 %) и туристически данък (0,9 %). Данъкът върху наследствата, освен че има инцидентен характер, предвид нормативно определения изключително ограничен обхват, е от несъществено значение в общите приходи от имуществени данъци.</w:t>
      </w:r>
    </w:p>
    <w:p w14:paraId="085B7A71" w14:textId="77777777" w:rsidR="008502D4" w:rsidRPr="00E56679" w:rsidRDefault="008502D4" w:rsidP="008502D4">
      <w:pPr>
        <w:pStyle w:val="BlockText"/>
        <w:tabs>
          <w:tab w:val="left" w:pos="540"/>
          <w:tab w:val="left" w:pos="900"/>
        </w:tabs>
        <w:ind w:left="0" w:right="0"/>
        <w:jc w:val="both"/>
        <w:rPr>
          <w:rFonts w:ascii="Times New Roman" w:hAnsi="Times New Roman"/>
          <w:color w:val="0070C0"/>
          <w:sz w:val="8"/>
          <w:szCs w:val="8"/>
        </w:rPr>
      </w:pPr>
    </w:p>
    <w:p w14:paraId="3874FC18" w14:textId="77777777" w:rsidR="008502D4" w:rsidRPr="00496B04" w:rsidRDefault="008502D4" w:rsidP="008502D4">
      <w:pPr>
        <w:pStyle w:val="Heading3"/>
        <w:numPr>
          <w:ilvl w:val="1"/>
          <w:numId w:val="37"/>
        </w:numPr>
        <w:ind w:left="567" w:hanging="567"/>
        <w:rPr>
          <w:rFonts w:ascii="Times New Roman" w:hAnsi="Times New Roman" w:cs="Times New Roman"/>
          <w:sz w:val="24"/>
          <w:szCs w:val="24"/>
        </w:rPr>
      </w:pPr>
      <w:bookmarkStart w:id="48" w:name="_Toc81485863"/>
      <w:bookmarkStart w:id="49" w:name="_Toc18400758"/>
      <w:bookmarkStart w:id="50" w:name="_Toc524080230"/>
      <w:bookmarkStart w:id="51" w:name="_Toc143522987"/>
      <w:bookmarkStart w:id="52" w:name="_Toc174117325"/>
      <w:bookmarkStart w:id="53" w:name="_Toc176351923"/>
      <w:r w:rsidRPr="00496B04">
        <w:rPr>
          <w:rFonts w:ascii="Times New Roman" w:hAnsi="Times New Roman" w:cs="Times New Roman"/>
          <w:sz w:val="24"/>
          <w:szCs w:val="24"/>
        </w:rPr>
        <w:t>Приходи от социални и здравноосигурителни вноски</w:t>
      </w:r>
      <w:bookmarkEnd w:id="48"/>
      <w:bookmarkEnd w:id="49"/>
      <w:bookmarkEnd w:id="50"/>
      <w:bookmarkEnd w:id="51"/>
      <w:bookmarkEnd w:id="52"/>
      <w:bookmarkEnd w:id="53"/>
    </w:p>
    <w:p w14:paraId="7AF803A6" w14:textId="77777777" w:rsidR="008502D4" w:rsidRPr="00496B04" w:rsidRDefault="008502D4" w:rsidP="008502D4">
      <w:pPr>
        <w:spacing w:after="120"/>
        <w:jc w:val="both"/>
        <w:rPr>
          <w:sz w:val="8"/>
          <w:szCs w:val="8"/>
        </w:rPr>
      </w:pPr>
      <w:r w:rsidRPr="00496B04">
        <w:t>Общата сума на приходите от социално и здравноосигурителни вноски към края на месец юни 2024 г. е в размер на 8 698,2 млн. лв., което представлява 49,1 % от планираните за годината.</w:t>
      </w:r>
    </w:p>
    <w:p w14:paraId="17B0FCD4" w14:textId="54EFF4B6" w:rsidR="008502D4" w:rsidRPr="00496B04" w:rsidRDefault="008502D4" w:rsidP="008502D4">
      <w:pPr>
        <w:tabs>
          <w:tab w:val="left" w:pos="540"/>
        </w:tabs>
        <w:spacing w:after="120"/>
        <w:jc w:val="both"/>
      </w:pPr>
      <w:r w:rsidRPr="00496B04">
        <w:t xml:space="preserve">Осигурителните вноски по бюджетите, администрирани от НОИ (вкл. държавното обществено осигуряване, фонд „Гарантирани вземания на работниците и служителите” и Учителски пенсионен фонд), са в размер на 6 277,7 млн. лв. и представляват 48,9 % от предвиденото в ЗБДОО за 2024 година. </w:t>
      </w:r>
      <w:r w:rsidRPr="00496B04">
        <w:rPr>
          <w:bCs/>
        </w:rPr>
        <w:t xml:space="preserve">Върху изпълнението на приходите от </w:t>
      </w:r>
      <w:r w:rsidRPr="00496B04">
        <w:t xml:space="preserve">осигурителни вноски </w:t>
      </w:r>
      <w:r w:rsidRPr="00496B04">
        <w:rPr>
          <w:bCs/>
        </w:rPr>
        <w:t>влияние оказват същите фактори, както и върху приходите от трудови правоотношения по ДДФЛ, вкл. и промяната в размера на максималния осигурителен доход от 1.0</w:t>
      </w:r>
      <w:r w:rsidR="003B527C">
        <w:rPr>
          <w:bCs/>
        </w:rPr>
        <w:t>1</w:t>
      </w:r>
      <w:r w:rsidRPr="00496B04">
        <w:rPr>
          <w:bCs/>
        </w:rPr>
        <w:t>.2024 г. от 3 400 на 3</w:t>
      </w:r>
      <w:r w:rsidR="003B527C">
        <w:rPr>
          <w:bCs/>
        </w:rPr>
        <w:t> </w:t>
      </w:r>
      <w:r w:rsidRPr="00496B04">
        <w:rPr>
          <w:bCs/>
        </w:rPr>
        <w:t>750</w:t>
      </w:r>
      <w:r w:rsidR="003B527C">
        <w:rPr>
          <w:bCs/>
        </w:rPr>
        <w:t> </w:t>
      </w:r>
      <w:r w:rsidRPr="00496B04">
        <w:rPr>
          <w:bCs/>
        </w:rPr>
        <w:t>лв.</w:t>
      </w:r>
    </w:p>
    <w:p w14:paraId="7BE01EDD" w14:textId="77777777" w:rsidR="008502D4" w:rsidRPr="00BC5364" w:rsidRDefault="008502D4" w:rsidP="008502D4">
      <w:pPr>
        <w:tabs>
          <w:tab w:val="left" w:pos="540"/>
        </w:tabs>
        <w:spacing w:after="120"/>
        <w:jc w:val="both"/>
      </w:pPr>
      <w:r w:rsidRPr="00496B04">
        <w:t xml:space="preserve">Здравноосигурителните вноски по бюджета на Националната здравноосигурителна каса </w:t>
      </w:r>
      <w:r w:rsidRPr="00BC5364">
        <w:t>са в размер на 2 420,5 млн. лв. или 49,6 % от предвидените за годината.</w:t>
      </w:r>
    </w:p>
    <w:p w14:paraId="600CF9EC" w14:textId="77777777" w:rsidR="008502D4" w:rsidRPr="00BC5364" w:rsidRDefault="008502D4" w:rsidP="008502D4">
      <w:pPr>
        <w:pStyle w:val="Heading3"/>
        <w:numPr>
          <w:ilvl w:val="1"/>
          <w:numId w:val="37"/>
        </w:numPr>
        <w:ind w:left="567" w:hanging="567"/>
        <w:rPr>
          <w:rFonts w:ascii="Times New Roman" w:hAnsi="Times New Roman" w:cs="Times New Roman"/>
          <w:sz w:val="24"/>
          <w:szCs w:val="24"/>
        </w:rPr>
      </w:pPr>
      <w:bookmarkStart w:id="54" w:name="_Toc81485864"/>
      <w:bookmarkStart w:id="55" w:name="_Toc18400759"/>
      <w:bookmarkStart w:id="56" w:name="_Toc524080231"/>
      <w:bookmarkStart w:id="57" w:name="_Toc143522988"/>
      <w:bookmarkStart w:id="58" w:name="_Toc174117326"/>
      <w:bookmarkStart w:id="59" w:name="_Toc176351924"/>
      <w:r w:rsidRPr="00BC5364">
        <w:rPr>
          <w:rFonts w:ascii="Times New Roman" w:hAnsi="Times New Roman" w:cs="Times New Roman"/>
          <w:sz w:val="24"/>
          <w:szCs w:val="24"/>
        </w:rPr>
        <w:t>Косвени данъци</w:t>
      </w:r>
      <w:bookmarkEnd w:id="54"/>
      <w:bookmarkEnd w:id="55"/>
      <w:bookmarkEnd w:id="56"/>
      <w:bookmarkEnd w:id="57"/>
      <w:bookmarkEnd w:id="58"/>
      <w:bookmarkEnd w:id="59"/>
    </w:p>
    <w:p w14:paraId="6CDCB377" w14:textId="77777777" w:rsidR="008502D4" w:rsidRPr="00BC5364" w:rsidRDefault="008502D4" w:rsidP="008502D4">
      <w:pPr>
        <w:pStyle w:val="Heading3"/>
        <w:spacing w:after="120"/>
        <w:ind w:left="568"/>
        <w:rPr>
          <w:rFonts w:ascii="Times New Roman" w:hAnsi="Times New Roman"/>
          <w:i/>
          <w:iCs/>
          <w:sz w:val="24"/>
          <w:szCs w:val="24"/>
        </w:rPr>
      </w:pPr>
      <w:bookmarkStart w:id="60" w:name="_Toc81485865"/>
      <w:bookmarkStart w:id="61" w:name="_Toc18400760"/>
      <w:bookmarkStart w:id="62" w:name="_Toc524080232"/>
      <w:bookmarkStart w:id="63" w:name="_Toc143522989"/>
      <w:bookmarkStart w:id="64" w:name="_Toc174117327"/>
      <w:bookmarkStart w:id="65" w:name="_Toc176351925"/>
      <w:r w:rsidRPr="00BC5364">
        <w:rPr>
          <w:rFonts w:ascii="Times New Roman" w:hAnsi="Times New Roman"/>
          <w:i/>
          <w:iCs/>
          <w:sz w:val="24"/>
          <w:szCs w:val="24"/>
        </w:rPr>
        <w:t>1.4.1 Данък върху добавената стойност</w:t>
      </w:r>
      <w:bookmarkEnd w:id="60"/>
      <w:bookmarkEnd w:id="61"/>
      <w:bookmarkEnd w:id="62"/>
      <w:bookmarkEnd w:id="63"/>
      <w:bookmarkEnd w:id="64"/>
      <w:bookmarkEnd w:id="65"/>
    </w:p>
    <w:p w14:paraId="69DDC92D" w14:textId="77777777" w:rsidR="008502D4" w:rsidRPr="00E56679" w:rsidRDefault="008502D4" w:rsidP="008502D4">
      <w:pPr>
        <w:jc w:val="both"/>
        <w:rPr>
          <w:color w:val="0070C0"/>
        </w:rPr>
      </w:pPr>
      <w:r w:rsidRPr="00BC5364">
        <w:t>С най-голям относителен дял сред видовете данъци по КФП за първото полугодие на 2024 г. е данъкът върху добавената</w:t>
      </w:r>
      <w:r w:rsidRPr="00BC5364">
        <w:rPr>
          <w:b/>
        </w:rPr>
        <w:t xml:space="preserve"> </w:t>
      </w:r>
      <w:r w:rsidRPr="00BC5364">
        <w:t>стойност</w:t>
      </w:r>
      <w:r w:rsidRPr="00BC5364">
        <w:rPr>
          <w:b/>
        </w:rPr>
        <w:t xml:space="preserve"> </w:t>
      </w:r>
      <w:r w:rsidRPr="00BC5364">
        <w:t>– 31,0 %. Отчетените постъпления са в размер на 8 428,1 млн. лв. или 45,2 % от годишния разчет, като нарастват с 1 004,9 млн. лв. (13,5 %) спрямо отчетените за същия период на предходната година.</w:t>
      </w:r>
    </w:p>
    <w:p w14:paraId="7C7BA161" w14:textId="423317C2" w:rsidR="008502D4" w:rsidRPr="001C018A" w:rsidRDefault="008502D4" w:rsidP="008502D4">
      <w:pPr>
        <w:spacing w:after="120"/>
        <w:ind w:right="-29"/>
        <w:jc w:val="both"/>
      </w:pPr>
      <w:r w:rsidRPr="00EA48F3">
        <w:t xml:space="preserve">Нетният размер на приходите от </w:t>
      </w:r>
      <w:r w:rsidRPr="00EA48F3">
        <w:rPr>
          <w:i/>
        </w:rPr>
        <w:t>ДДС от внос</w:t>
      </w:r>
      <w:r w:rsidRPr="00EA48F3">
        <w:t xml:space="preserve"> </w:t>
      </w:r>
      <w:r w:rsidRPr="00EA48F3">
        <w:rPr>
          <w:bCs/>
        </w:rPr>
        <w:t>към юни 2024</w:t>
      </w:r>
      <w:r w:rsidRPr="00EA48F3">
        <w:t xml:space="preserve"> г. е 3 138,8 млн. лв., като нараства със 7,3 % (212,4 млн. лв.) спрямо същия период на предходната година. </w:t>
      </w:r>
      <w:r>
        <w:rPr>
          <w:shd w:val="clear" w:color="auto" w:fill="FFFFFF"/>
        </w:rPr>
        <w:t>Разглеждайки</w:t>
      </w:r>
      <w:r>
        <w:t xml:space="preserve"> декларирания ДДС при внос по групи стоки, съобразно Класификатора на широките икономически категории (</w:t>
      </w:r>
      <w:r>
        <w:rPr>
          <w:lang w:val="en-US"/>
        </w:rPr>
        <w:t>BEC</w:t>
      </w:r>
      <w:r>
        <w:t xml:space="preserve">), през първото полугодие на 2024 г. спрямо същия период на предходната година се наблюдава спад при </w:t>
      </w:r>
      <w:r>
        <w:rPr>
          <w:color w:val="000000"/>
        </w:rPr>
        <w:t xml:space="preserve">групите „Промишлени доставки“, „Инвестиционни стоки“, „Транспортно оборудване“ и „Потребителски стоки“. Повишение се отчита при групите „Горива и смазочни материали“ и „Храни и напитки“. </w:t>
      </w:r>
      <w:r w:rsidRPr="005E4E89">
        <w:t xml:space="preserve">Върху </w:t>
      </w:r>
      <w:r w:rsidRPr="00936D02">
        <w:t xml:space="preserve">постъпленията от ДДС от внос влияние оказва възможността </w:t>
      </w:r>
      <w:r w:rsidRPr="00936D02">
        <w:rPr>
          <w:iCs/>
        </w:rPr>
        <w:t>за отложено начисляване на ДДС от вносител при внос на стоки от трети страни, в съответствие с разпоредбата на чл. 167а от Закона за данък върху добавената стойност.</w:t>
      </w:r>
      <w:r w:rsidRPr="00936D02">
        <w:rPr>
          <w:bCs/>
        </w:rPr>
        <w:t xml:space="preserve"> </w:t>
      </w:r>
      <w:r>
        <w:rPr>
          <w:bCs/>
        </w:rPr>
        <w:t xml:space="preserve">Ефектът от прилагането на този режим към края на юни 2024 г. е </w:t>
      </w:r>
      <w:proofErr w:type="spellStart"/>
      <w:r>
        <w:rPr>
          <w:bCs/>
        </w:rPr>
        <w:t>неначислен</w:t>
      </w:r>
      <w:proofErr w:type="spellEnd"/>
      <w:r>
        <w:rPr>
          <w:bCs/>
        </w:rPr>
        <w:t xml:space="preserve"> ДДС при внос в размер на </w:t>
      </w:r>
      <w:r>
        <w:rPr>
          <w:rFonts w:eastAsia="Calibri"/>
          <w:color w:val="000000"/>
        </w:rPr>
        <w:t>759,8</w:t>
      </w:r>
      <w:r>
        <w:rPr>
          <w:bCs/>
        </w:rPr>
        <w:t xml:space="preserve"> млн. лв., което е </w:t>
      </w:r>
      <w:r>
        <w:rPr>
          <w:color w:val="000000"/>
        </w:rPr>
        <w:t>със 100,8</w:t>
      </w:r>
      <w:r>
        <w:rPr>
          <w:bCs/>
        </w:rPr>
        <w:t xml:space="preserve"> млн. лв. повече спрямо същия период на 2023 г. (ръст от 15,3 %). Стоките с най-значителен дял са: р</w:t>
      </w:r>
      <w:r>
        <w:t xml:space="preserve">уди, шлаки и </w:t>
      </w:r>
      <w:proofErr w:type="spellStart"/>
      <w:r>
        <w:t>пепели</w:t>
      </w:r>
      <w:proofErr w:type="spellEnd"/>
      <w:r>
        <w:t xml:space="preserve"> </w:t>
      </w:r>
      <w:r>
        <w:rPr>
          <w:bCs/>
        </w:rPr>
        <w:t xml:space="preserve">– </w:t>
      </w:r>
      <w:r>
        <w:rPr>
          <w:color w:val="000000"/>
        </w:rPr>
        <w:t>472,9</w:t>
      </w:r>
      <w:r>
        <w:rPr>
          <w:rFonts w:eastAsia="Calibri"/>
          <w:color w:val="000000"/>
        </w:rPr>
        <w:t xml:space="preserve"> </w:t>
      </w:r>
      <w:r>
        <w:rPr>
          <w:bCs/>
        </w:rPr>
        <w:t>млн. лв. (</w:t>
      </w:r>
      <w:r>
        <w:rPr>
          <w:color w:val="000000"/>
        </w:rPr>
        <w:t>увеличение със 113,5 млн. лв</w:t>
      </w:r>
      <w:r w:rsidR="00892112">
        <w:rPr>
          <w:color w:val="000000"/>
        </w:rPr>
        <w:t>.</w:t>
      </w:r>
      <w:r>
        <w:rPr>
          <w:color w:val="000000"/>
        </w:rPr>
        <w:t>, 31,6 % ръст</w:t>
      </w:r>
      <w:r>
        <w:rPr>
          <w:bCs/>
        </w:rPr>
        <w:t xml:space="preserve">), мед и изделия от мед – </w:t>
      </w:r>
      <w:r>
        <w:rPr>
          <w:color w:val="000000"/>
        </w:rPr>
        <w:t>118,5 млн. лв</w:t>
      </w:r>
      <w:r w:rsidR="00892112">
        <w:rPr>
          <w:color w:val="000000"/>
        </w:rPr>
        <w:t>.</w:t>
      </w:r>
      <w:r>
        <w:rPr>
          <w:color w:val="000000"/>
        </w:rPr>
        <w:t xml:space="preserve"> (намаление с 10,9 млн. лв</w:t>
      </w:r>
      <w:r w:rsidR="00892112">
        <w:rPr>
          <w:color w:val="000000"/>
        </w:rPr>
        <w:t>.</w:t>
      </w:r>
      <w:r>
        <w:rPr>
          <w:color w:val="000000"/>
        </w:rPr>
        <w:t>, 8,4 % спад</w:t>
      </w:r>
      <w:r>
        <w:rPr>
          <w:bCs/>
        </w:rPr>
        <w:t xml:space="preserve">) и </w:t>
      </w:r>
      <w:r>
        <w:t xml:space="preserve">чугун, желязо и стомана – </w:t>
      </w:r>
      <w:r w:rsidR="00892112">
        <w:rPr>
          <w:color w:val="000000"/>
        </w:rPr>
        <w:t>78,2 млн. л</w:t>
      </w:r>
      <w:r>
        <w:rPr>
          <w:color w:val="000000"/>
        </w:rPr>
        <w:t>в</w:t>
      </w:r>
      <w:r w:rsidR="00892112">
        <w:rPr>
          <w:color w:val="000000"/>
        </w:rPr>
        <w:t>.</w:t>
      </w:r>
      <w:r>
        <w:rPr>
          <w:color w:val="000000"/>
        </w:rPr>
        <w:t xml:space="preserve"> (увеличение с 10,1 млн. лв</w:t>
      </w:r>
      <w:r w:rsidR="00892112">
        <w:rPr>
          <w:color w:val="000000"/>
        </w:rPr>
        <w:t>.</w:t>
      </w:r>
      <w:r>
        <w:rPr>
          <w:color w:val="000000"/>
        </w:rPr>
        <w:t>, 14,8 % ръст</w:t>
      </w:r>
      <w:r>
        <w:t xml:space="preserve">). Изброените три групи стоки формират </w:t>
      </w:r>
      <w:r>
        <w:rPr>
          <w:color w:val="000000"/>
        </w:rPr>
        <w:t xml:space="preserve">88,1 </w:t>
      </w:r>
      <w:r>
        <w:t xml:space="preserve">% </w:t>
      </w:r>
      <w:r w:rsidRPr="001C018A">
        <w:t xml:space="preserve">от </w:t>
      </w:r>
      <w:proofErr w:type="spellStart"/>
      <w:r w:rsidRPr="001C018A">
        <w:t>неначисления</w:t>
      </w:r>
      <w:proofErr w:type="spellEnd"/>
      <w:r w:rsidRPr="001C018A">
        <w:t xml:space="preserve"> ДДС при внос за първите шест месеца на 2024 година. </w:t>
      </w:r>
    </w:p>
    <w:p w14:paraId="2DEB04DE" w14:textId="77777777" w:rsidR="008502D4" w:rsidRPr="001C018A" w:rsidRDefault="008502D4" w:rsidP="008502D4">
      <w:pPr>
        <w:spacing w:after="120"/>
        <w:contextualSpacing/>
        <w:jc w:val="both"/>
      </w:pPr>
      <w:r w:rsidRPr="001C018A">
        <w:t>Постъпленията от ДДС от внос по групи стоки са както следва:</w:t>
      </w:r>
    </w:p>
    <w:p w14:paraId="2C269197" w14:textId="77777777" w:rsidR="008502D4" w:rsidRPr="001C018A" w:rsidRDefault="008502D4" w:rsidP="008502D4">
      <w:pPr>
        <w:ind w:left="7787" w:right="-28" w:firstLine="1"/>
        <w:jc w:val="center"/>
      </w:pPr>
      <w:r w:rsidRPr="001C018A">
        <w:t>млн. лв.</w:t>
      </w:r>
    </w:p>
    <w:tbl>
      <w:tblPr>
        <w:tblW w:w="957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30" w:type="dxa"/>
          <w:right w:w="30" w:type="dxa"/>
        </w:tblCellMar>
        <w:tblLook w:val="0000" w:firstRow="0" w:lastRow="0" w:firstColumn="0" w:lastColumn="0" w:noHBand="0" w:noVBand="0"/>
      </w:tblPr>
      <w:tblGrid>
        <w:gridCol w:w="5069"/>
        <w:gridCol w:w="1219"/>
        <w:gridCol w:w="1064"/>
        <w:gridCol w:w="1064"/>
        <w:gridCol w:w="1161"/>
      </w:tblGrid>
      <w:tr w:rsidR="008502D4" w:rsidRPr="001C018A" w14:paraId="6205E7E5" w14:textId="77777777" w:rsidTr="00654A69">
        <w:trPr>
          <w:trHeight w:val="500"/>
        </w:trPr>
        <w:tc>
          <w:tcPr>
            <w:tcW w:w="5069" w:type="dxa"/>
            <w:tcBorders>
              <w:bottom w:val="double" w:sz="4" w:space="0" w:color="auto"/>
            </w:tcBorders>
            <w:shd w:val="solid" w:color="C0C0C0" w:fill="auto"/>
            <w:vAlign w:val="center"/>
          </w:tcPr>
          <w:p w14:paraId="5EAC18A2" w14:textId="77777777" w:rsidR="008502D4" w:rsidRPr="001C018A" w:rsidRDefault="008502D4" w:rsidP="00654A69">
            <w:pPr>
              <w:jc w:val="both"/>
              <w:rPr>
                <w:b/>
              </w:rPr>
            </w:pPr>
            <w:r w:rsidRPr="001C018A">
              <w:rPr>
                <w:b/>
              </w:rPr>
              <w:t>Групи стоки с начислен ДДС от внос</w:t>
            </w:r>
          </w:p>
        </w:tc>
        <w:tc>
          <w:tcPr>
            <w:tcW w:w="1219" w:type="dxa"/>
            <w:tcBorders>
              <w:bottom w:val="double" w:sz="4" w:space="0" w:color="auto"/>
            </w:tcBorders>
            <w:shd w:val="solid" w:color="C0C0C0" w:fill="auto"/>
            <w:vAlign w:val="center"/>
          </w:tcPr>
          <w:p w14:paraId="0B39E355" w14:textId="77777777" w:rsidR="008502D4" w:rsidRPr="001C018A" w:rsidRDefault="008502D4" w:rsidP="00654A69">
            <w:pPr>
              <w:jc w:val="center"/>
              <w:rPr>
                <w:sz w:val="20"/>
              </w:rPr>
            </w:pPr>
            <w:r w:rsidRPr="001C018A">
              <w:rPr>
                <w:sz w:val="20"/>
              </w:rPr>
              <w:t>Отчет</w:t>
            </w:r>
          </w:p>
          <w:p w14:paraId="46D2FD9C" w14:textId="77777777" w:rsidR="008502D4" w:rsidRPr="001C018A" w:rsidRDefault="008502D4" w:rsidP="00654A69">
            <w:pPr>
              <w:jc w:val="center"/>
              <w:rPr>
                <w:sz w:val="20"/>
              </w:rPr>
            </w:pPr>
            <w:r w:rsidRPr="001C018A">
              <w:rPr>
                <w:sz w:val="20"/>
              </w:rPr>
              <w:t>30.06.2023</w:t>
            </w:r>
          </w:p>
        </w:tc>
        <w:tc>
          <w:tcPr>
            <w:tcW w:w="1064" w:type="dxa"/>
            <w:tcBorders>
              <w:bottom w:val="double" w:sz="4" w:space="0" w:color="auto"/>
            </w:tcBorders>
            <w:shd w:val="solid" w:color="C0C0C0" w:fill="auto"/>
            <w:vAlign w:val="center"/>
          </w:tcPr>
          <w:p w14:paraId="27581953" w14:textId="77777777" w:rsidR="008502D4" w:rsidRPr="001C018A" w:rsidRDefault="008502D4" w:rsidP="00654A69">
            <w:pPr>
              <w:jc w:val="center"/>
              <w:rPr>
                <w:sz w:val="20"/>
              </w:rPr>
            </w:pPr>
            <w:r w:rsidRPr="001C018A">
              <w:rPr>
                <w:sz w:val="20"/>
              </w:rPr>
              <w:t>Отчет</w:t>
            </w:r>
          </w:p>
          <w:p w14:paraId="79D03BD9" w14:textId="77777777" w:rsidR="008502D4" w:rsidRPr="001C018A" w:rsidRDefault="008502D4" w:rsidP="00654A69">
            <w:pPr>
              <w:jc w:val="center"/>
              <w:rPr>
                <w:sz w:val="20"/>
              </w:rPr>
            </w:pPr>
            <w:r w:rsidRPr="001C018A">
              <w:rPr>
                <w:sz w:val="20"/>
              </w:rPr>
              <w:t>30.06.2024</w:t>
            </w:r>
          </w:p>
        </w:tc>
        <w:tc>
          <w:tcPr>
            <w:tcW w:w="1064" w:type="dxa"/>
            <w:tcBorders>
              <w:bottom w:val="double" w:sz="4" w:space="0" w:color="auto"/>
            </w:tcBorders>
            <w:shd w:val="solid" w:color="C0C0C0" w:fill="auto"/>
            <w:vAlign w:val="center"/>
          </w:tcPr>
          <w:p w14:paraId="4494E499" w14:textId="77777777" w:rsidR="008502D4" w:rsidRPr="001C018A" w:rsidRDefault="008502D4" w:rsidP="00654A69">
            <w:pPr>
              <w:ind w:right="120"/>
              <w:jc w:val="center"/>
              <w:rPr>
                <w:sz w:val="20"/>
              </w:rPr>
            </w:pPr>
            <w:r w:rsidRPr="001C018A">
              <w:rPr>
                <w:sz w:val="20"/>
              </w:rPr>
              <w:t>Относителен дял</w:t>
            </w:r>
          </w:p>
        </w:tc>
        <w:tc>
          <w:tcPr>
            <w:tcW w:w="1161" w:type="dxa"/>
            <w:tcBorders>
              <w:bottom w:val="double" w:sz="4" w:space="0" w:color="auto"/>
            </w:tcBorders>
            <w:shd w:val="solid" w:color="C0C0C0" w:fill="auto"/>
            <w:vAlign w:val="center"/>
          </w:tcPr>
          <w:p w14:paraId="1F12A9A9" w14:textId="77777777" w:rsidR="008502D4" w:rsidRPr="001C018A" w:rsidRDefault="008502D4" w:rsidP="00654A69">
            <w:pPr>
              <w:jc w:val="center"/>
              <w:rPr>
                <w:sz w:val="20"/>
              </w:rPr>
            </w:pPr>
            <w:r w:rsidRPr="001C018A">
              <w:rPr>
                <w:sz w:val="20"/>
              </w:rPr>
              <w:t>Ръст</w:t>
            </w:r>
          </w:p>
          <w:p w14:paraId="2A037756" w14:textId="77777777" w:rsidR="008502D4" w:rsidRPr="001C018A" w:rsidRDefault="008502D4" w:rsidP="00654A69">
            <w:pPr>
              <w:jc w:val="center"/>
              <w:rPr>
                <w:sz w:val="20"/>
              </w:rPr>
            </w:pPr>
            <w:r w:rsidRPr="001C018A">
              <w:rPr>
                <w:sz w:val="20"/>
              </w:rPr>
              <w:t>2024/2023</w:t>
            </w:r>
          </w:p>
        </w:tc>
      </w:tr>
      <w:tr w:rsidR="008502D4" w:rsidRPr="001C018A" w14:paraId="5D603115" w14:textId="77777777" w:rsidTr="00654A69">
        <w:trPr>
          <w:trHeight w:val="139"/>
        </w:trPr>
        <w:tc>
          <w:tcPr>
            <w:tcW w:w="5069" w:type="dxa"/>
            <w:tcBorders>
              <w:top w:val="single" w:sz="4" w:space="0" w:color="auto"/>
              <w:left w:val="double" w:sz="4" w:space="0" w:color="auto"/>
              <w:bottom w:val="single" w:sz="4" w:space="0" w:color="auto"/>
              <w:right w:val="single" w:sz="4" w:space="0" w:color="auto"/>
            </w:tcBorders>
            <w:vAlign w:val="center"/>
          </w:tcPr>
          <w:p w14:paraId="179E2B3D" w14:textId="77777777" w:rsidR="008502D4" w:rsidRPr="001C018A" w:rsidRDefault="008502D4" w:rsidP="00654A69">
            <w:pPr>
              <w:jc w:val="both"/>
              <w:rPr>
                <w:sz w:val="20"/>
                <w:szCs w:val="20"/>
              </w:rPr>
            </w:pPr>
            <w:r w:rsidRPr="001C018A">
              <w:rPr>
                <w:sz w:val="20"/>
                <w:szCs w:val="20"/>
              </w:rPr>
              <w:t xml:space="preserve">Промишлени доставки </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29ED7DFB" w14:textId="77777777" w:rsidR="008502D4" w:rsidRPr="001C018A" w:rsidRDefault="008502D4" w:rsidP="00654A69">
            <w:pPr>
              <w:spacing w:line="288" w:lineRule="auto"/>
              <w:jc w:val="right"/>
              <w:rPr>
                <w:sz w:val="20"/>
                <w:szCs w:val="20"/>
              </w:rPr>
            </w:pPr>
            <w:r w:rsidRPr="001C018A">
              <w:rPr>
                <w:sz w:val="20"/>
                <w:szCs w:val="20"/>
              </w:rPr>
              <w:t>913,3</w:t>
            </w:r>
          </w:p>
        </w:tc>
        <w:tc>
          <w:tcPr>
            <w:tcW w:w="1064" w:type="dxa"/>
            <w:tcBorders>
              <w:top w:val="single" w:sz="4" w:space="0" w:color="auto"/>
              <w:left w:val="nil"/>
              <w:bottom w:val="single" w:sz="4" w:space="0" w:color="auto"/>
              <w:right w:val="single" w:sz="4" w:space="0" w:color="auto"/>
            </w:tcBorders>
            <w:shd w:val="clear" w:color="auto" w:fill="auto"/>
            <w:vAlign w:val="center"/>
          </w:tcPr>
          <w:p w14:paraId="1706D037" w14:textId="77777777" w:rsidR="008502D4" w:rsidRPr="001C018A" w:rsidRDefault="008502D4" w:rsidP="00654A69">
            <w:pPr>
              <w:spacing w:line="288" w:lineRule="auto"/>
              <w:jc w:val="right"/>
              <w:rPr>
                <w:sz w:val="20"/>
                <w:szCs w:val="20"/>
              </w:rPr>
            </w:pPr>
            <w:r w:rsidRPr="001C018A">
              <w:rPr>
                <w:sz w:val="20"/>
                <w:szCs w:val="20"/>
              </w:rPr>
              <w:t>867,2</w:t>
            </w:r>
          </w:p>
        </w:tc>
        <w:tc>
          <w:tcPr>
            <w:tcW w:w="1064" w:type="dxa"/>
            <w:tcBorders>
              <w:top w:val="single" w:sz="4" w:space="0" w:color="auto"/>
              <w:left w:val="nil"/>
              <w:bottom w:val="single" w:sz="4" w:space="0" w:color="auto"/>
              <w:right w:val="single" w:sz="4" w:space="0" w:color="auto"/>
            </w:tcBorders>
            <w:shd w:val="clear" w:color="auto" w:fill="auto"/>
            <w:vAlign w:val="bottom"/>
          </w:tcPr>
          <w:p w14:paraId="7B6E9323" w14:textId="77777777" w:rsidR="008502D4" w:rsidRPr="001C018A" w:rsidRDefault="008502D4" w:rsidP="00654A69">
            <w:pPr>
              <w:spacing w:line="288" w:lineRule="auto"/>
              <w:ind w:right="120"/>
              <w:jc w:val="right"/>
              <w:rPr>
                <w:sz w:val="20"/>
                <w:szCs w:val="20"/>
              </w:rPr>
            </w:pPr>
            <w:r w:rsidRPr="001C018A">
              <w:rPr>
                <w:sz w:val="20"/>
                <w:szCs w:val="20"/>
              </w:rPr>
              <w:t>28,3 %</w:t>
            </w:r>
          </w:p>
        </w:tc>
        <w:tc>
          <w:tcPr>
            <w:tcW w:w="1161" w:type="dxa"/>
            <w:tcBorders>
              <w:top w:val="single" w:sz="4" w:space="0" w:color="auto"/>
              <w:left w:val="nil"/>
              <w:bottom w:val="single" w:sz="4" w:space="0" w:color="auto"/>
              <w:right w:val="single" w:sz="4" w:space="0" w:color="auto"/>
            </w:tcBorders>
            <w:shd w:val="clear" w:color="auto" w:fill="auto"/>
            <w:vAlign w:val="bottom"/>
          </w:tcPr>
          <w:p w14:paraId="5C0F98A7" w14:textId="77777777" w:rsidR="008502D4" w:rsidRPr="001C018A" w:rsidRDefault="008502D4" w:rsidP="00654A69">
            <w:pPr>
              <w:spacing w:line="288" w:lineRule="auto"/>
              <w:jc w:val="right"/>
              <w:rPr>
                <w:sz w:val="20"/>
                <w:szCs w:val="20"/>
              </w:rPr>
            </w:pPr>
            <w:r w:rsidRPr="001C018A">
              <w:rPr>
                <w:sz w:val="20"/>
                <w:szCs w:val="20"/>
              </w:rPr>
              <w:t>-5,1%</w:t>
            </w:r>
          </w:p>
        </w:tc>
      </w:tr>
      <w:tr w:rsidR="008502D4" w:rsidRPr="001C018A" w14:paraId="643F3F9A" w14:textId="77777777" w:rsidTr="00654A69">
        <w:trPr>
          <w:trHeight w:val="234"/>
        </w:trPr>
        <w:tc>
          <w:tcPr>
            <w:tcW w:w="5069" w:type="dxa"/>
            <w:tcBorders>
              <w:top w:val="single" w:sz="4" w:space="0" w:color="auto"/>
              <w:left w:val="double" w:sz="4" w:space="0" w:color="auto"/>
              <w:bottom w:val="single" w:sz="4" w:space="0" w:color="auto"/>
              <w:right w:val="single" w:sz="4" w:space="0" w:color="auto"/>
            </w:tcBorders>
            <w:vAlign w:val="center"/>
          </w:tcPr>
          <w:p w14:paraId="4E47DA7B" w14:textId="77777777" w:rsidR="008502D4" w:rsidRPr="001C018A" w:rsidRDefault="008502D4" w:rsidP="00654A69">
            <w:pPr>
              <w:jc w:val="both"/>
              <w:rPr>
                <w:sz w:val="20"/>
                <w:szCs w:val="20"/>
              </w:rPr>
            </w:pPr>
            <w:r w:rsidRPr="001C018A">
              <w:rPr>
                <w:sz w:val="20"/>
                <w:szCs w:val="20"/>
              </w:rPr>
              <w:t>Горива и смазочни материали</w:t>
            </w:r>
          </w:p>
        </w:tc>
        <w:tc>
          <w:tcPr>
            <w:tcW w:w="1219" w:type="dxa"/>
            <w:tcBorders>
              <w:top w:val="nil"/>
              <w:left w:val="single" w:sz="4" w:space="0" w:color="auto"/>
              <w:bottom w:val="single" w:sz="4" w:space="0" w:color="auto"/>
              <w:right w:val="single" w:sz="4" w:space="0" w:color="auto"/>
            </w:tcBorders>
            <w:shd w:val="clear" w:color="auto" w:fill="auto"/>
            <w:vAlign w:val="center"/>
          </w:tcPr>
          <w:p w14:paraId="35957115" w14:textId="77777777" w:rsidR="008502D4" w:rsidRPr="001C018A" w:rsidRDefault="008502D4" w:rsidP="00654A69">
            <w:pPr>
              <w:spacing w:line="288" w:lineRule="auto"/>
              <w:jc w:val="right"/>
              <w:rPr>
                <w:sz w:val="20"/>
                <w:szCs w:val="20"/>
              </w:rPr>
            </w:pPr>
            <w:r w:rsidRPr="001C018A">
              <w:rPr>
                <w:sz w:val="20"/>
                <w:szCs w:val="20"/>
              </w:rPr>
              <w:t>575,9</w:t>
            </w:r>
          </w:p>
        </w:tc>
        <w:tc>
          <w:tcPr>
            <w:tcW w:w="1064" w:type="dxa"/>
            <w:tcBorders>
              <w:top w:val="nil"/>
              <w:left w:val="nil"/>
              <w:bottom w:val="single" w:sz="4" w:space="0" w:color="auto"/>
              <w:right w:val="single" w:sz="4" w:space="0" w:color="auto"/>
            </w:tcBorders>
            <w:shd w:val="clear" w:color="auto" w:fill="auto"/>
            <w:vAlign w:val="center"/>
          </w:tcPr>
          <w:p w14:paraId="412008A6" w14:textId="77777777" w:rsidR="008502D4" w:rsidRPr="001C018A" w:rsidRDefault="008502D4" w:rsidP="00654A69">
            <w:pPr>
              <w:spacing w:line="288" w:lineRule="auto"/>
              <w:jc w:val="right"/>
              <w:rPr>
                <w:sz w:val="20"/>
                <w:szCs w:val="20"/>
              </w:rPr>
            </w:pPr>
            <w:r w:rsidRPr="001C018A">
              <w:rPr>
                <w:sz w:val="20"/>
                <w:szCs w:val="20"/>
              </w:rPr>
              <w:t>900,5</w:t>
            </w:r>
          </w:p>
        </w:tc>
        <w:tc>
          <w:tcPr>
            <w:tcW w:w="1064" w:type="dxa"/>
            <w:tcBorders>
              <w:top w:val="nil"/>
              <w:left w:val="nil"/>
              <w:bottom w:val="single" w:sz="4" w:space="0" w:color="auto"/>
              <w:right w:val="single" w:sz="4" w:space="0" w:color="auto"/>
            </w:tcBorders>
            <w:shd w:val="clear" w:color="auto" w:fill="auto"/>
            <w:vAlign w:val="bottom"/>
          </w:tcPr>
          <w:p w14:paraId="04F88FDD" w14:textId="77777777" w:rsidR="008502D4" w:rsidRPr="001C018A" w:rsidRDefault="008502D4" w:rsidP="00654A69">
            <w:pPr>
              <w:spacing w:line="288" w:lineRule="auto"/>
              <w:ind w:right="120"/>
              <w:jc w:val="right"/>
              <w:rPr>
                <w:sz w:val="20"/>
                <w:szCs w:val="20"/>
              </w:rPr>
            </w:pPr>
            <w:r w:rsidRPr="001C018A">
              <w:rPr>
                <w:sz w:val="20"/>
                <w:szCs w:val="20"/>
              </w:rPr>
              <w:t>29,4 %</w:t>
            </w:r>
          </w:p>
        </w:tc>
        <w:tc>
          <w:tcPr>
            <w:tcW w:w="1161" w:type="dxa"/>
            <w:tcBorders>
              <w:top w:val="nil"/>
              <w:left w:val="nil"/>
              <w:bottom w:val="single" w:sz="4" w:space="0" w:color="auto"/>
              <w:right w:val="single" w:sz="4" w:space="0" w:color="auto"/>
            </w:tcBorders>
            <w:shd w:val="clear" w:color="auto" w:fill="auto"/>
            <w:vAlign w:val="bottom"/>
          </w:tcPr>
          <w:p w14:paraId="4EB3D6AB" w14:textId="77777777" w:rsidR="008502D4" w:rsidRPr="001C018A" w:rsidRDefault="008502D4" w:rsidP="00654A69">
            <w:pPr>
              <w:spacing w:line="288" w:lineRule="auto"/>
              <w:jc w:val="right"/>
              <w:rPr>
                <w:sz w:val="20"/>
                <w:szCs w:val="20"/>
              </w:rPr>
            </w:pPr>
            <w:r w:rsidRPr="001C018A">
              <w:rPr>
                <w:sz w:val="20"/>
                <w:szCs w:val="20"/>
              </w:rPr>
              <w:t>56,4%</w:t>
            </w:r>
          </w:p>
        </w:tc>
      </w:tr>
      <w:tr w:rsidR="008502D4" w:rsidRPr="001C018A" w14:paraId="7889EF05" w14:textId="77777777" w:rsidTr="00654A69">
        <w:trPr>
          <w:trHeight w:val="201"/>
        </w:trPr>
        <w:tc>
          <w:tcPr>
            <w:tcW w:w="5069" w:type="dxa"/>
            <w:tcBorders>
              <w:top w:val="single" w:sz="4" w:space="0" w:color="auto"/>
              <w:left w:val="double" w:sz="4" w:space="0" w:color="auto"/>
              <w:bottom w:val="single" w:sz="4" w:space="0" w:color="auto"/>
              <w:right w:val="single" w:sz="4" w:space="0" w:color="auto"/>
            </w:tcBorders>
            <w:vAlign w:val="center"/>
          </w:tcPr>
          <w:p w14:paraId="6977DCD8" w14:textId="77777777" w:rsidR="008502D4" w:rsidRPr="001C018A" w:rsidRDefault="008502D4" w:rsidP="00654A69">
            <w:pPr>
              <w:jc w:val="both"/>
              <w:rPr>
                <w:sz w:val="20"/>
                <w:szCs w:val="20"/>
              </w:rPr>
            </w:pPr>
            <w:r w:rsidRPr="001C018A">
              <w:rPr>
                <w:sz w:val="20"/>
                <w:szCs w:val="20"/>
              </w:rPr>
              <w:t xml:space="preserve">Инвестиционни стоки </w:t>
            </w:r>
          </w:p>
        </w:tc>
        <w:tc>
          <w:tcPr>
            <w:tcW w:w="1219" w:type="dxa"/>
            <w:tcBorders>
              <w:top w:val="nil"/>
              <w:left w:val="single" w:sz="4" w:space="0" w:color="auto"/>
              <w:bottom w:val="single" w:sz="4" w:space="0" w:color="auto"/>
              <w:right w:val="single" w:sz="4" w:space="0" w:color="auto"/>
            </w:tcBorders>
            <w:shd w:val="clear" w:color="auto" w:fill="auto"/>
            <w:vAlign w:val="center"/>
          </w:tcPr>
          <w:p w14:paraId="36604BDF" w14:textId="77777777" w:rsidR="008502D4" w:rsidRPr="001C018A" w:rsidRDefault="008502D4" w:rsidP="00654A69">
            <w:pPr>
              <w:spacing w:line="288" w:lineRule="auto"/>
              <w:jc w:val="right"/>
              <w:rPr>
                <w:sz w:val="20"/>
                <w:szCs w:val="20"/>
              </w:rPr>
            </w:pPr>
            <w:r w:rsidRPr="001C018A">
              <w:rPr>
                <w:sz w:val="20"/>
                <w:szCs w:val="20"/>
              </w:rPr>
              <w:t>597,8</w:t>
            </w:r>
          </w:p>
        </w:tc>
        <w:tc>
          <w:tcPr>
            <w:tcW w:w="1064" w:type="dxa"/>
            <w:tcBorders>
              <w:top w:val="nil"/>
              <w:left w:val="nil"/>
              <w:bottom w:val="single" w:sz="4" w:space="0" w:color="auto"/>
              <w:right w:val="single" w:sz="4" w:space="0" w:color="auto"/>
            </w:tcBorders>
            <w:shd w:val="clear" w:color="auto" w:fill="auto"/>
            <w:vAlign w:val="center"/>
          </w:tcPr>
          <w:p w14:paraId="274B7817" w14:textId="77777777" w:rsidR="008502D4" w:rsidRPr="001C018A" w:rsidRDefault="008502D4" w:rsidP="00654A69">
            <w:pPr>
              <w:spacing w:line="288" w:lineRule="auto"/>
              <w:jc w:val="right"/>
              <w:rPr>
                <w:sz w:val="20"/>
                <w:szCs w:val="20"/>
              </w:rPr>
            </w:pPr>
            <w:r w:rsidRPr="001C018A">
              <w:rPr>
                <w:sz w:val="20"/>
                <w:szCs w:val="20"/>
              </w:rPr>
              <w:t>542,2</w:t>
            </w:r>
          </w:p>
        </w:tc>
        <w:tc>
          <w:tcPr>
            <w:tcW w:w="1064" w:type="dxa"/>
            <w:tcBorders>
              <w:top w:val="nil"/>
              <w:left w:val="nil"/>
              <w:bottom w:val="single" w:sz="4" w:space="0" w:color="auto"/>
              <w:right w:val="single" w:sz="4" w:space="0" w:color="auto"/>
            </w:tcBorders>
            <w:shd w:val="clear" w:color="auto" w:fill="auto"/>
            <w:vAlign w:val="bottom"/>
          </w:tcPr>
          <w:p w14:paraId="154AC82D" w14:textId="77777777" w:rsidR="008502D4" w:rsidRPr="001C018A" w:rsidRDefault="008502D4" w:rsidP="00654A69">
            <w:pPr>
              <w:spacing w:line="288" w:lineRule="auto"/>
              <w:ind w:right="120"/>
              <w:jc w:val="right"/>
              <w:rPr>
                <w:sz w:val="20"/>
                <w:szCs w:val="20"/>
              </w:rPr>
            </w:pPr>
            <w:r w:rsidRPr="001C018A">
              <w:rPr>
                <w:sz w:val="20"/>
                <w:szCs w:val="20"/>
              </w:rPr>
              <w:t>17,7 %</w:t>
            </w:r>
          </w:p>
        </w:tc>
        <w:tc>
          <w:tcPr>
            <w:tcW w:w="1161" w:type="dxa"/>
            <w:tcBorders>
              <w:top w:val="nil"/>
              <w:left w:val="nil"/>
              <w:bottom w:val="single" w:sz="4" w:space="0" w:color="auto"/>
              <w:right w:val="single" w:sz="4" w:space="0" w:color="auto"/>
            </w:tcBorders>
            <w:shd w:val="clear" w:color="auto" w:fill="auto"/>
            <w:vAlign w:val="bottom"/>
          </w:tcPr>
          <w:p w14:paraId="70EE1433" w14:textId="77777777" w:rsidR="008502D4" w:rsidRPr="001C018A" w:rsidRDefault="008502D4" w:rsidP="00654A69">
            <w:pPr>
              <w:spacing w:line="288" w:lineRule="auto"/>
              <w:jc w:val="right"/>
              <w:rPr>
                <w:sz w:val="20"/>
                <w:szCs w:val="20"/>
              </w:rPr>
            </w:pPr>
            <w:r w:rsidRPr="001C018A">
              <w:rPr>
                <w:sz w:val="20"/>
                <w:szCs w:val="20"/>
              </w:rPr>
              <w:t>-9,3%</w:t>
            </w:r>
          </w:p>
        </w:tc>
      </w:tr>
      <w:tr w:rsidR="008502D4" w:rsidRPr="001C018A" w14:paraId="1D5FD9C2" w14:textId="77777777" w:rsidTr="00654A69">
        <w:trPr>
          <w:trHeight w:val="201"/>
        </w:trPr>
        <w:tc>
          <w:tcPr>
            <w:tcW w:w="5069" w:type="dxa"/>
            <w:tcBorders>
              <w:top w:val="single" w:sz="4" w:space="0" w:color="auto"/>
              <w:left w:val="double" w:sz="4" w:space="0" w:color="auto"/>
              <w:bottom w:val="single" w:sz="4" w:space="0" w:color="auto"/>
              <w:right w:val="single" w:sz="4" w:space="0" w:color="auto"/>
            </w:tcBorders>
            <w:vAlign w:val="center"/>
          </w:tcPr>
          <w:p w14:paraId="5EA394D1" w14:textId="77777777" w:rsidR="008502D4" w:rsidRPr="001C018A" w:rsidRDefault="008502D4" w:rsidP="00654A69">
            <w:pPr>
              <w:jc w:val="both"/>
              <w:rPr>
                <w:sz w:val="20"/>
                <w:szCs w:val="20"/>
              </w:rPr>
            </w:pPr>
            <w:r w:rsidRPr="001C018A">
              <w:rPr>
                <w:sz w:val="20"/>
                <w:szCs w:val="20"/>
              </w:rPr>
              <w:t>Транспортно оборудване</w:t>
            </w:r>
          </w:p>
        </w:tc>
        <w:tc>
          <w:tcPr>
            <w:tcW w:w="1219" w:type="dxa"/>
            <w:tcBorders>
              <w:top w:val="nil"/>
              <w:left w:val="single" w:sz="4" w:space="0" w:color="auto"/>
              <w:bottom w:val="single" w:sz="4" w:space="0" w:color="auto"/>
              <w:right w:val="single" w:sz="4" w:space="0" w:color="auto"/>
            </w:tcBorders>
            <w:shd w:val="clear" w:color="auto" w:fill="auto"/>
            <w:vAlign w:val="bottom"/>
          </w:tcPr>
          <w:p w14:paraId="4490F576" w14:textId="77777777" w:rsidR="008502D4" w:rsidRPr="001C018A" w:rsidRDefault="008502D4" w:rsidP="00654A69">
            <w:pPr>
              <w:spacing w:line="288" w:lineRule="auto"/>
              <w:jc w:val="right"/>
              <w:rPr>
                <w:sz w:val="20"/>
                <w:szCs w:val="20"/>
              </w:rPr>
            </w:pPr>
            <w:r w:rsidRPr="001C018A">
              <w:rPr>
                <w:sz w:val="20"/>
                <w:szCs w:val="20"/>
              </w:rPr>
              <w:t>186,3</w:t>
            </w:r>
          </w:p>
        </w:tc>
        <w:tc>
          <w:tcPr>
            <w:tcW w:w="1064" w:type="dxa"/>
            <w:tcBorders>
              <w:top w:val="nil"/>
              <w:left w:val="nil"/>
              <w:bottom w:val="single" w:sz="4" w:space="0" w:color="auto"/>
              <w:right w:val="single" w:sz="4" w:space="0" w:color="auto"/>
            </w:tcBorders>
            <w:shd w:val="clear" w:color="auto" w:fill="auto"/>
            <w:vAlign w:val="bottom"/>
          </w:tcPr>
          <w:p w14:paraId="08257A0D" w14:textId="77777777" w:rsidR="008502D4" w:rsidRPr="001C018A" w:rsidRDefault="008502D4" w:rsidP="00654A69">
            <w:pPr>
              <w:spacing w:line="288" w:lineRule="auto"/>
              <w:jc w:val="right"/>
              <w:rPr>
                <w:sz w:val="20"/>
                <w:szCs w:val="20"/>
              </w:rPr>
            </w:pPr>
            <w:r w:rsidRPr="001C018A">
              <w:rPr>
                <w:sz w:val="20"/>
                <w:szCs w:val="20"/>
              </w:rPr>
              <w:t>167,2</w:t>
            </w:r>
          </w:p>
        </w:tc>
        <w:tc>
          <w:tcPr>
            <w:tcW w:w="1064" w:type="dxa"/>
            <w:tcBorders>
              <w:top w:val="nil"/>
              <w:left w:val="nil"/>
              <w:bottom w:val="single" w:sz="4" w:space="0" w:color="auto"/>
              <w:right w:val="single" w:sz="4" w:space="0" w:color="auto"/>
            </w:tcBorders>
            <w:shd w:val="clear" w:color="auto" w:fill="auto"/>
            <w:vAlign w:val="bottom"/>
          </w:tcPr>
          <w:p w14:paraId="20C7F175" w14:textId="77777777" w:rsidR="008502D4" w:rsidRPr="001C018A" w:rsidRDefault="008502D4" w:rsidP="00654A69">
            <w:pPr>
              <w:spacing w:line="288" w:lineRule="auto"/>
              <w:ind w:right="120"/>
              <w:jc w:val="right"/>
              <w:rPr>
                <w:sz w:val="20"/>
                <w:szCs w:val="20"/>
              </w:rPr>
            </w:pPr>
            <w:r w:rsidRPr="001C018A">
              <w:rPr>
                <w:sz w:val="20"/>
                <w:szCs w:val="20"/>
              </w:rPr>
              <w:t>5,5 %</w:t>
            </w:r>
          </w:p>
        </w:tc>
        <w:tc>
          <w:tcPr>
            <w:tcW w:w="1161" w:type="dxa"/>
            <w:tcBorders>
              <w:top w:val="nil"/>
              <w:left w:val="nil"/>
              <w:bottom w:val="single" w:sz="4" w:space="0" w:color="auto"/>
              <w:right w:val="single" w:sz="4" w:space="0" w:color="auto"/>
            </w:tcBorders>
            <w:shd w:val="clear" w:color="auto" w:fill="auto"/>
            <w:vAlign w:val="bottom"/>
          </w:tcPr>
          <w:p w14:paraId="3186D9D7" w14:textId="77777777" w:rsidR="008502D4" w:rsidRPr="001C018A" w:rsidRDefault="008502D4" w:rsidP="00654A69">
            <w:pPr>
              <w:spacing w:line="288" w:lineRule="auto"/>
              <w:jc w:val="right"/>
              <w:rPr>
                <w:sz w:val="20"/>
                <w:szCs w:val="20"/>
              </w:rPr>
            </w:pPr>
            <w:r w:rsidRPr="001C018A">
              <w:rPr>
                <w:sz w:val="20"/>
                <w:szCs w:val="20"/>
              </w:rPr>
              <w:t>-10,3%</w:t>
            </w:r>
          </w:p>
        </w:tc>
      </w:tr>
      <w:tr w:rsidR="008502D4" w:rsidRPr="001C018A" w14:paraId="01A6CDDC" w14:textId="77777777" w:rsidTr="00654A69">
        <w:trPr>
          <w:trHeight w:val="157"/>
        </w:trPr>
        <w:tc>
          <w:tcPr>
            <w:tcW w:w="5069" w:type="dxa"/>
            <w:tcBorders>
              <w:top w:val="single" w:sz="4" w:space="0" w:color="auto"/>
              <w:left w:val="double" w:sz="4" w:space="0" w:color="auto"/>
              <w:bottom w:val="single" w:sz="4" w:space="0" w:color="auto"/>
              <w:right w:val="single" w:sz="4" w:space="0" w:color="auto"/>
            </w:tcBorders>
            <w:vAlign w:val="center"/>
          </w:tcPr>
          <w:p w14:paraId="0131BA5A" w14:textId="77777777" w:rsidR="008502D4" w:rsidRPr="001C018A" w:rsidRDefault="008502D4" w:rsidP="00654A69">
            <w:pPr>
              <w:jc w:val="both"/>
              <w:rPr>
                <w:sz w:val="20"/>
                <w:szCs w:val="20"/>
              </w:rPr>
            </w:pPr>
            <w:r w:rsidRPr="001C018A">
              <w:rPr>
                <w:sz w:val="20"/>
                <w:szCs w:val="20"/>
              </w:rPr>
              <w:t>Потребителски стоки, храни, напитки и др.</w:t>
            </w:r>
          </w:p>
        </w:tc>
        <w:tc>
          <w:tcPr>
            <w:tcW w:w="1219" w:type="dxa"/>
            <w:tcBorders>
              <w:top w:val="nil"/>
              <w:left w:val="single" w:sz="4" w:space="0" w:color="auto"/>
              <w:bottom w:val="single" w:sz="4" w:space="0" w:color="auto"/>
              <w:right w:val="single" w:sz="4" w:space="0" w:color="auto"/>
            </w:tcBorders>
            <w:shd w:val="clear" w:color="auto" w:fill="auto"/>
            <w:vAlign w:val="center"/>
          </w:tcPr>
          <w:p w14:paraId="6BC6BE1F" w14:textId="5A464D34" w:rsidR="008502D4" w:rsidRPr="00026442" w:rsidRDefault="008502D4" w:rsidP="00026442">
            <w:pPr>
              <w:spacing w:line="288" w:lineRule="auto"/>
              <w:jc w:val="right"/>
              <w:rPr>
                <w:sz w:val="20"/>
                <w:szCs w:val="20"/>
                <w:lang w:val="en-US"/>
              </w:rPr>
            </w:pPr>
            <w:r w:rsidRPr="001C018A">
              <w:rPr>
                <w:sz w:val="20"/>
                <w:szCs w:val="20"/>
              </w:rPr>
              <w:t>550,</w:t>
            </w:r>
            <w:r w:rsidR="00026442">
              <w:rPr>
                <w:sz w:val="20"/>
                <w:szCs w:val="20"/>
                <w:lang w:val="en-US"/>
              </w:rPr>
              <w:t>8</w:t>
            </w:r>
          </w:p>
        </w:tc>
        <w:tc>
          <w:tcPr>
            <w:tcW w:w="1064" w:type="dxa"/>
            <w:tcBorders>
              <w:top w:val="nil"/>
              <w:left w:val="nil"/>
              <w:bottom w:val="single" w:sz="4" w:space="0" w:color="auto"/>
              <w:right w:val="single" w:sz="4" w:space="0" w:color="auto"/>
            </w:tcBorders>
            <w:shd w:val="clear" w:color="auto" w:fill="auto"/>
            <w:vAlign w:val="center"/>
          </w:tcPr>
          <w:p w14:paraId="4278AAA4" w14:textId="77777777" w:rsidR="008502D4" w:rsidRPr="001C018A" w:rsidRDefault="008502D4" w:rsidP="00654A69">
            <w:pPr>
              <w:spacing w:line="288" w:lineRule="auto"/>
              <w:jc w:val="right"/>
              <w:rPr>
                <w:sz w:val="20"/>
                <w:szCs w:val="20"/>
              </w:rPr>
            </w:pPr>
            <w:r w:rsidRPr="001C018A">
              <w:rPr>
                <w:sz w:val="20"/>
                <w:szCs w:val="20"/>
              </w:rPr>
              <w:t>582,1</w:t>
            </w:r>
          </w:p>
        </w:tc>
        <w:tc>
          <w:tcPr>
            <w:tcW w:w="1064" w:type="dxa"/>
            <w:tcBorders>
              <w:top w:val="nil"/>
              <w:left w:val="nil"/>
              <w:bottom w:val="single" w:sz="4" w:space="0" w:color="auto"/>
              <w:right w:val="single" w:sz="4" w:space="0" w:color="auto"/>
            </w:tcBorders>
            <w:shd w:val="clear" w:color="auto" w:fill="auto"/>
            <w:vAlign w:val="bottom"/>
          </w:tcPr>
          <w:p w14:paraId="2A3732DE" w14:textId="77777777" w:rsidR="008502D4" w:rsidRPr="001C018A" w:rsidRDefault="008502D4" w:rsidP="00654A69">
            <w:pPr>
              <w:spacing w:line="288" w:lineRule="auto"/>
              <w:ind w:right="120"/>
              <w:jc w:val="right"/>
              <w:rPr>
                <w:sz w:val="20"/>
                <w:szCs w:val="20"/>
              </w:rPr>
            </w:pPr>
            <w:r w:rsidRPr="001C018A">
              <w:rPr>
                <w:sz w:val="20"/>
                <w:szCs w:val="20"/>
              </w:rPr>
              <w:t>19,0 %</w:t>
            </w:r>
          </w:p>
        </w:tc>
        <w:tc>
          <w:tcPr>
            <w:tcW w:w="1161" w:type="dxa"/>
            <w:tcBorders>
              <w:top w:val="nil"/>
              <w:left w:val="nil"/>
              <w:bottom w:val="single" w:sz="4" w:space="0" w:color="auto"/>
              <w:right w:val="single" w:sz="4" w:space="0" w:color="auto"/>
            </w:tcBorders>
            <w:shd w:val="clear" w:color="auto" w:fill="auto"/>
            <w:vAlign w:val="bottom"/>
          </w:tcPr>
          <w:p w14:paraId="22A72799" w14:textId="2B95D3FD" w:rsidR="008502D4" w:rsidRPr="001C018A" w:rsidRDefault="008502D4" w:rsidP="00026442">
            <w:pPr>
              <w:spacing w:line="288" w:lineRule="auto"/>
              <w:jc w:val="right"/>
              <w:rPr>
                <w:sz w:val="20"/>
                <w:szCs w:val="20"/>
              </w:rPr>
            </w:pPr>
            <w:r w:rsidRPr="001C018A">
              <w:rPr>
                <w:sz w:val="20"/>
                <w:szCs w:val="20"/>
              </w:rPr>
              <w:t>5,</w:t>
            </w:r>
            <w:r w:rsidR="00026442">
              <w:rPr>
                <w:sz w:val="20"/>
                <w:szCs w:val="20"/>
                <w:lang w:val="en-US"/>
              </w:rPr>
              <w:t>7</w:t>
            </w:r>
            <w:r w:rsidRPr="001C018A">
              <w:rPr>
                <w:sz w:val="20"/>
                <w:szCs w:val="20"/>
              </w:rPr>
              <w:t>%</w:t>
            </w:r>
          </w:p>
        </w:tc>
      </w:tr>
      <w:tr w:rsidR="008502D4" w:rsidRPr="001C018A" w14:paraId="5BDAB8D8" w14:textId="77777777" w:rsidTr="00654A69">
        <w:trPr>
          <w:trHeight w:val="99"/>
        </w:trPr>
        <w:tc>
          <w:tcPr>
            <w:tcW w:w="5069" w:type="dxa"/>
            <w:tcBorders>
              <w:top w:val="single" w:sz="4" w:space="0" w:color="auto"/>
              <w:left w:val="double" w:sz="4" w:space="0" w:color="auto"/>
              <w:bottom w:val="single" w:sz="4" w:space="0" w:color="auto"/>
              <w:right w:val="single" w:sz="4" w:space="0" w:color="auto"/>
            </w:tcBorders>
            <w:shd w:val="clear" w:color="auto" w:fill="DEEAF6"/>
            <w:vAlign w:val="center"/>
          </w:tcPr>
          <w:p w14:paraId="77342A04" w14:textId="77777777" w:rsidR="008502D4" w:rsidRPr="001C018A" w:rsidRDefault="008502D4" w:rsidP="00654A69">
            <w:pPr>
              <w:jc w:val="both"/>
              <w:rPr>
                <w:b/>
                <w:sz w:val="20"/>
                <w:szCs w:val="20"/>
              </w:rPr>
            </w:pPr>
            <w:r w:rsidRPr="001C018A">
              <w:rPr>
                <w:b/>
                <w:sz w:val="20"/>
                <w:szCs w:val="20"/>
              </w:rPr>
              <w:t xml:space="preserve">Начислен ДДС от внос </w:t>
            </w:r>
          </w:p>
        </w:tc>
        <w:tc>
          <w:tcPr>
            <w:tcW w:w="1219" w:type="dxa"/>
            <w:tcBorders>
              <w:top w:val="nil"/>
              <w:left w:val="single" w:sz="4" w:space="0" w:color="auto"/>
              <w:bottom w:val="single" w:sz="4" w:space="0" w:color="auto"/>
              <w:right w:val="single" w:sz="4" w:space="0" w:color="auto"/>
            </w:tcBorders>
            <w:shd w:val="clear" w:color="000000" w:fill="DDEBF7"/>
            <w:vAlign w:val="bottom"/>
          </w:tcPr>
          <w:p w14:paraId="273CC508" w14:textId="58520A8D" w:rsidR="008502D4" w:rsidRPr="00026442" w:rsidRDefault="008502D4" w:rsidP="00026442">
            <w:pPr>
              <w:spacing w:line="288" w:lineRule="auto"/>
              <w:jc w:val="right"/>
              <w:rPr>
                <w:b/>
                <w:bCs/>
                <w:sz w:val="20"/>
                <w:szCs w:val="20"/>
                <w:lang w:val="en-US"/>
              </w:rPr>
            </w:pPr>
            <w:r w:rsidRPr="001C018A">
              <w:rPr>
                <w:b/>
                <w:bCs/>
                <w:sz w:val="20"/>
                <w:szCs w:val="20"/>
              </w:rPr>
              <w:t>2 82</w:t>
            </w:r>
            <w:r w:rsidR="00026442">
              <w:rPr>
                <w:b/>
                <w:bCs/>
                <w:sz w:val="20"/>
                <w:szCs w:val="20"/>
                <w:lang w:val="en-US"/>
              </w:rPr>
              <w:t>4</w:t>
            </w:r>
            <w:r w:rsidRPr="001C018A">
              <w:rPr>
                <w:b/>
                <w:bCs/>
                <w:sz w:val="20"/>
                <w:szCs w:val="20"/>
              </w:rPr>
              <w:t>,</w:t>
            </w:r>
            <w:r w:rsidR="00026442">
              <w:rPr>
                <w:b/>
                <w:bCs/>
                <w:sz w:val="20"/>
                <w:szCs w:val="20"/>
                <w:lang w:val="en-US"/>
              </w:rPr>
              <w:t>1</w:t>
            </w:r>
          </w:p>
        </w:tc>
        <w:tc>
          <w:tcPr>
            <w:tcW w:w="1064" w:type="dxa"/>
            <w:tcBorders>
              <w:top w:val="nil"/>
              <w:left w:val="nil"/>
              <w:bottom w:val="single" w:sz="4" w:space="0" w:color="auto"/>
              <w:right w:val="single" w:sz="4" w:space="0" w:color="auto"/>
            </w:tcBorders>
            <w:shd w:val="clear" w:color="000000" w:fill="DDEBF7"/>
            <w:vAlign w:val="bottom"/>
          </w:tcPr>
          <w:p w14:paraId="615F805F" w14:textId="77777777" w:rsidR="008502D4" w:rsidRPr="001C018A" w:rsidRDefault="008502D4" w:rsidP="00654A69">
            <w:pPr>
              <w:spacing w:line="288" w:lineRule="auto"/>
              <w:jc w:val="right"/>
              <w:rPr>
                <w:b/>
                <w:bCs/>
                <w:sz w:val="20"/>
                <w:szCs w:val="20"/>
              </w:rPr>
            </w:pPr>
            <w:r w:rsidRPr="001C018A">
              <w:rPr>
                <w:b/>
                <w:bCs/>
                <w:sz w:val="20"/>
                <w:szCs w:val="20"/>
              </w:rPr>
              <w:t>3 059,2</w:t>
            </w:r>
          </w:p>
        </w:tc>
        <w:tc>
          <w:tcPr>
            <w:tcW w:w="1064" w:type="dxa"/>
            <w:tcBorders>
              <w:top w:val="nil"/>
              <w:left w:val="nil"/>
              <w:bottom w:val="nil"/>
              <w:right w:val="nil"/>
            </w:tcBorders>
            <w:shd w:val="clear" w:color="auto" w:fill="auto"/>
            <w:vAlign w:val="bottom"/>
          </w:tcPr>
          <w:p w14:paraId="27CCACC2" w14:textId="77777777" w:rsidR="008502D4" w:rsidRPr="001C018A" w:rsidRDefault="008502D4" w:rsidP="00654A69">
            <w:pPr>
              <w:spacing w:line="288" w:lineRule="auto"/>
              <w:ind w:right="120"/>
              <w:jc w:val="right"/>
              <w:rPr>
                <w:sz w:val="20"/>
                <w:szCs w:val="20"/>
              </w:rPr>
            </w:pPr>
            <w:r w:rsidRPr="001C018A">
              <w:rPr>
                <w:b/>
                <w:sz w:val="20"/>
                <w:szCs w:val="20"/>
              </w:rPr>
              <w:t>100,0 %</w:t>
            </w:r>
          </w:p>
        </w:tc>
        <w:tc>
          <w:tcPr>
            <w:tcW w:w="1161" w:type="dxa"/>
            <w:tcBorders>
              <w:top w:val="nil"/>
              <w:left w:val="single" w:sz="4" w:space="0" w:color="auto"/>
              <w:bottom w:val="single" w:sz="4" w:space="0" w:color="auto"/>
              <w:right w:val="single" w:sz="4" w:space="0" w:color="auto"/>
            </w:tcBorders>
            <w:shd w:val="clear" w:color="auto" w:fill="auto"/>
            <w:vAlign w:val="bottom"/>
          </w:tcPr>
          <w:p w14:paraId="720C45B2" w14:textId="35F29F5E" w:rsidR="008502D4" w:rsidRPr="001C018A" w:rsidRDefault="008502D4" w:rsidP="00026442">
            <w:pPr>
              <w:spacing w:line="288" w:lineRule="auto"/>
              <w:jc w:val="right"/>
              <w:rPr>
                <w:sz w:val="20"/>
                <w:szCs w:val="20"/>
              </w:rPr>
            </w:pPr>
            <w:r w:rsidRPr="001C018A">
              <w:rPr>
                <w:b/>
                <w:sz w:val="20"/>
                <w:szCs w:val="20"/>
              </w:rPr>
              <w:t>8,</w:t>
            </w:r>
            <w:r w:rsidR="00026442">
              <w:rPr>
                <w:b/>
                <w:sz w:val="20"/>
                <w:szCs w:val="20"/>
                <w:lang w:val="en-US"/>
              </w:rPr>
              <w:t>3</w:t>
            </w:r>
            <w:r w:rsidRPr="001C018A">
              <w:rPr>
                <w:b/>
                <w:sz w:val="20"/>
                <w:szCs w:val="20"/>
              </w:rPr>
              <w:t xml:space="preserve"> %</w:t>
            </w:r>
          </w:p>
        </w:tc>
      </w:tr>
      <w:tr w:rsidR="008502D4" w:rsidRPr="001C018A" w14:paraId="3AF448FC" w14:textId="77777777" w:rsidTr="00654A69">
        <w:trPr>
          <w:trHeight w:val="313"/>
        </w:trPr>
        <w:tc>
          <w:tcPr>
            <w:tcW w:w="5069" w:type="dxa"/>
            <w:tcBorders>
              <w:top w:val="single" w:sz="4" w:space="0" w:color="auto"/>
              <w:left w:val="double" w:sz="4" w:space="0" w:color="auto"/>
              <w:bottom w:val="double" w:sz="4" w:space="0" w:color="auto"/>
              <w:right w:val="single" w:sz="4" w:space="0" w:color="auto"/>
            </w:tcBorders>
            <w:vAlign w:val="center"/>
          </w:tcPr>
          <w:p w14:paraId="70F227FC" w14:textId="77777777" w:rsidR="008502D4" w:rsidRPr="001C018A" w:rsidRDefault="008502D4" w:rsidP="00654A69">
            <w:pPr>
              <w:jc w:val="both"/>
              <w:rPr>
                <w:sz w:val="20"/>
                <w:szCs w:val="20"/>
              </w:rPr>
            </w:pPr>
            <w:r w:rsidRPr="001C018A">
              <w:rPr>
                <w:sz w:val="20"/>
                <w:szCs w:val="20"/>
              </w:rPr>
              <w:t>Касови постъпления на ДДС от внос (нето)</w:t>
            </w:r>
          </w:p>
        </w:tc>
        <w:tc>
          <w:tcPr>
            <w:tcW w:w="1219" w:type="dxa"/>
            <w:tcBorders>
              <w:top w:val="single" w:sz="4" w:space="0" w:color="auto"/>
              <w:left w:val="nil"/>
              <w:bottom w:val="double" w:sz="4" w:space="0" w:color="auto"/>
              <w:right w:val="single" w:sz="4" w:space="0" w:color="auto"/>
            </w:tcBorders>
            <w:shd w:val="clear" w:color="auto" w:fill="auto"/>
          </w:tcPr>
          <w:p w14:paraId="14F4CF82" w14:textId="77777777" w:rsidR="008502D4" w:rsidRPr="001C018A" w:rsidRDefault="008502D4" w:rsidP="00654A69">
            <w:pPr>
              <w:jc w:val="right"/>
              <w:rPr>
                <w:b/>
                <w:bCs/>
                <w:sz w:val="20"/>
                <w:szCs w:val="20"/>
              </w:rPr>
            </w:pPr>
            <w:r w:rsidRPr="001C018A">
              <w:rPr>
                <w:b/>
                <w:bCs/>
                <w:sz w:val="20"/>
                <w:szCs w:val="20"/>
              </w:rPr>
              <w:t>2 926,4</w:t>
            </w:r>
          </w:p>
        </w:tc>
        <w:tc>
          <w:tcPr>
            <w:tcW w:w="1064" w:type="dxa"/>
            <w:tcBorders>
              <w:top w:val="single" w:sz="4" w:space="0" w:color="auto"/>
              <w:left w:val="single" w:sz="4" w:space="0" w:color="auto"/>
              <w:bottom w:val="double" w:sz="4" w:space="0" w:color="auto"/>
              <w:right w:val="nil"/>
            </w:tcBorders>
            <w:shd w:val="clear" w:color="auto" w:fill="auto"/>
          </w:tcPr>
          <w:p w14:paraId="0EC96381" w14:textId="77777777" w:rsidR="008502D4" w:rsidRPr="001C018A" w:rsidRDefault="008502D4" w:rsidP="00654A69">
            <w:pPr>
              <w:jc w:val="right"/>
              <w:rPr>
                <w:b/>
                <w:bCs/>
                <w:sz w:val="20"/>
                <w:szCs w:val="20"/>
              </w:rPr>
            </w:pPr>
            <w:r w:rsidRPr="001C018A">
              <w:rPr>
                <w:b/>
                <w:bCs/>
                <w:sz w:val="20"/>
                <w:szCs w:val="20"/>
              </w:rPr>
              <w:t>3 138,8</w:t>
            </w:r>
          </w:p>
        </w:tc>
        <w:tc>
          <w:tcPr>
            <w:tcW w:w="1064" w:type="dxa"/>
            <w:tcBorders>
              <w:top w:val="single" w:sz="4" w:space="0" w:color="auto"/>
              <w:left w:val="single" w:sz="4" w:space="0" w:color="auto"/>
              <w:bottom w:val="double" w:sz="4" w:space="0" w:color="auto"/>
              <w:right w:val="single" w:sz="4" w:space="0" w:color="auto"/>
            </w:tcBorders>
            <w:vAlign w:val="center"/>
          </w:tcPr>
          <w:p w14:paraId="5EFB04F5" w14:textId="77777777" w:rsidR="008502D4" w:rsidRPr="001C018A" w:rsidRDefault="008502D4" w:rsidP="00654A69">
            <w:pPr>
              <w:ind w:right="120"/>
              <w:jc w:val="right"/>
              <w:rPr>
                <w:sz w:val="20"/>
                <w:szCs w:val="20"/>
              </w:rPr>
            </w:pPr>
          </w:p>
        </w:tc>
        <w:tc>
          <w:tcPr>
            <w:tcW w:w="1161" w:type="dxa"/>
            <w:tcBorders>
              <w:top w:val="single" w:sz="4" w:space="0" w:color="auto"/>
              <w:left w:val="single" w:sz="4" w:space="0" w:color="auto"/>
              <w:bottom w:val="double" w:sz="4" w:space="0" w:color="auto"/>
              <w:right w:val="double" w:sz="4" w:space="0" w:color="auto"/>
            </w:tcBorders>
            <w:vAlign w:val="center"/>
          </w:tcPr>
          <w:p w14:paraId="5EFA1494" w14:textId="77777777" w:rsidR="008502D4" w:rsidRPr="001C018A" w:rsidRDefault="008502D4" w:rsidP="00654A69">
            <w:pPr>
              <w:jc w:val="right"/>
              <w:rPr>
                <w:b/>
                <w:bCs/>
                <w:sz w:val="20"/>
                <w:szCs w:val="20"/>
              </w:rPr>
            </w:pPr>
            <w:r w:rsidRPr="001C018A">
              <w:rPr>
                <w:b/>
                <w:bCs/>
                <w:sz w:val="20"/>
                <w:szCs w:val="20"/>
              </w:rPr>
              <w:t xml:space="preserve"> 7,3%</w:t>
            </w:r>
          </w:p>
        </w:tc>
      </w:tr>
    </w:tbl>
    <w:p w14:paraId="48A0AF82" w14:textId="77777777" w:rsidR="008502D4" w:rsidRPr="00E56679" w:rsidRDefault="008502D4" w:rsidP="008502D4">
      <w:pPr>
        <w:ind w:right="-28"/>
        <w:rPr>
          <w:color w:val="0070C0"/>
        </w:rPr>
      </w:pPr>
    </w:p>
    <w:p w14:paraId="5779DE66" w14:textId="6118E1FF" w:rsidR="008502D4" w:rsidRPr="001C018A" w:rsidRDefault="008502D4" w:rsidP="008502D4">
      <w:pPr>
        <w:ind w:right="-2"/>
        <w:jc w:val="both"/>
      </w:pPr>
      <w:r w:rsidRPr="001C018A">
        <w:t xml:space="preserve">Начисленият ДДС при внос на </w:t>
      </w:r>
      <w:r w:rsidRPr="001C018A">
        <w:rPr>
          <w:i/>
          <w:u w:val="single"/>
        </w:rPr>
        <w:t>промишлени доставки</w:t>
      </w:r>
      <w:r w:rsidRPr="001C018A">
        <w:t xml:space="preserve"> е в размер на 867,2 млн. лв., като отчитат намаление от </w:t>
      </w:r>
      <w:r w:rsidRPr="001C018A">
        <w:rPr>
          <w:color w:val="000000"/>
        </w:rPr>
        <w:t>46,1</w:t>
      </w:r>
      <w:r w:rsidRPr="001C018A">
        <w:t xml:space="preserve"> млн. лв</w:t>
      </w:r>
      <w:r w:rsidR="00892112">
        <w:t>.</w:t>
      </w:r>
      <w:r w:rsidRPr="001C018A">
        <w:t xml:space="preserve"> (</w:t>
      </w:r>
      <w:r w:rsidRPr="001C018A">
        <w:rPr>
          <w:color w:val="000000"/>
        </w:rPr>
        <w:t>5,1</w:t>
      </w:r>
      <w:r w:rsidRPr="001C018A">
        <w:t xml:space="preserve"> %). Индексът на цените на промишлените доставки, обложени с ДДС при внос намалява с 9,0 %, а индексът на количествата се увеличават с 4,3 %. Най-голям спад се отчита при декларираните суми за ДДС при внос на различни видове продукти на химическата промишленост</w:t>
      </w:r>
      <w:r w:rsidRPr="001C018A" w:rsidDel="005E67C6">
        <w:t xml:space="preserve"> </w:t>
      </w:r>
      <w:r w:rsidRPr="001C018A">
        <w:t>в размер на 9,8 млн. лв. (50,6 %), при изделия от чугун, желязо или стомана</w:t>
      </w:r>
      <w:r w:rsidRPr="001C018A" w:rsidDel="005E67C6">
        <w:t xml:space="preserve"> </w:t>
      </w:r>
      <w:r w:rsidRPr="001C018A">
        <w:t>със 7,5 млн. лв. (11,1 %), както и при мазнини и масла от животински, растителен или микробен произход и продукти от тяхното разпадане</w:t>
      </w:r>
      <w:r w:rsidRPr="001C018A" w:rsidDel="005E67C6">
        <w:t xml:space="preserve"> </w:t>
      </w:r>
      <w:r w:rsidRPr="001C018A">
        <w:t>със 7,4 млн. лева (</w:t>
      </w:r>
      <w:r w:rsidRPr="001C018A">
        <w:rPr>
          <w:color w:val="000000"/>
        </w:rPr>
        <w:t>42,1</w:t>
      </w:r>
      <w:r w:rsidRPr="001C018A">
        <w:t xml:space="preserve"> %).  </w:t>
      </w:r>
    </w:p>
    <w:p w14:paraId="7955D687" w14:textId="00694785" w:rsidR="008502D4" w:rsidRPr="001C018A" w:rsidRDefault="008502D4" w:rsidP="008502D4">
      <w:pPr>
        <w:jc w:val="both"/>
      </w:pPr>
      <w:r w:rsidRPr="001C018A">
        <w:t xml:space="preserve">Постъпленията от внос на </w:t>
      </w:r>
      <w:r w:rsidRPr="001C018A">
        <w:rPr>
          <w:i/>
          <w:u w:val="single"/>
        </w:rPr>
        <w:t>горива и смазочни материали</w:t>
      </w:r>
      <w:r w:rsidRPr="001C018A">
        <w:t xml:space="preserve"> са в размер на </w:t>
      </w:r>
      <w:r w:rsidRPr="001C018A">
        <w:rPr>
          <w:color w:val="000000"/>
        </w:rPr>
        <w:t xml:space="preserve">900,5 </w:t>
      </w:r>
      <w:r w:rsidRPr="001C018A">
        <w:t xml:space="preserve">млн. лв., </w:t>
      </w:r>
      <w:r w:rsidRPr="001C018A">
        <w:rPr>
          <w:color w:val="000000"/>
        </w:rPr>
        <w:t>с 324,6</w:t>
      </w:r>
      <w:r w:rsidR="00665D8D">
        <w:rPr>
          <w:color w:val="000000"/>
        </w:rPr>
        <w:t> </w:t>
      </w:r>
      <w:r w:rsidRPr="001C018A">
        <w:rPr>
          <w:color w:val="000000"/>
        </w:rPr>
        <w:t>млн. лв</w:t>
      </w:r>
      <w:r w:rsidR="00892112">
        <w:rPr>
          <w:color w:val="000000"/>
        </w:rPr>
        <w:t>.</w:t>
      </w:r>
      <w:r w:rsidRPr="001C018A">
        <w:rPr>
          <w:color w:val="000000"/>
        </w:rPr>
        <w:t xml:space="preserve"> (56,4 %) повече </w:t>
      </w:r>
      <w:r w:rsidRPr="001C018A">
        <w:t xml:space="preserve">спрямо юни 2023 година. </w:t>
      </w:r>
      <w:r w:rsidRPr="001C018A">
        <w:rPr>
          <w:color w:val="000000"/>
        </w:rPr>
        <w:t>Цените на стоките, обложени с ДДС при внос нарастват с 41,4 %, а количествата с 10,6 %.</w:t>
      </w:r>
      <w:r w:rsidRPr="001C018A">
        <w:t xml:space="preserve"> Начислените суми за ДДС при внос на суров петрол към месец юни 2024 г. са в размер на </w:t>
      </w:r>
      <w:r w:rsidRPr="001C018A">
        <w:rPr>
          <w:color w:val="000000"/>
        </w:rPr>
        <w:t xml:space="preserve">781,2 </w:t>
      </w:r>
      <w:r w:rsidRPr="001C018A">
        <w:t xml:space="preserve"> млн. лв., при </w:t>
      </w:r>
      <w:r w:rsidRPr="001C018A">
        <w:rPr>
          <w:color w:val="000000"/>
        </w:rPr>
        <w:t xml:space="preserve">412,8  </w:t>
      </w:r>
      <w:r w:rsidRPr="001C018A">
        <w:t>млн. лв. през същия период на 2023 г. (</w:t>
      </w:r>
      <w:r w:rsidRPr="001C018A">
        <w:rPr>
          <w:color w:val="000000"/>
        </w:rPr>
        <w:t>ръст от 368,4 млн. лева, 89,2 %</w:t>
      </w:r>
      <w:r w:rsidRPr="001C018A">
        <w:t xml:space="preserve">). Касовите постъпления от суров петрол през отчетния период са </w:t>
      </w:r>
      <w:r w:rsidRPr="001C018A">
        <w:rPr>
          <w:color w:val="000000"/>
        </w:rPr>
        <w:t xml:space="preserve">772,9 </w:t>
      </w:r>
      <w:r w:rsidRPr="001C018A">
        <w:t xml:space="preserve">млн. лв., </w:t>
      </w:r>
      <w:r w:rsidRPr="001C018A">
        <w:rPr>
          <w:color w:val="000000"/>
        </w:rPr>
        <w:t>с 319,6 млн. лева (70,5 %) повече</w:t>
      </w:r>
      <w:r w:rsidRPr="001C018A">
        <w:t xml:space="preserve"> спрямо първите шест месеца на 2023 година.</w:t>
      </w:r>
    </w:p>
    <w:p w14:paraId="6D13F353" w14:textId="77777777" w:rsidR="008502D4" w:rsidRPr="001C018A" w:rsidRDefault="008502D4" w:rsidP="008502D4">
      <w:pPr>
        <w:ind w:right="-28"/>
        <w:jc w:val="both"/>
        <w:rPr>
          <w:color w:val="000000"/>
        </w:rPr>
      </w:pPr>
      <w:r w:rsidRPr="001C018A">
        <w:t xml:space="preserve">Декларираните суми от ДДС при внос на </w:t>
      </w:r>
      <w:r w:rsidRPr="001C018A">
        <w:rPr>
          <w:i/>
          <w:u w:val="single"/>
        </w:rPr>
        <w:t xml:space="preserve">инвестиционни стоки </w:t>
      </w:r>
      <w:r w:rsidRPr="001C018A">
        <w:t xml:space="preserve">са в размер на </w:t>
      </w:r>
      <w:r w:rsidRPr="001C018A">
        <w:rPr>
          <w:color w:val="000000"/>
        </w:rPr>
        <w:t xml:space="preserve">542,2  </w:t>
      </w:r>
      <w:r w:rsidRPr="001C018A">
        <w:t xml:space="preserve"> млн. лв., като се регистрира намаление с 9,3 % (</w:t>
      </w:r>
      <w:r w:rsidRPr="001C018A">
        <w:rPr>
          <w:color w:val="000000"/>
        </w:rPr>
        <w:t xml:space="preserve">55,6 </w:t>
      </w:r>
      <w:r w:rsidRPr="001C018A">
        <w:t xml:space="preserve"> млн. лв.) спрямо юни 2023 година. </w:t>
      </w:r>
      <w:r w:rsidRPr="001C018A">
        <w:rPr>
          <w:color w:val="000000"/>
        </w:rPr>
        <w:t xml:space="preserve">Наблюдава се намаление на внесените количества на стоки с начислен ДДС при внос с 3,8 %, а цените им се понижават с 5,7 %. </w:t>
      </w:r>
    </w:p>
    <w:p w14:paraId="316AA1C7" w14:textId="11156300" w:rsidR="008502D4" w:rsidRPr="001C018A" w:rsidRDefault="008502D4" w:rsidP="008502D4">
      <w:pPr>
        <w:ind w:right="-28"/>
        <w:jc w:val="both"/>
      </w:pPr>
      <w:r w:rsidRPr="001C018A">
        <w:t xml:space="preserve">От внос на </w:t>
      </w:r>
      <w:r w:rsidRPr="001C018A">
        <w:rPr>
          <w:i/>
          <w:u w:val="single"/>
        </w:rPr>
        <w:t>транспортно оборудване</w:t>
      </w:r>
      <w:r w:rsidRPr="001C018A">
        <w:t xml:space="preserve"> през отчетния период са начислени </w:t>
      </w:r>
      <w:r w:rsidRPr="001C018A">
        <w:rPr>
          <w:color w:val="000000"/>
        </w:rPr>
        <w:t>167,2</w:t>
      </w:r>
      <w:r w:rsidRPr="001C018A">
        <w:t xml:space="preserve"> млн. лв., </w:t>
      </w:r>
      <w:r w:rsidRPr="001C018A">
        <w:rPr>
          <w:color w:val="000000"/>
        </w:rPr>
        <w:t>с 19,1</w:t>
      </w:r>
      <w:r w:rsidR="008C1480">
        <w:rPr>
          <w:color w:val="000000"/>
        </w:rPr>
        <w:t> </w:t>
      </w:r>
      <w:r w:rsidRPr="001C018A">
        <w:rPr>
          <w:color w:val="000000"/>
        </w:rPr>
        <w:t>млн. лв</w:t>
      </w:r>
      <w:r w:rsidR="00892112">
        <w:rPr>
          <w:color w:val="000000"/>
        </w:rPr>
        <w:t>.</w:t>
      </w:r>
      <w:r w:rsidRPr="001C018A">
        <w:rPr>
          <w:color w:val="000000"/>
        </w:rPr>
        <w:t xml:space="preserve"> (10,3 %) по-малко </w:t>
      </w:r>
      <w:r w:rsidRPr="001C018A">
        <w:t xml:space="preserve">в сравнение с периода януари-юни 2023 година. </w:t>
      </w:r>
      <w:r w:rsidRPr="001C018A">
        <w:rPr>
          <w:color w:val="000000"/>
        </w:rPr>
        <w:t xml:space="preserve">Индексът на физическите обеми на транспортно оборудване, обложено с ДДС при внос намалява с 9,4 %, както спада и индексът на цените на тези стоки с 1,0 % </w:t>
      </w:r>
      <w:r w:rsidRPr="001C018A">
        <w:t>спрямо месец юни 2023 година.</w:t>
      </w:r>
    </w:p>
    <w:p w14:paraId="62CD150D" w14:textId="0F844EC0" w:rsidR="008502D4" w:rsidRDefault="008502D4" w:rsidP="008502D4">
      <w:pPr>
        <w:shd w:val="clear" w:color="auto" w:fill="FFFFFF"/>
        <w:spacing w:after="150"/>
        <w:jc w:val="both"/>
      </w:pPr>
      <w:r w:rsidRPr="001C018A">
        <w:t xml:space="preserve">Декларираните суми от ДДС при внос на </w:t>
      </w:r>
      <w:r w:rsidRPr="001C018A">
        <w:rPr>
          <w:i/>
          <w:u w:val="single"/>
        </w:rPr>
        <w:t>потребителски стоки, храни, напитки и други</w:t>
      </w:r>
      <w:r w:rsidRPr="001C018A">
        <w:t xml:space="preserve"> общо са в размер на 582,1 млн. лв., като се увеличават с </w:t>
      </w:r>
      <w:r w:rsidR="00892112">
        <w:t>3</w:t>
      </w:r>
      <w:r w:rsidR="00026442" w:rsidRPr="001853DF">
        <w:rPr>
          <w:lang w:val="ru-RU"/>
        </w:rPr>
        <w:t>1</w:t>
      </w:r>
      <w:r w:rsidRPr="001C018A">
        <w:t>,</w:t>
      </w:r>
      <w:r w:rsidR="00026442" w:rsidRPr="001853DF">
        <w:rPr>
          <w:lang w:val="ru-RU"/>
        </w:rPr>
        <w:t>3</w:t>
      </w:r>
      <w:r w:rsidRPr="001C018A">
        <w:t xml:space="preserve"> млн. лв. (5,</w:t>
      </w:r>
      <w:r w:rsidR="00026442" w:rsidRPr="001853DF">
        <w:rPr>
          <w:lang w:val="ru-RU"/>
        </w:rPr>
        <w:t>7</w:t>
      </w:r>
      <w:r w:rsidRPr="001C018A">
        <w:t xml:space="preserve"> %) в сравнение с 2023 г., което основно се дължи на ръст на постъпленията от стоки в група храни и напитка. Количествата на внесените потребителски стоки намаляват с </w:t>
      </w:r>
      <w:r w:rsidRPr="001C018A">
        <w:rPr>
          <w:color w:val="000000"/>
        </w:rPr>
        <w:t xml:space="preserve">0,9 </w:t>
      </w:r>
      <w:r w:rsidRPr="001C018A">
        <w:t xml:space="preserve">%, а на храните и напитките се повишават с </w:t>
      </w:r>
      <w:r w:rsidRPr="001C018A">
        <w:rPr>
          <w:color w:val="000000"/>
        </w:rPr>
        <w:t>13,3</w:t>
      </w:r>
      <w:r w:rsidRPr="001C018A">
        <w:t xml:space="preserve"> %, а докато</w:t>
      </w:r>
      <w:r w:rsidR="00892112">
        <w:t xml:space="preserve"> при индекса на цените</w:t>
      </w:r>
      <w:r w:rsidRPr="001C018A">
        <w:t xml:space="preserve"> се отчита спад и при двете групи стоки съответно с </w:t>
      </w:r>
      <w:r w:rsidRPr="001C018A">
        <w:rPr>
          <w:color w:val="000000"/>
        </w:rPr>
        <w:t xml:space="preserve">0,6 </w:t>
      </w:r>
      <w:r w:rsidRPr="001C018A">
        <w:t xml:space="preserve">% и с </w:t>
      </w:r>
      <w:r w:rsidRPr="001C018A">
        <w:rPr>
          <w:color w:val="000000"/>
        </w:rPr>
        <w:t xml:space="preserve">1,7 </w:t>
      </w:r>
      <w:r w:rsidRPr="001C018A">
        <w:t xml:space="preserve">%. </w:t>
      </w:r>
    </w:p>
    <w:p w14:paraId="70AD71AE" w14:textId="4E331D9A" w:rsidR="008502D4" w:rsidRPr="00E56679" w:rsidRDefault="008502D4" w:rsidP="008502D4">
      <w:pPr>
        <w:tabs>
          <w:tab w:val="left" w:pos="0"/>
        </w:tabs>
        <w:spacing w:before="120"/>
        <w:ind w:right="58"/>
        <w:jc w:val="both"/>
        <w:rPr>
          <w:bCs/>
          <w:color w:val="0070C0"/>
        </w:rPr>
      </w:pPr>
      <w:r w:rsidRPr="000B487E">
        <w:t>Постъпленията от</w:t>
      </w:r>
      <w:r w:rsidRPr="000B487E">
        <w:rPr>
          <w:i/>
        </w:rPr>
        <w:t xml:space="preserve"> </w:t>
      </w:r>
      <w:r w:rsidRPr="000B487E">
        <w:rPr>
          <w:b/>
          <w:i/>
        </w:rPr>
        <w:t>ДДС при сделки в страната и ВОП (нето)</w:t>
      </w:r>
      <w:r w:rsidRPr="000B487E">
        <w:t xml:space="preserve"> към юни 2024 г. възлизат на 5 289,2 млн. лв. Сравнени с данните за същия период на предходната година, постъпленията нарастват със 17,6 % (792,5 млн. лв.). </w:t>
      </w:r>
      <w:r w:rsidR="00772219" w:rsidRPr="00772219">
        <w:t>Отчита се спад при декларирания ДДС за възстановяване (208,9 млн. лв. по-малко), който зависи от размера на износа и направените инвестиции. Данъкът за възстановяване се приспада по реда на чл. 92, ал. 1 от ЗДДС или ефективно се възстановява от данъчната администрация след определения срок. Приспаднатият данък за първите шест месеца на 2024 г. е 452,9 млн. лв. и е с 85,4 млн. лв. по-малко от 2023 година. Възстановеният данък се намалява и е в размер на 5 366,1 млн. лв., което е със 147,3 млн. лв. под възстановените суми към края на юни миналата година. Невъзстановеният данъчен кредит към 30.06.2024 г. е в размер на 55,1 млн. лева</w:t>
      </w:r>
      <w:r w:rsidR="00772219">
        <w:t>.</w:t>
      </w:r>
    </w:p>
    <w:p w14:paraId="48EF17DF" w14:textId="77777777" w:rsidR="008502D4" w:rsidRPr="00F44C58" w:rsidRDefault="008502D4" w:rsidP="008502D4">
      <w:pPr>
        <w:pStyle w:val="Heading3"/>
        <w:spacing w:after="120"/>
        <w:ind w:left="568"/>
        <w:rPr>
          <w:rFonts w:ascii="Times New Roman" w:hAnsi="Times New Roman"/>
          <w:i/>
          <w:iCs/>
          <w:sz w:val="24"/>
          <w:szCs w:val="24"/>
        </w:rPr>
      </w:pPr>
      <w:bookmarkStart w:id="66" w:name="_Toc81485866"/>
      <w:bookmarkStart w:id="67" w:name="_Toc18400761"/>
      <w:bookmarkStart w:id="68" w:name="_Toc524080233"/>
      <w:bookmarkStart w:id="69" w:name="_Toc143522990"/>
      <w:bookmarkStart w:id="70" w:name="_Toc174117328"/>
      <w:bookmarkStart w:id="71" w:name="_Toc176351926"/>
      <w:r w:rsidRPr="00F44C58">
        <w:rPr>
          <w:rFonts w:ascii="Times New Roman" w:hAnsi="Times New Roman"/>
          <w:i/>
          <w:iCs/>
          <w:sz w:val="24"/>
          <w:szCs w:val="24"/>
        </w:rPr>
        <w:t>1.4.2 Акцизи</w:t>
      </w:r>
      <w:bookmarkEnd w:id="66"/>
      <w:bookmarkEnd w:id="67"/>
      <w:bookmarkEnd w:id="68"/>
      <w:bookmarkEnd w:id="69"/>
      <w:bookmarkEnd w:id="70"/>
      <w:bookmarkEnd w:id="71"/>
    </w:p>
    <w:p w14:paraId="1773A300" w14:textId="77777777" w:rsidR="008502D4" w:rsidRPr="00E56679" w:rsidRDefault="008502D4" w:rsidP="008502D4">
      <w:pPr>
        <w:spacing w:after="120"/>
        <w:jc w:val="both"/>
        <w:rPr>
          <w:color w:val="0070C0"/>
        </w:rPr>
      </w:pPr>
      <w:bookmarkStart w:id="72" w:name="_Toc524080234"/>
      <w:r w:rsidRPr="00F44C58">
        <w:rPr>
          <w:b/>
        </w:rPr>
        <w:t xml:space="preserve">Приходите от акцизи (нето) </w:t>
      </w:r>
      <w:r w:rsidRPr="00F44C58">
        <w:t xml:space="preserve">от внос, вътрешно производство и въведени в страната от други държави-членки на ЕС акцизни стоки са в размер на </w:t>
      </w:r>
      <w:r w:rsidRPr="00F44C58">
        <w:rPr>
          <w:b/>
        </w:rPr>
        <w:t>3 210,9 млн. лв</w:t>
      </w:r>
      <w:r w:rsidRPr="00F44C58">
        <w:t xml:space="preserve">., което е 49,8 % от планираните със ЗДБРБ за 2024 г. </w:t>
      </w:r>
      <w:bookmarkStart w:id="73" w:name="_Toc81485867"/>
      <w:bookmarkStart w:id="74" w:name="_Toc18400762"/>
      <w:r w:rsidRPr="00F44C58">
        <w:t>Съпоставени със същия период на предходната година, приходите от акцизи нарастват номинално с 373,2 млн. лв. (13,2 %).</w:t>
      </w:r>
    </w:p>
    <w:p w14:paraId="4A40FA6F" w14:textId="20DCACEE" w:rsidR="008502D4" w:rsidRPr="00F44C58" w:rsidRDefault="008502D4" w:rsidP="008502D4">
      <w:pPr>
        <w:spacing w:before="120" w:after="120"/>
        <w:jc w:val="both"/>
      </w:pPr>
      <w:r w:rsidRPr="002624DE">
        <w:t>С най-голям относителен дял са приходите от тютюневи изделия (</w:t>
      </w:r>
      <w:r>
        <w:t>55,3</w:t>
      </w:r>
      <w:r w:rsidRPr="002624DE">
        <w:t xml:space="preserve"> %, при </w:t>
      </w:r>
      <w:r>
        <w:t>54,9</w:t>
      </w:r>
      <w:r w:rsidRPr="002624DE">
        <w:t xml:space="preserve"> % дял през </w:t>
      </w:r>
      <w:r>
        <w:t xml:space="preserve">юни </w:t>
      </w:r>
      <w:r w:rsidRPr="002624DE">
        <w:t xml:space="preserve">2023 г.), следвани от </w:t>
      </w:r>
      <w:r w:rsidRPr="00524E93">
        <w:t>постъпленията от горива (</w:t>
      </w:r>
      <w:r>
        <w:t>39,0</w:t>
      </w:r>
      <w:r w:rsidRPr="00524E93">
        <w:t xml:space="preserve"> %), алкохол и алкохолни напитки </w:t>
      </w:r>
      <w:r w:rsidRPr="00F44C58">
        <w:t>(5,0</w:t>
      </w:r>
      <w:r w:rsidR="00A90EF6">
        <w:t> </w:t>
      </w:r>
      <w:r w:rsidRPr="00F44C58">
        <w:t>%) и други акцизни стоки (0,7 %). Постъпленията от акциз към юни 2024 г. по основни стокови групи, са както следва:</w:t>
      </w:r>
    </w:p>
    <w:p w14:paraId="39D46072" w14:textId="77777777" w:rsidR="008502D4" w:rsidRPr="00F44C58" w:rsidRDefault="008502D4" w:rsidP="008502D4">
      <w:pPr>
        <w:numPr>
          <w:ilvl w:val="0"/>
          <w:numId w:val="39"/>
        </w:numPr>
        <w:ind w:firstLine="66"/>
        <w:jc w:val="both"/>
        <w:rPr>
          <w:i/>
        </w:rPr>
      </w:pPr>
      <w:r w:rsidRPr="00F44C58">
        <w:rPr>
          <w:i/>
        </w:rPr>
        <w:t xml:space="preserve">акцизите от тютюн и тютюневи изделия </w:t>
      </w:r>
      <w:r w:rsidRPr="00F44C58">
        <w:t>възлизат на</w:t>
      </w:r>
      <w:r w:rsidRPr="00F44C58">
        <w:rPr>
          <w:i/>
        </w:rPr>
        <w:t xml:space="preserve"> </w:t>
      </w:r>
      <w:r w:rsidRPr="00F44C58">
        <w:t>1 776,9 млн. лева</w:t>
      </w:r>
      <w:r w:rsidRPr="00F44C58">
        <w:rPr>
          <w:i/>
        </w:rPr>
        <w:t xml:space="preserve">; </w:t>
      </w:r>
    </w:p>
    <w:p w14:paraId="2384D360" w14:textId="77777777" w:rsidR="008502D4" w:rsidRPr="00F44C58" w:rsidRDefault="008502D4" w:rsidP="008502D4">
      <w:pPr>
        <w:numPr>
          <w:ilvl w:val="0"/>
          <w:numId w:val="39"/>
        </w:numPr>
        <w:ind w:firstLine="66"/>
        <w:jc w:val="both"/>
      </w:pPr>
      <w:r w:rsidRPr="00F44C58">
        <w:rPr>
          <w:i/>
        </w:rPr>
        <w:t>акцизите от горив</w:t>
      </w:r>
      <w:r w:rsidRPr="00F44C58">
        <w:t xml:space="preserve">а са в размер на 1 251,7 млн. лева; </w:t>
      </w:r>
    </w:p>
    <w:p w14:paraId="39ADDB2C" w14:textId="77777777" w:rsidR="008502D4" w:rsidRPr="00E56679" w:rsidRDefault="008502D4" w:rsidP="008502D4">
      <w:pPr>
        <w:numPr>
          <w:ilvl w:val="0"/>
          <w:numId w:val="39"/>
        </w:numPr>
        <w:ind w:firstLine="66"/>
        <w:jc w:val="both"/>
        <w:rPr>
          <w:color w:val="0070C0"/>
        </w:rPr>
      </w:pPr>
      <w:r w:rsidRPr="00F44C58">
        <w:rPr>
          <w:i/>
        </w:rPr>
        <w:t xml:space="preserve">акцизите от алкохол и алкохолни напитки (вкл. бира) </w:t>
      </w:r>
      <w:r w:rsidRPr="00F44C58">
        <w:t xml:space="preserve">възлизат на 160,9 млн. лева; </w:t>
      </w:r>
    </w:p>
    <w:p w14:paraId="5DBE03E5" w14:textId="77777777" w:rsidR="008502D4" w:rsidRPr="00F44C58" w:rsidRDefault="008502D4" w:rsidP="008502D4">
      <w:pPr>
        <w:numPr>
          <w:ilvl w:val="0"/>
          <w:numId w:val="39"/>
        </w:numPr>
        <w:ind w:firstLine="66"/>
        <w:jc w:val="both"/>
      </w:pPr>
      <w:r w:rsidRPr="00F44C58">
        <w:rPr>
          <w:i/>
        </w:rPr>
        <w:t xml:space="preserve">приходите от ел. енергия и др. акцизни стоки </w:t>
      </w:r>
      <w:r w:rsidRPr="00F44C58">
        <w:t>възлизат на 21,4 млн. лева.</w:t>
      </w:r>
    </w:p>
    <w:p w14:paraId="5DA84B05" w14:textId="77777777" w:rsidR="008502D4" w:rsidRPr="00E56679" w:rsidRDefault="008502D4" w:rsidP="008502D4">
      <w:pPr>
        <w:ind w:left="426"/>
        <w:jc w:val="both"/>
        <w:rPr>
          <w:color w:val="0070C0"/>
        </w:rPr>
      </w:pPr>
    </w:p>
    <w:p w14:paraId="1C52EF10" w14:textId="77777777" w:rsidR="008502D4" w:rsidRPr="004D32F4" w:rsidRDefault="008502D4" w:rsidP="008502D4">
      <w:pPr>
        <w:pStyle w:val="Heading3"/>
        <w:spacing w:after="120"/>
        <w:ind w:left="568"/>
        <w:rPr>
          <w:rFonts w:ascii="Times New Roman" w:hAnsi="Times New Roman"/>
          <w:i/>
          <w:iCs/>
          <w:sz w:val="24"/>
          <w:szCs w:val="24"/>
        </w:rPr>
      </w:pPr>
      <w:bookmarkStart w:id="75" w:name="_Toc143522991"/>
      <w:bookmarkStart w:id="76" w:name="_Toc174117329"/>
      <w:bookmarkStart w:id="77" w:name="_Toc176351927"/>
      <w:r w:rsidRPr="004D32F4">
        <w:rPr>
          <w:rFonts w:ascii="Times New Roman" w:hAnsi="Times New Roman"/>
          <w:i/>
          <w:iCs/>
          <w:sz w:val="24"/>
          <w:szCs w:val="24"/>
        </w:rPr>
        <w:t>1.4.3 Данък върху застрахователните премии</w:t>
      </w:r>
      <w:bookmarkEnd w:id="72"/>
      <w:bookmarkEnd w:id="73"/>
      <w:bookmarkEnd w:id="74"/>
      <w:bookmarkEnd w:id="75"/>
      <w:bookmarkEnd w:id="76"/>
      <w:bookmarkEnd w:id="77"/>
    </w:p>
    <w:p w14:paraId="34A9F009" w14:textId="77777777" w:rsidR="008502D4" w:rsidRPr="004D32F4" w:rsidRDefault="008502D4" w:rsidP="008502D4">
      <w:pPr>
        <w:spacing w:after="120"/>
        <w:jc w:val="both"/>
      </w:pPr>
      <w:r w:rsidRPr="004D32F4">
        <w:rPr>
          <w:b/>
        </w:rPr>
        <w:t>Приходите от данък върху застрахователните премии</w:t>
      </w:r>
      <w:r w:rsidRPr="004D32F4">
        <w:t xml:space="preserve"> по облагаеми застрахователни договори (рисковете, по които са поети от застрахователи) са в размер на </w:t>
      </w:r>
      <w:r w:rsidRPr="004D32F4">
        <w:rPr>
          <w:b/>
        </w:rPr>
        <w:t>31,8 млн. лв</w:t>
      </w:r>
      <w:r w:rsidRPr="004D32F4">
        <w:t>., при планирани за годината 63</w:t>
      </w:r>
      <w:r w:rsidRPr="004D32F4">
        <w:rPr>
          <w:lang w:val="ru-RU"/>
        </w:rPr>
        <w:t>,0</w:t>
      </w:r>
      <w:r w:rsidRPr="004D32F4">
        <w:t xml:space="preserve"> млн. лева.</w:t>
      </w:r>
    </w:p>
    <w:p w14:paraId="766A5E16" w14:textId="77777777" w:rsidR="008502D4" w:rsidRPr="007D3E0E" w:rsidRDefault="008502D4" w:rsidP="008502D4">
      <w:pPr>
        <w:pStyle w:val="Heading3"/>
        <w:spacing w:after="120"/>
        <w:ind w:left="1288" w:hanging="720"/>
        <w:rPr>
          <w:rFonts w:ascii="Times New Roman" w:hAnsi="Times New Roman"/>
          <w:i/>
          <w:iCs/>
          <w:sz w:val="24"/>
          <w:szCs w:val="24"/>
        </w:rPr>
      </w:pPr>
      <w:bookmarkStart w:id="78" w:name="_Toc81485868"/>
      <w:bookmarkStart w:id="79" w:name="_Toc18400763"/>
      <w:bookmarkStart w:id="80" w:name="_Toc524080235"/>
      <w:bookmarkStart w:id="81" w:name="_Toc143522992"/>
      <w:bookmarkStart w:id="82" w:name="_Toc174117330"/>
      <w:bookmarkStart w:id="83" w:name="_Toc176351928"/>
      <w:r w:rsidRPr="007D3E0E">
        <w:rPr>
          <w:rFonts w:ascii="Times New Roman" w:hAnsi="Times New Roman"/>
          <w:i/>
          <w:iCs/>
          <w:sz w:val="24"/>
          <w:szCs w:val="24"/>
        </w:rPr>
        <w:t>1.4.4 Мита</w:t>
      </w:r>
      <w:bookmarkEnd w:id="78"/>
      <w:bookmarkEnd w:id="79"/>
      <w:bookmarkEnd w:id="80"/>
      <w:bookmarkEnd w:id="81"/>
      <w:bookmarkEnd w:id="82"/>
      <w:bookmarkEnd w:id="83"/>
    </w:p>
    <w:p w14:paraId="69A86382" w14:textId="77AC931A" w:rsidR="008502D4" w:rsidRPr="00E56679" w:rsidRDefault="008502D4" w:rsidP="008502D4">
      <w:pPr>
        <w:autoSpaceDE w:val="0"/>
        <w:autoSpaceDN w:val="0"/>
        <w:adjustRightInd w:val="0"/>
        <w:spacing w:after="120"/>
        <w:jc w:val="both"/>
        <w:rPr>
          <w:rFonts w:eastAsia="Batang"/>
          <w:bCs/>
          <w:color w:val="0070C0"/>
        </w:rPr>
      </w:pPr>
      <w:r w:rsidRPr="007D3E0E">
        <w:rPr>
          <w:b/>
        </w:rPr>
        <w:t>Постъпленията от</w:t>
      </w:r>
      <w:r w:rsidRPr="007D3E0E">
        <w:t xml:space="preserve"> </w:t>
      </w:r>
      <w:r w:rsidRPr="007D3E0E">
        <w:rPr>
          <w:b/>
          <w:bCs/>
        </w:rPr>
        <w:t xml:space="preserve">мита </w:t>
      </w:r>
      <w:r w:rsidRPr="007D3E0E">
        <w:t xml:space="preserve">възлизат на </w:t>
      </w:r>
      <w:r w:rsidRPr="007D3E0E">
        <w:rPr>
          <w:b/>
        </w:rPr>
        <w:t>140,2 млн. лв</w:t>
      </w:r>
      <w:r w:rsidRPr="007D3E0E">
        <w:t xml:space="preserve">. или 37,9 % от планираните със ЗДБРБ за 2024 г., като заемат 0,5 % относителен дял в общия размер на данъчните приходи по КФП. В сравнение със същия период на предходната година събраните мита са с 25,9 млн. лв. (15,6 %) по-малко. </w:t>
      </w:r>
      <w:r w:rsidRPr="00B70E1D">
        <w:t>Влияние върху спада в приходите от мита оказват нарушените вериги на доставки в резултат на събитията в Червено море, както и въведените от ЕС ограничителни мерки спрямо Русия в съответствие с Регламент (ЕС) № 833/2014</w:t>
      </w:r>
      <w:r w:rsidRPr="00B70E1D">
        <w:rPr>
          <w:vertAlign w:val="superscript"/>
        </w:rPr>
        <w:footnoteReference w:id="5"/>
      </w:r>
      <w:r w:rsidRPr="00B70E1D">
        <w:t xml:space="preserve"> и неговите последващи изменения и допълнения. Друг фактор върху намалените постъпления от мита има удължения с Регламент (ЕС) 2023/1077</w:t>
      </w:r>
      <w:r w:rsidRPr="00B70E1D">
        <w:rPr>
          <w:vertAlign w:val="superscript"/>
        </w:rPr>
        <w:footnoteReference w:id="6"/>
      </w:r>
      <w:r w:rsidRPr="00B70E1D">
        <w:t xml:space="preserve"> на ЕП и Съвета от 31 май 2023 г</w:t>
      </w:r>
      <w:r w:rsidR="00A95D0D">
        <w:t>.</w:t>
      </w:r>
      <w:r w:rsidRPr="00B70E1D">
        <w:t xml:space="preserve"> преференциален режим спрямо Украйна под формата на пълно премахване на вносните мита върху вноса на промишлени продукти от страната, спиране на прилагането на механизма на „входните цени“ по отношение на плодовете и зеленчуците, спиране на прилагането на тарифните квоти и пълно премахване на вносните мита, и други.</w:t>
      </w:r>
      <w:r w:rsidRPr="00E56679">
        <w:rPr>
          <w:rFonts w:eastAsia="Batang"/>
          <w:bCs/>
          <w:color w:val="0070C0"/>
        </w:rPr>
        <w:t xml:space="preserve"> </w:t>
      </w:r>
    </w:p>
    <w:p w14:paraId="7BFE5341" w14:textId="5BDCF6D5" w:rsidR="008502D4" w:rsidRPr="00B70E1D" w:rsidRDefault="008502D4" w:rsidP="008502D4">
      <w:pPr>
        <w:tabs>
          <w:tab w:val="right" w:pos="9072"/>
        </w:tabs>
        <w:spacing w:after="120"/>
        <w:contextualSpacing/>
        <w:jc w:val="both"/>
      </w:pPr>
      <w:r w:rsidRPr="00B70E1D">
        <w:t xml:space="preserve">При два от показателите, които се използват за оценка на динамиката на приходите от мита при внесените стоки, обложени със ставка на митото, различна от „0“ се отбелязва спад през първите шест месеца на 2024 г. спрямо същия период на предходната година. Намалените приходи от мита са в резултат от </w:t>
      </w:r>
      <w:r w:rsidRPr="00B70E1D">
        <w:rPr>
          <w:i/>
        </w:rPr>
        <w:t>спада на количествата</w:t>
      </w:r>
      <w:r w:rsidRPr="00B70E1D">
        <w:t xml:space="preserve"> на внесените стоки, обложени със ставка на митото, различна от „0“ с 22,3 % и от спада на </w:t>
      </w:r>
      <w:r w:rsidRPr="00B70E1D">
        <w:rPr>
          <w:i/>
          <w:color w:val="000000"/>
        </w:rPr>
        <w:t>осреднената ставка на митото</w:t>
      </w:r>
      <w:r w:rsidRPr="00B70E1D">
        <w:t xml:space="preserve">, приложена за облагане на </w:t>
      </w:r>
      <w:r w:rsidRPr="00B70E1D">
        <w:rPr>
          <w:color w:val="000000"/>
        </w:rPr>
        <w:t xml:space="preserve">внесените от трети страни стоки </w:t>
      </w:r>
      <w:r w:rsidRPr="00B70E1D">
        <w:t xml:space="preserve">от 3,1 % на годишна база. При </w:t>
      </w:r>
      <w:r w:rsidRPr="00B70E1D">
        <w:rPr>
          <w:i/>
        </w:rPr>
        <w:t>осреднената статистическа стойност за килограм</w:t>
      </w:r>
      <w:r w:rsidRPr="00B70E1D">
        <w:t xml:space="preserve"> внесена стока се отчита ръст от 11,7 % спрямо същия период на пред</w:t>
      </w:r>
      <w:r w:rsidR="00A95D0D">
        <w:t>ход</w:t>
      </w:r>
      <w:r w:rsidRPr="00B70E1D">
        <w:t>ната година.</w:t>
      </w:r>
    </w:p>
    <w:p w14:paraId="66CCED6E" w14:textId="619A3490" w:rsidR="008502D4" w:rsidRPr="00E56679" w:rsidRDefault="008502D4" w:rsidP="008502D4">
      <w:pPr>
        <w:tabs>
          <w:tab w:val="right" w:pos="9072"/>
        </w:tabs>
        <w:spacing w:before="120"/>
        <w:jc w:val="both"/>
        <w:rPr>
          <w:color w:val="0070C0"/>
        </w:rPr>
      </w:pPr>
      <w:r w:rsidRPr="00B70E1D">
        <w:t>В зависимост от произхода на внасяните стоки, през месец юни 2024 г. най-голям е делът на начислените приходи от мита при внос на стоки от Китай. Декларираната сума е 70,6  млн. лв</w:t>
      </w:r>
      <w:r w:rsidR="00A95D0D">
        <w:t>.</w:t>
      </w:r>
      <w:r w:rsidRPr="00B70E1D">
        <w:t>, което представлява 51,5 % от всички начислени мита, като спрямо юни 2023 г. е отчетен спад от</w:t>
      </w:r>
      <w:r w:rsidRPr="00B70E1D" w:rsidDel="00925E69">
        <w:t xml:space="preserve"> </w:t>
      </w:r>
      <w:r w:rsidRPr="00B70E1D">
        <w:t xml:space="preserve">22,0 </w:t>
      </w:r>
      <w:r w:rsidR="00A95D0D">
        <w:t>на сто</w:t>
      </w:r>
      <w:r w:rsidRPr="00B70E1D">
        <w:t xml:space="preserve">. </w:t>
      </w:r>
      <w:r>
        <w:t xml:space="preserve"> </w:t>
      </w:r>
    </w:p>
    <w:p w14:paraId="5EBD88E0" w14:textId="77777777" w:rsidR="008502D4" w:rsidRPr="00A3715C" w:rsidRDefault="008502D4" w:rsidP="008502D4">
      <w:pPr>
        <w:pStyle w:val="Heading3"/>
        <w:numPr>
          <w:ilvl w:val="1"/>
          <w:numId w:val="37"/>
        </w:numPr>
        <w:ind w:left="567" w:hanging="567"/>
        <w:rPr>
          <w:rFonts w:ascii="Times New Roman" w:hAnsi="Times New Roman" w:cs="Times New Roman"/>
          <w:sz w:val="24"/>
          <w:szCs w:val="24"/>
        </w:rPr>
      </w:pPr>
      <w:bookmarkStart w:id="84" w:name="_Toc81485869"/>
      <w:bookmarkStart w:id="85" w:name="_Toc18400764"/>
      <w:bookmarkStart w:id="86" w:name="_Toc524080236"/>
      <w:bookmarkStart w:id="87" w:name="_Toc143522993"/>
      <w:bookmarkStart w:id="88" w:name="_Toc174117331"/>
      <w:bookmarkStart w:id="89" w:name="_Toc176351929"/>
      <w:r w:rsidRPr="00A3715C">
        <w:rPr>
          <w:rFonts w:ascii="Times New Roman" w:hAnsi="Times New Roman" w:cs="Times New Roman"/>
          <w:sz w:val="24"/>
          <w:szCs w:val="24"/>
        </w:rPr>
        <w:t>Неданъчни приходи</w:t>
      </w:r>
      <w:bookmarkEnd w:id="84"/>
      <w:bookmarkEnd w:id="85"/>
      <w:bookmarkEnd w:id="86"/>
      <w:bookmarkEnd w:id="87"/>
      <w:bookmarkEnd w:id="88"/>
      <w:bookmarkEnd w:id="89"/>
    </w:p>
    <w:p w14:paraId="2838D324" w14:textId="77777777" w:rsidR="008502D4" w:rsidRPr="00A3715C" w:rsidRDefault="008502D4" w:rsidP="008502D4">
      <w:pPr>
        <w:tabs>
          <w:tab w:val="left" w:pos="900"/>
        </w:tabs>
        <w:jc w:val="both"/>
        <w:rPr>
          <w:sz w:val="4"/>
          <w:szCs w:val="4"/>
        </w:rPr>
      </w:pPr>
    </w:p>
    <w:p w14:paraId="2708D6C9" w14:textId="210253A1" w:rsidR="008502D4" w:rsidRPr="00E56679" w:rsidRDefault="008502D4" w:rsidP="008502D4">
      <w:pPr>
        <w:jc w:val="both"/>
        <w:rPr>
          <w:color w:val="0070C0"/>
        </w:rPr>
      </w:pPr>
      <w:r w:rsidRPr="00A3715C">
        <w:t xml:space="preserve">Постъпленията от </w:t>
      </w:r>
      <w:r w:rsidRPr="00A3715C">
        <w:rPr>
          <w:b/>
          <w:bCs/>
        </w:rPr>
        <w:t>неданъчни приходи</w:t>
      </w:r>
      <w:r w:rsidRPr="00A3715C">
        <w:t xml:space="preserve"> по КФП към края на месец юни 202</w:t>
      </w:r>
      <w:r w:rsidRPr="00772219">
        <w:rPr>
          <w:lang w:val="ru-RU"/>
        </w:rPr>
        <w:t>4</w:t>
      </w:r>
      <w:r w:rsidRPr="00A3715C">
        <w:t xml:space="preserve"> г. са в размер на 5 291,3 млн. лв. или 51,6 % от годишния разчет към ЗДБРБ за 2024 година. В структурно отношение неданъчните приходи включват държавни, общински и съдебни такси (36,5 %), приходи и доходи от общинска и държавна собственост (30,5 %), постъпления от продажба на нефинансови </w:t>
      </w:r>
      <w:r w:rsidRPr="00223F91">
        <w:t>активи (15,7 %), глоби, санкции и наказателни лихви (4,3</w:t>
      </w:r>
      <w:r w:rsidRPr="00223F91">
        <w:rPr>
          <w:lang w:val="ru-RU"/>
        </w:rPr>
        <w:t> </w:t>
      </w:r>
      <w:r w:rsidRPr="00223F91">
        <w:t xml:space="preserve">%), концесии (1,9 %) и други неданъчни приходи (11,2 %). </w:t>
      </w:r>
      <w:r w:rsidRPr="00386889">
        <w:rPr>
          <w:rFonts w:eastAsia="Calibri"/>
        </w:rPr>
        <w:t xml:space="preserve">В сравнение с предходната година </w:t>
      </w:r>
      <w:r>
        <w:rPr>
          <w:rFonts w:eastAsia="Calibri"/>
        </w:rPr>
        <w:t>неданъчните</w:t>
      </w:r>
      <w:r w:rsidRPr="00386889">
        <w:rPr>
          <w:rFonts w:eastAsia="Calibri"/>
        </w:rPr>
        <w:t xml:space="preserve"> приходи намаляват с 3</w:t>
      </w:r>
      <w:r w:rsidR="00A95D0D">
        <w:rPr>
          <w:rFonts w:eastAsia="Calibri"/>
        </w:rPr>
        <w:t>2</w:t>
      </w:r>
      <w:r>
        <w:rPr>
          <w:rFonts w:eastAsia="Calibri"/>
        </w:rPr>
        <w:t>9</w:t>
      </w:r>
      <w:r w:rsidRPr="00386889">
        <w:rPr>
          <w:rFonts w:eastAsia="Calibri"/>
        </w:rPr>
        <w:t>,</w:t>
      </w:r>
      <w:r>
        <w:rPr>
          <w:rFonts w:eastAsia="Calibri"/>
        </w:rPr>
        <w:t>7</w:t>
      </w:r>
      <w:r w:rsidRPr="00386889">
        <w:rPr>
          <w:rFonts w:eastAsia="Calibri"/>
        </w:rPr>
        <w:t xml:space="preserve"> млн. лв. (5,9 %) </w:t>
      </w:r>
      <w:r w:rsidRPr="00386889">
        <w:t>основно поради спад при постъпленията от продажба на квоти за емисии на парникови газове по бюджета на ФСЕС и приходи от дивидент за държавата от държавни предприятия.</w:t>
      </w:r>
      <w:r w:rsidRPr="00386889">
        <w:rPr>
          <w:rFonts w:eastAsia="Calibri"/>
        </w:rPr>
        <w:t xml:space="preserve"> </w:t>
      </w:r>
      <w:r>
        <w:rPr>
          <w:rFonts w:eastAsia="Calibri"/>
        </w:rPr>
        <w:t xml:space="preserve">За разлика от предходната година, когато към полугодието в държавния бюджет бяха постъпили 727,8 млн. лв. от дивидент за държавата от държавни предприятия, през първите шест месеца на 2024 г. приходите от дивидент са едва 78,5 млн. лева. </w:t>
      </w:r>
    </w:p>
    <w:p w14:paraId="1924942B" w14:textId="77777777" w:rsidR="008502D4" w:rsidRPr="002B57B8" w:rsidRDefault="008502D4" w:rsidP="008502D4">
      <w:pPr>
        <w:tabs>
          <w:tab w:val="left" w:pos="900"/>
        </w:tabs>
        <w:spacing w:before="120" w:after="120"/>
        <w:jc w:val="both"/>
      </w:pPr>
      <w:r w:rsidRPr="002B57B8">
        <w:t xml:space="preserve">Отчетените неданъчни приходи по </w:t>
      </w:r>
      <w:r w:rsidRPr="002B57B8">
        <w:rPr>
          <w:i/>
        </w:rPr>
        <w:t>държавния бюджет</w:t>
      </w:r>
      <w:r w:rsidRPr="002B57B8">
        <w:t xml:space="preserve"> през първото полугодие на 2024 г. са в размер на 2 961,2 млн. лв. или 61,8 % от годишния разчет. От тях 1 704,7 млн. лв. са по бюджетите на министерствата и ведомствата (50,5 % от разчета по ЗДБРБ за 2024 г.). Неданъчните приходи по бюджета на съдебната власт са в размер на 55,6 млн. лв. (55,6 % от разчетените за годината), в т.ч. 45,4 млн. лв. приходи от съдебни такси. </w:t>
      </w:r>
    </w:p>
    <w:p w14:paraId="2B550379" w14:textId="2E9D066F" w:rsidR="008502D4" w:rsidRPr="00E56679" w:rsidRDefault="008502D4" w:rsidP="008502D4">
      <w:pPr>
        <w:tabs>
          <w:tab w:val="left" w:pos="900"/>
        </w:tabs>
        <w:spacing w:before="120"/>
        <w:jc w:val="both"/>
        <w:rPr>
          <w:color w:val="0070C0"/>
        </w:rPr>
      </w:pPr>
      <w:r w:rsidRPr="002B57B8">
        <w:t xml:space="preserve">Неданъчните приходи по </w:t>
      </w:r>
      <w:r w:rsidRPr="002B57B8">
        <w:rPr>
          <w:i/>
        </w:rPr>
        <w:t>общинските бюджети</w:t>
      </w:r>
      <w:r w:rsidRPr="002B57B8">
        <w:t xml:space="preserve"> са в размер на 1 024,6 млн. лв., което </w:t>
      </w:r>
      <w:r w:rsidRPr="00323366">
        <w:t xml:space="preserve">представлява 46,4 % от разчета за годината. С най-добро изпълнение се открояват приходите от общински такси – 62,3 % от годишния разчет, следвани от приходите от глоби, санкции и наказателни лихви – 47,8 % от предвиденото, приходите и доходи от собственост – 42,4 %. Приходите от концесии са </w:t>
      </w:r>
      <w:r w:rsidR="00A95D0D">
        <w:t>37</w:t>
      </w:r>
      <w:r w:rsidRPr="00323366">
        <w:t>,</w:t>
      </w:r>
      <w:r w:rsidR="00A95D0D">
        <w:t>4</w:t>
      </w:r>
      <w:r w:rsidRPr="00323366">
        <w:t> % от разчетите за 2024 г., а постъпленията от продажба на нефинансови активи – 16,1 % от годишния разчет.</w:t>
      </w:r>
    </w:p>
    <w:p w14:paraId="7773083A" w14:textId="77777777" w:rsidR="008502D4" w:rsidRPr="003A147B" w:rsidRDefault="008502D4" w:rsidP="008502D4">
      <w:pPr>
        <w:spacing w:before="120"/>
        <w:jc w:val="both"/>
        <w:rPr>
          <w:lang w:eastAsia="en-US"/>
        </w:rPr>
      </w:pPr>
      <w:r w:rsidRPr="003A147B">
        <w:rPr>
          <w:lang w:eastAsia="en-US"/>
        </w:rPr>
        <w:t xml:space="preserve">Събраните през първото полугодие на 2024 г. неданъчни приходи във </w:t>
      </w:r>
      <w:r w:rsidRPr="003A147B">
        <w:rPr>
          <w:i/>
          <w:lang w:eastAsia="en-US"/>
        </w:rPr>
        <w:t>Фонд „Сигурност на електроенергийната система“</w:t>
      </w:r>
      <w:r w:rsidRPr="003A147B">
        <w:rPr>
          <w:lang w:eastAsia="en-US"/>
        </w:rPr>
        <w:t xml:space="preserve"> са в размер на 944,5 млн. лв. (36,2 % изпълнение на годишните разчети), в т.ч. 198,7</w:t>
      </w:r>
      <w:r w:rsidRPr="003A147B">
        <w:t xml:space="preserve"> млн. лв. други неданъчни приходи (приходи от</w:t>
      </w:r>
      <w:r w:rsidRPr="003A147B">
        <w:rPr>
          <w:lang w:eastAsia="en-US"/>
        </w:rPr>
        <w:t xml:space="preserve"> 5 %-</w:t>
      </w:r>
      <w:proofErr w:type="spellStart"/>
      <w:r w:rsidRPr="003A147B">
        <w:rPr>
          <w:lang w:eastAsia="en-US"/>
        </w:rPr>
        <w:t>ните</w:t>
      </w:r>
      <w:proofErr w:type="spellEnd"/>
      <w:r w:rsidRPr="003A147B">
        <w:rPr>
          <w:lang w:eastAsia="en-US"/>
        </w:rPr>
        <w:t xml:space="preserve"> вноски от произведената и продадена и внесената и продадена ел. енергия, от приходите за достъп и пренос на ел. енергия, от приходите от достъп и пренос на природен газ и от приходи от достъп и съхранение на природен газ, и от фактурираните средства от цената и/или </w:t>
      </w:r>
      <w:proofErr w:type="spellStart"/>
      <w:r w:rsidRPr="003A147B">
        <w:rPr>
          <w:lang w:eastAsia="en-US"/>
        </w:rPr>
        <w:t>компонентата</w:t>
      </w:r>
      <w:proofErr w:type="spellEnd"/>
      <w:r w:rsidRPr="003A147B">
        <w:rPr>
          <w:lang w:eastAsia="en-US"/>
        </w:rPr>
        <w:t xml:space="preserve"> от цена по чл. 30, ал. 1, т. 17 от Закона за енергетиката, наричана цена „задължение към обществото“</w:t>
      </w:r>
      <w:r w:rsidRPr="003A147B">
        <w:t>) и 745,2 млн. лв. приходи, получени от търговете за продажба на квоти по чл. 57, ал. 1 от Закона за ограничаване изменението на климата</w:t>
      </w:r>
      <w:r w:rsidRPr="003A147B">
        <w:rPr>
          <w:lang w:eastAsia="en-US"/>
        </w:rPr>
        <w:t>.</w:t>
      </w:r>
    </w:p>
    <w:p w14:paraId="130FA005" w14:textId="77777777" w:rsidR="008502D4" w:rsidRPr="00971D58" w:rsidRDefault="008502D4" w:rsidP="008502D4">
      <w:pPr>
        <w:pStyle w:val="Heading3"/>
        <w:numPr>
          <w:ilvl w:val="1"/>
          <w:numId w:val="37"/>
        </w:numPr>
        <w:spacing w:after="120"/>
        <w:ind w:left="567" w:hanging="567"/>
        <w:rPr>
          <w:rFonts w:ascii="Times New Roman" w:hAnsi="Times New Roman" w:cs="Times New Roman"/>
          <w:sz w:val="24"/>
          <w:szCs w:val="24"/>
        </w:rPr>
      </w:pPr>
      <w:bookmarkStart w:id="90" w:name="_Toc81485870"/>
      <w:bookmarkStart w:id="91" w:name="_Toc18400765"/>
      <w:bookmarkStart w:id="92" w:name="_Toc143522994"/>
      <w:bookmarkStart w:id="93" w:name="_Toc174117332"/>
      <w:bookmarkStart w:id="94" w:name="_Toc176351930"/>
      <w:bookmarkStart w:id="95" w:name="_Toc524080237"/>
      <w:r w:rsidRPr="00971D58">
        <w:rPr>
          <w:rFonts w:ascii="Times New Roman" w:hAnsi="Times New Roman" w:cs="Times New Roman"/>
          <w:sz w:val="24"/>
          <w:szCs w:val="24"/>
        </w:rPr>
        <w:t>Помощи и дарения</w:t>
      </w:r>
      <w:bookmarkEnd w:id="90"/>
      <w:bookmarkEnd w:id="91"/>
      <w:bookmarkEnd w:id="92"/>
      <w:bookmarkEnd w:id="93"/>
      <w:bookmarkEnd w:id="94"/>
      <w:r w:rsidRPr="00971D58">
        <w:rPr>
          <w:rFonts w:ascii="Times New Roman" w:hAnsi="Times New Roman" w:cs="Times New Roman"/>
          <w:sz w:val="24"/>
          <w:szCs w:val="24"/>
        </w:rPr>
        <w:t xml:space="preserve"> </w:t>
      </w:r>
      <w:bookmarkEnd w:id="95"/>
    </w:p>
    <w:p w14:paraId="597A9889" w14:textId="0E3A2D50" w:rsidR="008502D4" w:rsidRPr="00E56679" w:rsidRDefault="008502D4" w:rsidP="008502D4">
      <w:pPr>
        <w:pStyle w:val="BodyText"/>
        <w:jc w:val="both"/>
        <w:rPr>
          <w:color w:val="0070C0"/>
        </w:rPr>
      </w:pPr>
      <w:r w:rsidRPr="00971D58">
        <w:t xml:space="preserve">Постъпленията от помощи и дарения от страната и чужбина (основно помощи от фондовете на ЕС) са в размер на 1 999,6 млн. лв., което представлява 28,2 </w:t>
      </w:r>
      <w:r w:rsidR="00A95D0D">
        <w:t>% от годишния разчет. От тях 1 874</w:t>
      </w:r>
      <w:r w:rsidRPr="00971D58">
        <w:t>,</w:t>
      </w:r>
      <w:r w:rsidR="00A95D0D">
        <w:t>4</w:t>
      </w:r>
      <w:r w:rsidRPr="00971D58">
        <w:t xml:space="preserve"> млн. лв. са постъпленията от европейските фондове, а </w:t>
      </w:r>
      <w:r w:rsidR="00A95D0D">
        <w:t>125</w:t>
      </w:r>
      <w:r w:rsidRPr="00971D58">
        <w:t>,</w:t>
      </w:r>
      <w:r w:rsidR="00A95D0D">
        <w:t>3</w:t>
      </w:r>
      <w:r w:rsidRPr="00971D58">
        <w:t xml:space="preserve"> млн. лв. са помощите, отчетени по националния бюджет и от други международни програми. </w:t>
      </w:r>
    </w:p>
    <w:p w14:paraId="7FFFB2F0" w14:textId="77777777" w:rsidR="000470AB" w:rsidRPr="00FE1292" w:rsidRDefault="000470AB" w:rsidP="001A6FF9">
      <w:pPr>
        <w:pStyle w:val="Heading2"/>
        <w:numPr>
          <w:ilvl w:val="0"/>
          <w:numId w:val="3"/>
        </w:numPr>
        <w:tabs>
          <w:tab w:val="clear" w:pos="720"/>
          <w:tab w:val="center" w:pos="426"/>
        </w:tabs>
        <w:spacing w:after="120"/>
        <w:ind w:left="0" w:firstLine="0"/>
        <w:rPr>
          <w:rFonts w:ascii="Times New Roman" w:hAnsi="Times New Roman" w:cs="Times New Roman"/>
          <w:sz w:val="24"/>
          <w:szCs w:val="24"/>
        </w:rPr>
      </w:pPr>
      <w:bookmarkStart w:id="96" w:name="_Toc176351931"/>
      <w:r w:rsidRPr="00FE1292">
        <w:rPr>
          <w:rFonts w:ascii="Times New Roman" w:hAnsi="Times New Roman" w:cs="Times New Roman"/>
          <w:sz w:val="24"/>
          <w:szCs w:val="24"/>
        </w:rPr>
        <w:t>Изпълнение на разходите по икономически елементи</w:t>
      </w:r>
      <w:bookmarkEnd w:id="25"/>
      <w:bookmarkEnd w:id="26"/>
      <w:bookmarkEnd w:id="96"/>
    </w:p>
    <w:p w14:paraId="0F809BA0" w14:textId="77777777" w:rsidR="003A0A5B" w:rsidRPr="00E56679" w:rsidRDefault="003A0A5B" w:rsidP="00690C77">
      <w:pPr>
        <w:spacing w:after="120"/>
        <w:jc w:val="both"/>
        <w:rPr>
          <w:color w:val="0070C0"/>
          <w:sz w:val="2"/>
        </w:rPr>
      </w:pPr>
      <w:bookmarkStart w:id="97" w:name="_Toc239237827"/>
      <w:bookmarkStart w:id="98" w:name="_Toc333586832"/>
      <w:bookmarkStart w:id="99" w:name="_Toc365897046"/>
      <w:bookmarkStart w:id="100" w:name="_Toc365968829"/>
      <w:bookmarkStart w:id="101" w:name="_Toc16509339"/>
      <w:bookmarkStart w:id="102" w:name="_Toc269992224"/>
      <w:bookmarkStart w:id="103" w:name="_Toc365649313"/>
      <w:bookmarkStart w:id="104" w:name="_Toc365897050"/>
      <w:bookmarkStart w:id="105" w:name="_Toc365968833"/>
      <w:bookmarkStart w:id="106" w:name="_Toc301864760"/>
    </w:p>
    <w:p w14:paraId="6DF53FEE" w14:textId="77777777" w:rsidR="007B386B" w:rsidRPr="00934473" w:rsidRDefault="007B386B" w:rsidP="007B386B">
      <w:pPr>
        <w:spacing w:after="120"/>
        <w:jc w:val="both"/>
        <w:rPr>
          <w:rFonts w:cs="TimesNewRomanPSMT"/>
          <w:sz w:val="8"/>
          <w:szCs w:val="8"/>
        </w:rPr>
      </w:pPr>
      <w:bookmarkStart w:id="107" w:name="_Toc143018874"/>
      <w:bookmarkEnd w:id="97"/>
      <w:bookmarkEnd w:id="98"/>
      <w:bookmarkEnd w:id="99"/>
      <w:bookmarkEnd w:id="100"/>
      <w:bookmarkEnd w:id="101"/>
      <w:r w:rsidRPr="00934473">
        <w:t xml:space="preserve">Разходите </w:t>
      </w:r>
      <w:r w:rsidRPr="00934473">
        <w:rPr>
          <w:lang w:val="ru-RU"/>
        </w:rPr>
        <w:t xml:space="preserve">по КФП, </w:t>
      </w:r>
      <w:r w:rsidRPr="00934473">
        <w:t xml:space="preserve">включително вноската в общия бюджет на ЕС, за </w:t>
      </w:r>
      <w:r w:rsidRPr="00934473">
        <w:rPr>
          <w:lang w:eastAsia="en-US"/>
        </w:rPr>
        <w:t>първите шест месеца</w:t>
      </w:r>
      <w:r w:rsidRPr="00934473">
        <w:t xml:space="preserve"> на 2024 г. представляват 43,1 на сто от годишните разчети към ЗДБРБ за 2024 г. Усвояването на общите разходи по КФП за първото полугодие на годината е традиционно ниско, което се дължи на изместване на голяма част от инвестиционните и капиталови разходи за последното тримесечие на годината</w:t>
      </w:r>
      <w:r w:rsidRPr="00934473">
        <w:rPr>
          <w:lang w:eastAsia="en-US"/>
        </w:rPr>
        <w:t>.</w:t>
      </w:r>
      <w:r w:rsidRPr="00934473">
        <w:t xml:space="preserve"> </w:t>
      </w:r>
      <w:r w:rsidRPr="00934473">
        <w:rPr>
          <w:lang w:eastAsia="en-US"/>
        </w:rPr>
        <w:t>Неравномерното усвояване на капиталовите разходи е обективно обусловено от календара на строителния сезон, като изпълнението на повечето инфраструктурни проекти се извършва през летните месеци и разплащането за извършената работа се концентрира в последното тримесечие.</w:t>
      </w:r>
    </w:p>
    <w:p w14:paraId="74A2772F" w14:textId="17CE0039" w:rsidR="007B386B" w:rsidRPr="009B0286" w:rsidRDefault="007B386B" w:rsidP="007B386B">
      <w:pPr>
        <w:autoSpaceDE w:val="0"/>
        <w:autoSpaceDN w:val="0"/>
        <w:adjustRightInd w:val="0"/>
        <w:jc w:val="both"/>
      </w:pPr>
      <w:r w:rsidRPr="009B0286">
        <w:t>Отчетът на разходите на консолидирано ниво по икономически елементи за първото полугодие на текущата година, съпоставен с разчетите към ЗДБРБ за 202</w:t>
      </w:r>
      <w:r w:rsidRPr="00772219">
        <w:rPr>
          <w:lang w:val="ru-RU"/>
        </w:rPr>
        <w:t>4</w:t>
      </w:r>
      <w:r w:rsidRPr="009B0286">
        <w:t> г. и отчета за същия период на предходната година</w:t>
      </w:r>
      <w:r w:rsidR="001B4DEE">
        <w:t>,</w:t>
      </w:r>
      <w:r w:rsidRPr="009B0286">
        <w:t xml:space="preserve"> е представен в следната таблица:</w:t>
      </w:r>
    </w:p>
    <w:p w14:paraId="17C32B4E" w14:textId="77777777" w:rsidR="007B386B" w:rsidRPr="009B0286" w:rsidRDefault="007B386B" w:rsidP="007B386B">
      <w:pPr>
        <w:autoSpaceDE w:val="0"/>
        <w:autoSpaceDN w:val="0"/>
        <w:adjustRightInd w:val="0"/>
        <w:jc w:val="both"/>
      </w:pPr>
    </w:p>
    <w:p w14:paraId="35611219" w14:textId="20885FF5" w:rsidR="007B386B" w:rsidRPr="006761EF" w:rsidRDefault="007B386B" w:rsidP="006761EF">
      <w:pPr>
        <w:autoSpaceDE w:val="0"/>
        <w:autoSpaceDN w:val="0"/>
        <w:adjustRightInd w:val="0"/>
        <w:spacing w:before="120" w:after="120"/>
        <w:jc w:val="center"/>
        <w:rPr>
          <w:b/>
          <w:i/>
        </w:rPr>
      </w:pPr>
      <w:r w:rsidRPr="006761EF">
        <w:rPr>
          <w:b/>
          <w:i/>
        </w:rPr>
        <w:t>Разходи по консолидираната фискална програма за първото полугодие на 202</w:t>
      </w:r>
      <w:r w:rsidRPr="00772219">
        <w:rPr>
          <w:b/>
          <w:i/>
          <w:lang w:val="ru-RU"/>
        </w:rPr>
        <w:t>4</w:t>
      </w:r>
      <w:r w:rsidRPr="006761EF">
        <w:rPr>
          <w:b/>
          <w:i/>
        </w:rPr>
        <w:t xml:space="preserve"> година</w:t>
      </w:r>
    </w:p>
    <w:tbl>
      <w:tblPr>
        <w:tblW w:w="9860" w:type="dxa"/>
        <w:tblInd w:w="47" w:type="dxa"/>
        <w:tblCellMar>
          <w:left w:w="70" w:type="dxa"/>
          <w:right w:w="70" w:type="dxa"/>
        </w:tblCellMar>
        <w:tblLook w:val="04A0" w:firstRow="1" w:lastRow="0" w:firstColumn="1" w:lastColumn="0" w:noHBand="0" w:noVBand="1"/>
      </w:tblPr>
      <w:tblGrid>
        <w:gridCol w:w="3560"/>
        <w:gridCol w:w="1240"/>
        <w:gridCol w:w="1180"/>
        <w:gridCol w:w="1280"/>
        <w:gridCol w:w="1220"/>
        <w:gridCol w:w="1380"/>
      </w:tblGrid>
      <w:tr w:rsidR="007B386B" w:rsidRPr="00E56679" w14:paraId="6EC707F0" w14:textId="77777777" w:rsidTr="00654A69">
        <w:trPr>
          <w:trHeight w:val="885"/>
        </w:trPr>
        <w:tc>
          <w:tcPr>
            <w:tcW w:w="3560" w:type="dxa"/>
            <w:tcBorders>
              <w:top w:val="double" w:sz="6" w:space="0" w:color="800000"/>
              <w:left w:val="double" w:sz="6" w:space="0" w:color="800000"/>
              <w:bottom w:val="single" w:sz="8" w:space="0" w:color="800000"/>
              <w:right w:val="single" w:sz="8" w:space="0" w:color="FFFFFF"/>
            </w:tcBorders>
            <w:shd w:val="clear" w:color="000000" w:fill="800000"/>
            <w:vAlign w:val="center"/>
            <w:hideMark/>
          </w:tcPr>
          <w:p w14:paraId="68001CDA" w14:textId="3B5ABD32" w:rsidR="007B386B" w:rsidRPr="009B0286" w:rsidRDefault="007B386B" w:rsidP="00654A69">
            <w:pPr>
              <w:jc w:val="center"/>
              <w:rPr>
                <w:b/>
                <w:bCs/>
                <w:sz w:val="18"/>
                <w:szCs w:val="18"/>
              </w:rPr>
            </w:pPr>
          </w:p>
        </w:tc>
        <w:tc>
          <w:tcPr>
            <w:tcW w:w="1240" w:type="dxa"/>
            <w:tcBorders>
              <w:top w:val="double" w:sz="6" w:space="0" w:color="800000"/>
              <w:left w:val="nil"/>
              <w:bottom w:val="single" w:sz="8" w:space="0" w:color="FFFFFF"/>
              <w:right w:val="single" w:sz="8" w:space="0" w:color="FFFFFF"/>
            </w:tcBorders>
            <w:shd w:val="clear" w:color="000000" w:fill="800000"/>
            <w:vAlign w:val="center"/>
            <w:hideMark/>
          </w:tcPr>
          <w:p w14:paraId="675FB3E1" w14:textId="77777777" w:rsidR="007B386B" w:rsidRPr="009B0286" w:rsidRDefault="007B386B" w:rsidP="00654A69">
            <w:pPr>
              <w:jc w:val="center"/>
              <w:rPr>
                <w:b/>
                <w:bCs/>
                <w:sz w:val="17"/>
                <w:szCs w:val="17"/>
                <w:lang w:val="en-US"/>
              </w:rPr>
            </w:pPr>
            <w:r w:rsidRPr="009B0286">
              <w:rPr>
                <w:b/>
                <w:bCs/>
                <w:sz w:val="17"/>
                <w:szCs w:val="17"/>
              </w:rPr>
              <w:t>202</w:t>
            </w:r>
            <w:r w:rsidRPr="009B0286">
              <w:rPr>
                <w:b/>
                <w:bCs/>
                <w:sz w:val="17"/>
                <w:szCs w:val="17"/>
                <w:lang w:val="en-US"/>
              </w:rPr>
              <w:t>3</w:t>
            </w:r>
          </w:p>
        </w:tc>
        <w:tc>
          <w:tcPr>
            <w:tcW w:w="2460" w:type="dxa"/>
            <w:gridSpan w:val="2"/>
            <w:tcBorders>
              <w:top w:val="double" w:sz="6" w:space="0" w:color="800000"/>
              <w:left w:val="nil"/>
              <w:bottom w:val="single" w:sz="8" w:space="0" w:color="FFFFFF"/>
              <w:right w:val="single" w:sz="8" w:space="0" w:color="FFFFFF"/>
            </w:tcBorders>
            <w:shd w:val="clear" w:color="000000" w:fill="800000"/>
            <w:vAlign w:val="center"/>
            <w:hideMark/>
          </w:tcPr>
          <w:p w14:paraId="5D84B307" w14:textId="77777777" w:rsidR="007B386B" w:rsidRPr="009B0286" w:rsidRDefault="007B386B" w:rsidP="00654A69">
            <w:pPr>
              <w:jc w:val="center"/>
              <w:rPr>
                <w:b/>
                <w:bCs/>
                <w:sz w:val="17"/>
                <w:szCs w:val="17"/>
                <w:lang w:val="en-US"/>
              </w:rPr>
            </w:pPr>
            <w:r w:rsidRPr="009B0286">
              <w:rPr>
                <w:b/>
                <w:bCs/>
                <w:sz w:val="17"/>
                <w:szCs w:val="17"/>
              </w:rPr>
              <w:t>202</w:t>
            </w:r>
            <w:r w:rsidRPr="009B0286">
              <w:rPr>
                <w:b/>
                <w:bCs/>
                <w:sz w:val="17"/>
                <w:szCs w:val="17"/>
                <w:lang w:val="en-US"/>
              </w:rPr>
              <w:t>4</w:t>
            </w:r>
          </w:p>
        </w:tc>
        <w:tc>
          <w:tcPr>
            <w:tcW w:w="1220" w:type="dxa"/>
            <w:vMerge w:val="restart"/>
            <w:tcBorders>
              <w:top w:val="double" w:sz="6" w:space="0" w:color="800000"/>
              <w:left w:val="nil"/>
              <w:right w:val="single" w:sz="8" w:space="0" w:color="FFFFFF"/>
            </w:tcBorders>
            <w:shd w:val="clear" w:color="000000" w:fill="800000"/>
            <w:vAlign w:val="center"/>
            <w:hideMark/>
          </w:tcPr>
          <w:p w14:paraId="46D4E9C9" w14:textId="77777777" w:rsidR="007B386B" w:rsidRPr="009B0286" w:rsidRDefault="007B386B" w:rsidP="00654A69">
            <w:pPr>
              <w:jc w:val="center"/>
              <w:rPr>
                <w:b/>
                <w:bCs/>
                <w:sz w:val="17"/>
                <w:szCs w:val="17"/>
              </w:rPr>
            </w:pPr>
            <w:r w:rsidRPr="009B0286">
              <w:rPr>
                <w:b/>
                <w:bCs/>
                <w:sz w:val="17"/>
                <w:szCs w:val="17"/>
              </w:rPr>
              <w:t>Отчет             Н1 202</w:t>
            </w:r>
            <w:r w:rsidRPr="00772219">
              <w:rPr>
                <w:b/>
                <w:bCs/>
                <w:sz w:val="17"/>
                <w:szCs w:val="17"/>
                <w:lang w:val="ru-RU"/>
              </w:rPr>
              <w:t>4</w:t>
            </w:r>
            <w:r w:rsidRPr="009B0286">
              <w:rPr>
                <w:b/>
                <w:bCs/>
                <w:sz w:val="17"/>
                <w:szCs w:val="17"/>
              </w:rPr>
              <w:t xml:space="preserve"> спрямо</w:t>
            </w:r>
          </w:p>
          <w:p w14:paraId="7119A07A" w14:textId="77777777" w:rsidR="007B386B" w:rsidRPr="00772219" w:rsidRDefault="007B386B" w:rsidP="00654A69">
            <w:pPr>
              <w:jc w:val="center"/>
              <w:rPr>
                <w:b/>
                <w:bCs/>
                <w:sz w:val="17"/>
                <w:szCs w:val="17"/>
                <w:lang w:val="ru-RU"/>
              </w:rPr>
            </w:pPr>
            <w:r w:rsidRPr="009B0286">
              <w:rPr>
                <w:b/>
                <w:bCs/>
                <w:sz w:val="17"/>
                <w:szCs w:val="17"/>
              </w:rPr>
              <w:t>отчет Н1 20</w:t>
            </w:r>
            <w:r w:rsidRPr="009B0286">
              <w:rPr>
                <w:b/>
                <w:bCs/>
                <w:sz w:val="17"/>
                <w:szCs w:val="17"/>
                <w:lang w:val="ru-RU"/>
              </w:rPr>
              <w:t>2</w:t>
            </w:r>
            <w:r w:rsidRPr="00772219">
              <w:rPr>
                <w:b/>
                <w:bCs/>
                <w:sz w:val="17"/>
                <w:szCs w:val="17"/>
                <w:lang w:val="ru-RU"/>
              </w:rPr>
              <w:t>3</w:t>
            </w:r>
          </w:p>
        </w:tc>
        <w:tc>
          <w:tcPr>
            <w:tcW w:w="1380" w:type="dxa"/>
            <w:vMerge w:val="restart"/>
            <w:tcBorders>
              <w:top w:val="double" w:sz="6" w:space="0" w:color="800000"/>
              <w:left w:val="nil"/>
              <w:right w:val="double" w:sz="6" w:space="0" w:color="800000"/>
            </w:tcBorders>
            <w:shd w:val="clear" w:color="000000" w:fill="800000"/>
            <w:vAlign w:val="center"/>
            <w:hideMark/>
          </w:tcPr>
          <w:p w14:paraId="7F2E6E10" w14:textId="77777777" w:rsidR="007B386B" w:rsidRPr="009B0286" w:rsidRDefault="007B386B" w:rsidP="00654A69">
            <w:pPr>
              <w:jc w:val="center"/>
              <w:rPr>
                <w:b/>
                <w:bCs/>
                <w:sz w:val="17"/>
                <w:szCs w:val="17"/>
              </w:rPr>
            </w:pPr>
            <w:r w:rsidRPr="009B0286">
              <w:rPr>
                <w:b/>
                <w:bCs/>
                <w:sz w:val="17"/>
                <w:szCs w:val="17"/>
              </w:rPr>
              <w:t>Изпълнение  Н1 202</w:t>
            </w:r>
            <w:r w:rsidRPr="009B0286">
              <w:rPr>
                <w:b/>
                <w:bCs/>
                <w:sz w:val="17"/>
                <w:szCs w:val="17"/>
                <w:lang w:val="en-US"/>
              </w:rPr>
              <w:t>4</w:t>
            </w:r>
            <w:r w:rsidRPr="009B0286">
              <w:rPr>
                <w:b/>
                <w:bCs/>
                <w:sz w:val="17"/>
                <w:szCs w:val="17"/>
              </w:rPr>
              <w:t xml:space="preserve"> спрямо</w:t>
            </w:r>
          </w:p>
          <w:p w14:paraId="334164DC" w14:textId="77777777" w:rsidR="007B386B" w:rsidRPr="009B0286" w:rsidRDefault="007B386B" w:rsidP="00654A69">
            <w:pPr>
              <w:jc w:val="center"/>
              <w:rPr>
                <w:b/>
                <w:bCs/>
                <w:sz w:val="17"/>
                <w:szCs w:val="17"/>
                <w:lang w:val="en-US"/>
              </w:rPr>
            </w:pPr>
            <w:r w:rsidRPr="009B0286">
              <w:rPr>
                <w:b/>
                <w:bCs/>
                <w:sz w:val="17"/>
                <w:szCs w:val="17"/>
              </w:rPr>
              <w:t>ЗДБРБ 202</w:t>
            </w:r>
            <w:r w:rsidRPr="009B0286">
              <w:rPr>
                <w:b/>
                <w:bCs/>
                <w:sz w:val="17"/>
                <w:szCs w:val="17"/>
                <w:lang w:val="en-US"/>
              </w:rPr>
              <w:t>4</w:t>
            </w:r>
          </w:p>
        </w:tc>
      </w:tr>
      <w:tr w:rsidR="007B386B" w:rsidRPr="00E56679" w14:paraId="4F0E9C02" w14:textId="77777777" w:rsidTr="00654A69">
        <w:trPr>
          <w:trHeight w:val="435"/>
        </w:trPr>
        <w:tc>
          <w:tcPr>
            <w:tcW w:w="3560" w:type="dxa"/>
            <w:tcBorders>
              <w:top w:val="nil"/>
              <w:left w:val="double" w:sz="6" w:space="0" w:color="800000"/>
              <w:bottom w:val="double" w:sz="6" w:space="0" w:color="800000"/>
              <w:right w:val="single" w:sz="8" w:space="0" w:color="FFFFFF"/>
            </w:tcBorders>
            <w:shd w:val="clear" w:color="000000" w:fill="800000"/>
            <w:hideMark/>
          </w:tcPr>
          <w:p w14:paraId="64886EFB" w14:textId="77777777" w:rsidR="007B386B" w:rsidRPr="009B0286" w:rsidRDefault="007B386B" w:rsidP="00654A69">
            <w:pPr>
              <w:jc w:val="center"/>
              <w:rPr>
                <w:b/>
                <w:bCs/>
                <w:sz w:val="18"/>
                <w:szCs w:val="18"/>
              </w:rPr>
            </w:pPr>
            <w:r w:rsidRPr="009B0286">
              <w:rPr>
                <w:b/>
                <w:bCs/>
                <w:sz w:val="18"/>
                <w:szCs w:val="18"/>
              </w:rPr>
              <w:t>ПОКАЗАТЕЛ</w:t>
            </w:r>
          </w:p>
        </w:tc>
        <w:tc>
          <w:tcPr>
            <w:tcW w:w="1240" w:type="dxa"/>
            <w:tcBorders>
              <w:top w:val="nil"/>
              <w:left w:val="nil"/>
              <w:bottom w:val="double" w:sz="6" w:space="0" w:color="800000"/>
              <w:right w:val="single" w:sz="8" w:space="0" w:color="FFFFFF"/>
            </w:tcBorders>
            <w:shd w:val="clear" w:color="000000" w:fill="800000"/>
            <w:vAlign w:val="center"/>
            <w:hideMark/>
          </w:tcPr>
          <w:p w14:paraId="3444BD94" w14:textId="77777777" w:rsidR="007B386B" w:rsidRDefault="007B386B" w:rsidP="00654A69">
            <w:pPr>
              <w:jc w:val="center"/>
              <w:rPr>
                <w:b/>
                <w:bCs/>
                <w:sz w:val="17"/>
                <w:szCs w:val="17"/>
              </w:rPr>
            </w:pPr>
            <w:r w:rsidRPr="009B0286">
              <w:rPr>
                <w:b/>
                <w:bCs/>
                <w:sz w:val="17"/>
                <w:szCs w:val="17"/>
              </w:rPr>
              <w:t>ОТЧЕТ H1</w:t>
            </w:r>
          </w:p>
          <w:p w14:paraId="6116897E" w14:textId="11C3FAC1" w:rsidR="00E83F68" w:rsidRPr="00E83F68" w:rsidRDefault="00E83F68" w:rsidP="00654A69">
            <w:pPr>
              <w:jc w:val="center"/>
              <w:rPr>
                <w:b/>
                <w:bCs/>
                <w:sz w:val="16"/>
                <w:szCs w:val="16"/>
              </w:rPr>
            </w:pPr>
            <w:r>
              <w:rPr>
                <w:b/>
                <w:bCs/>
                <w:sz w:val="16"/>
                <w:szCs w:val="16"/>
              </w:rPr>
              <w:t>(</w:t>
            </w:r>
            <w:r w:rsidRPr="00E83F68">
              <w:rPr>
                <w:b/>
                <w:bCs/>
                <w:sz w:val="16"/>
                <w:szCs w:val="16"/>
              </w:rPr>
              <w:t>млн. лв</w:t>
            </w:r>
            <w:r>
              <w:rPr>
                <w:b/>
                <w:bCs/>
                <w:sz w:val="16"/>
                <w:szCs w:val="16"/>
              </w:rPr>
              <w:t>.)</w:t>
            </w:r>
          </w:p>
        </w:tc>
        <w:tc>
          <w:tcPr>
            <w:tcW w:w="1180" w:type="dxa"/>
            <w:tcBorders>
              <w:top w:val="nil"/>
              <w:left w:val="nil"/>
              <w:bottom w:val="double" w:sz="6" w:space="0" w:color="800000"/>
              <w:right w:val="single" w:sz="8" w:space="0" w:color="FFFFFF"/>
            </w:tcBorders>
            <w:shd w:val="clear" w:color="000000" w:fill="800000"/>
            <w:vAlign w:val="center"/>
            <w:hideMark/>
          </w:tcPr>
          <w:p w14:paraId="185A6171" w14:textId="77777777" w:rsidR="007B386B" w:rsidRDefault="007B386B" w:rsidP="00654A69">
            <w:pPr>
              <w:jc w:val="center"/>
              <w:rPr>
                <w:b/>
                <w:bCs/>
                <w:sz w:val="17"/>
                <w:szCs w:val="17"/>
              </w:rPr>
            </w:pPr>
            <w:r w:rsidRPr="009B0286">
              <w:rPr>
                <w:b/>
                <w:bCs/>
                <w:sz w:val="17"/>
                <w:szCs w:val="17"/>
              </w:rPr>
              <w:t>ЗДБРБ</w:t>
            </w:r>
          </w:p>
          <w:p w14:paraId="38A59FB5" w14:textId="74D0C3D2" w:rsidR="00E83F68" w:rsidRPr="00E83F68" w:rsidRDefault="00E83F68" w:rsidP="00654A69">
            <w:pPr>
              <w:jc w:val="center"/>
              <w:rPr>
                <w:b/>
                <w:bCs/>
                <w:sz w:val="16"/>
                <w:szCs w:val="16"/>
              </w:rPr>
            </w:pPr>
            <w:r>
              <w:rPr>
                <w:b/>
                <w:bCs/>
                <w:sz w:val="16"/>
                <w:szCs w:val="16"/>
              </w:rPr>
              <w:t>(</w:t>
            </w:r>
            <w:r w:rsidRPr="00E83F68">
              <w:rPr>
                <w:b/>
                <w:bCs/>
                <w:sz w:val="16"/>
                <w:szCs w:val="16"/>
              </w:rPr>
              <w:t>млн. лв</w:t>
            </w:r>
            <w:r>
              <w:rPr>
                <w:b/>
                <w:bCs/>
                <w:sz w:val="16"/>
                <w:szCs w:val="16"/>
              </w:rPr>
              <w:t>.)</w:t>
            </w:r>
          </w:p>
        </w:tc>
        <w:tc>
          <w:tcPr>
            <w:tcW w:w="1280" w:type="dxa"/>
            <w:tcBorders>
              <w:top w:val="nil"/>
              <w:left w:val="nil"/>
              <w:bottom w:val="double" w:sz="6" w:space="0" w:color="800000"/>
              <w:right w:val="single" w:sz="8" w:space="0" w:color="FFFFFF"/>
            </w:tcBorders>
            <w:shd w:val="clear" w:color="000000" w:fill="800000"/>
            <w:vAlign w:val="center"/>
            <w:hideMark/>
          </w:tcPr>
          <w:p w14:paraId="102E8249" w14:textId="77777777" w:rsidR="007B386B" w:rsidRDefault="007B386B" w:rsidP="00654A69">
            <w:pPr>
              <w:jc w:val="center"/>
              <w:rPr>
                <w:b/>
                <w:bCs/>
                <w:sz w:val="17"/>
                <w:szCs w:val="17"/>
              </w:rPr>
            </w:pPr>
            <w:r w:rsidRPr="009B0286">
              <w:rPr>
                <w:b/>
                <w:bCs/>
                <w:sz w:val="17"/>
                <w:szCs w:val="17"/>
              </w:rPr>
              <w:t>ОТЧЕТ Н1</w:t>
            </w:r>
          </w:p>
          <w:p w14:paraId="44ECC309" w14:textId="259F6153" w:rsidR="00E83F68" w:rsidRPr="00E83F68" w:rsidRDefault="00E83F68" w:rsidP="00654A69">
            <w:pPr>
              <w:jc w:val="center"/>
              <w:rPr>
                <w:b/>
                <w:bCs/>
                <w:sz w:val="16"/>
                <w:szCs w:val="16"/>
              </w:rPr>
            </w:pPr>
            <w:r>
              <w:rPr>
                <w:b/>
                <w:bCs/>
                <w:sz w:val="16"/>
                <w:szCs w:val="16"/>
              </w:rPr>
              <w:t>(</w:t>
            </w:r>
            <w:r w:rsidRPr="00E83F68">
              <w:rPr>
                <w:b/>
                <w:bCs/>
                <w:sz w:val="16"/>
                <w:szCs w:val="16"/>
              </w:rPr>
              <w:t>млн. лв</w:t>
            </w:r>
            <w:r>
              <w:rPr>
                <w:b/>
                <w:bCs/>
                <w:sz w:val="16"/>
                <w:szCs w:val="16"/>
              </w:rPr>
              <w:t>.)</w:t>
            </w:r>
          </w:p>
        </w:tc>
        <w:tc>
          <w:tcPr>
            <w:tcW w:w="1220" w:type="dxa"/>
            <w:vMerge/>
            <w:tcBorders>
              <w:left w:val="nil"/>
              <w:bottom w:val="double" w:sz="6" w:space="0" w:color="800000"/>
              <w:right w:val="single" w:sz="8" w:space="0" w:color="FFFFFF"/>
            </w:tcBorders>
            <w:shd w:val="clear" w:color="000000" w:fill="800000"/>
            <w:hideMark/>
          </w:tcPr>
          <w:p w14:paraId="4A0319C5" w14:textId="77777777" w:rsidR="007B386B" w:rsidRPr="00E56679" w:rsidRDefault="007B386B" w:rsidP="00654A69">
            <w:pPr>
              <w:jc w:val="center"/>
              <w:rPr>
                <w:b/>
                <w:bCs/>
                <w:color w:val="0070C0"/>
                <w:sz w:val="17"/>
                <w:szCs w:val="17"/>
                <w:lang w:val="en-US"/>
              </w:rPr>
            </w:pPr>
          </w:p>
        </w:tc>
        <w:tc>
          <w:tcPr>
            <w:tcW w:w="1380" w:type="dxa"/>
            <w:vMerge/>
            <w:tcBorders>
              <w:left w:val="nil"/>
              <w:bottom w:val="double" w:sz="6" w:space="0" w:color="800000"/>
              <w:right w:val="double" w:sz="6" w:space="0" w:color="800000"/>
            </w:tcBorders>
            <w:shd w:val="clear" w:color="000000" w:fill="800000"/>
            <w:vAlign w:val="center"/>
            <w:hideMark/>
          </w:tcPr>
          <w:p w14:paraId="74006AD0" w14:textId="77777777" w:rsidR="007B386B" w:rsidRPr="00E56679" w:rsidRDefault="007B386B" w:rsidP="00654A69">
            <w:pPr>
              <w:jc w:val="center"/>
              <w:rPr>
                <w:b/>
                <w:bCs/>
                <w:color w:val="0070C0"/>
                <w:sz w:val="17"/>
                <w:szCs w:val="17"/>
                <w:lang w:val="en-US"/>
              </w:rPr>
            </w:pPr>
          </w:p>
        </w:tc>
      </w:tr>
      <w:tr w:rsidR="007B386B" w:rsidRPr="00E56679" w14:paraId="29AEE2A1" w14:textId="77777777" w:rsidTr="00654A69">
        <w:trPr>
          <w:trHeight w:val="270"/>
        </w:trPr>
        <w:tc>
          <w:tcPr>
            <w:tcW w:w="3560" w:type="dxa"/>
            <w:tcBorders>
              <w:top w:val="nil"/>
              <w:left w:val="double" w:sz="6" w:space="0" w:color="800000"/>
              <w:bottom w:val="nil"/>
              <w:right w:val="single" w:sz="8" w:space="0" w:color="800000"/>
            </w:tcBorders>
            <w:shd w:val="clear" w:color="000000" w:fill="FFFFCC"/>
            <w:vAlign w:val="bottom"/>
            <w:hideMark/>
          </w:tcPr>
          <w:p w14:paraId="7E83C8AC" w14:textId="77777777" w:rsidR="007B386B" w:rsidRPr="009B0286" w:rsidRDefault="007B386B" w:rsidP="00654A69">
            <w:pPr>
              <w:rPr>
                <w:b/>
                <w:bCs/>
                <w:sz w:val="18"/>
                <w:szCs w:val="18"/>
              </w:rPr>
            </w:pPr>
            <w:r w:rsidRPr="009B0286">
              <w:rPr>
                <w:b/>
                <w:bCs/>
                <w:sz w:val="18"/>
                <w:szCs w:val="18"/>
              </w:rPr>
              <w:t xml:space="preserve">  ОБЩО РАЗХОДИ И ВНОСКА                         </w:t>
            </w:r>
          </w:p>
        </w:tc>
        <w:tc>
          <w:tcPr>
            <w:tcW w:w="1240" w:type="dxa"/>
            <w:vMerge w:val="restart"/>
            <w:tcBorders>
              <w:top w:val="double" w:sz="6" w:space="0" w:color="800000"/>
              <w:left w:val="single" w:sz="8" w:space="0" w:color="800000"/>
              <w:bottom w:val="nil"/>
              <w:right w:val="single" w:sz="8" w:space="0" w:color="800000"/>
            </w:tcBorders>
            <w:shd w:val="clear" w:color="000000" w:fill="FFFFCC"/>
            <w:vAlign w:val="bottom"/>
            <w:hideMark/>
          </w:tcPr>
          <w:p w14:paraId="20B6676C" w14:textId="77777777" w:rsidR="007B386B" w:rsidRPr="009B0286" w:rsidRDefault="007B386B" w:rsidP="00654A69">
            <w:pPr>
              <w:jc w:val="right"/>
              <w:rPr>
                <w:b/>
                <w:bCs/>
                <w:sz w:val="16"/>
                <w:szCs w:val="16"/>
                <w:lang w:val="en-US"/>
              </w:rPr>
            </w:pPr>
            <w:r w:rsidRPr="009B0286">
              <w:rPr>
                <w:b/>
                <w:bCs/>
                <w:sz w:val="16"/>
                <w:szCs w:val="16"/>
              </w:rPr>
              <w:t>31 230,6</w:t>
            </w:r>
          </w:p>
        </w:tc>
        <w:tc>
          <w:tcPr>
            <w:tcW w:w="1180" w:type="dxa"/>
            <w:vMerge w:val="restart"/>
            <w:tcBorders>
              <w:top w:val="double" w:sz="6" w:space="0" w:color="800000"/>
              <w:left w:val="single" w:sz="8" w:space="0" w:color="800000"/>
              <w:bottom w:val="nil"/>
              <w:right w:val="single" w:sz="8" w:space="0" w:color="800000"/>
            </w:tcBorders>
            <w:shd w:val="clear" w:color="000000" w:fill="FFFFCC"/>
            <w:vAlign w:val="bottom"/>
            <w:hideMark/>
          </w:tcPr>
          <w:p w14:paraId="10AA544F" w14:textId="77777777" w:rsidR="007B386B" w:rsidRPr="009B0286" w:rsidRDefault="007B386B" w:rsidP="00654A69">
            <w:pPr>
              <w:jc w:val="right"/>
              <w:rPr>
                <w:b/>
                <w:bCs/>
                <w:sz w:val="16"/>
                <w:szCs w:val="16"/>
                <w:lang w:val="en-US"/>
              </w:rPr>
            </w:pPr>
            <w:r w:rsidRPr="009B0286">
              <w:rPr>
                <w:b/>
                <w:bCs/>
                <w:sz w:val="16"/>
                <w:szCs w:val="16"/>
                <w:lang w:val="en-US"/>
              </w:rPr>
              <w:t>81</w:t>
            </w:r>
            <w:r w:rsidRPr="009B0286">
              <w:rPr>
                <w:b/>
                <w:bCs/>
                <w:sz w:val="16"/>
                <w:szCs w:val="16"/>
              </w:rPr>
              <w:t xml:space="preserve"> 5</w:t>
            </w:r>
            <w:r w:rsidRPr="009B0286">
              <w:rPr>
                <w:b/>
                <w:bCs/>
                <w:sz w:val="16"/>
                <w:szCs w:val="16"/>
                <w:lang w:val="en-US"/>
              </w:rPr>
              <w:t>09</w:t>
            </w:r>
            <w:r w:rsidRPr="009B0286">
              <w:rPr>
                <w:b/>
                <w:bCs/>
                <w:sz w:val="16"/>
                <w:szCs w:val="16"/>
              </w:rPr>
              <w:t>,</w:t>
            </w:r>
            <w:r w:rsidRPr="009B0286">
              <w:rPr>
                <w:b/>
                <w:bCs/>
                <w:sz w:val="16"/>
                <w:szCs w:val="16"/>
                <w:lang w:val="en-US"/>
              </w:rPr>
              <w:t>0</w:t>
            </w:r>
          </w:p>
        </w:tc>
        <w:tc>
          <w:tcPr>
            <w:tcW w:w="1280" w:type="dxa"/>
            <w:vMerge w:val="restart"/>
            <w:tcBorders>
              <w:top w:val="double" w:sz="6" w:space="0" w:color="800000"/>
              <w:left w:val="single" w:sz="8" w:space="0" w:color="800000"/>
              <w:bottom w:val="nil"/>
              <w:right w:val="single" w:sz="8" w:space="0" w:color="800000"/>
            </w:tcBorders>
            <w:shd w:val="clear" w:color="000000" w:fill="FFFFCC"/>
            <w:vAlign w:val="bottom"/>
            <w:hideMark/>
          </w:tcPr>
          <w:p w14:paraId="71710568" w14:textId="77777777" w:rsidR="007B386B" w:rsidRPr="009672E5" w:rsidRDefault="007B386B" w:rsidP="00654A69">
            <w:pPr>
              <w:jc w:val="right"/>
              <w:rPr>
                <w:b/>
                <w:bCs/>
                <w:sz w:val="16"/>
                <w:szCs w:val="16"/>
                <w:lang w:val="en-US"/>
              </w:rPr>
            </w:pPr>
            <w:r w:rsidRPr="009672E5">
              <w:rPr>
                <w:b/>
                <w:bCs/>
                <w:sz w:val="16"/>
                <w:szCs w:val="16"/>
              </w:rPr>
              <w:t>3</w:t>
            </w:r>
            <w:r w:rsidRPr="009672E5">
              <w:rPr>
                <w:b/>
                <w:bCs/>
                <w:sz w:val="16"/>
                <w:szCs w:val="16"/>
                <w:lang w:val="en-US"/>
              </w:rPr>
              <w:t>5</w:t>
            </w:r>
            <w:r w:rsidRPr="009672E5">
              <w:rPr>
                <w:b/>
                <w:bCs/>
                <w:sz w:val="16"/>
                <w:szCs w:val="16"/>
              </w:rPr>
              <w:t xml:space="preserve"> 0</w:t>
            </w:r>
            <w:r w:rsidRPr="009672E5">
              <w:rPr>
                <w:b/>
                <w:bCs/>
                <w:sz w:val="16"/>
                <w:szCs w:val="16"/>
                <w:lang w:val="en-US"/>
              </w:rPr>
              <w:t>91</w:t>
            </w:r>
            <w:r w:rsidRPr="009672E5">
              <w:rPr>
                <w:b/>
                <w:bCs/>
                <w:sz w:val="16"/>
                <w:szCs w:val="16"/>
              </w:rPr>
              <w:t>,</w:t>
            </w:r>
            <w:r w:rsidRPr="009672E5">
              <w:rPr>
                <w:b/>
                <w:bCs/>
                <w:sz w:val="16"/>
                <w:szCs w:val="16"/>
                <w:lang w:val="en-US"/>
              </w:rPr>
              <w:t>3</w:t>
            </w:r>
          </w:p>
        </w:tc>
        <w:tc>
          <w:tcPr>
            <w:tcW w:w="1220" w:type="dxa"/>
            <w:vMerge w:val="restart"/>
            <w:tcBorders>
              <w:top w:val="double" w:sz="6" w:space="0" w:color="800000"/>
              <w:left w:val="single" w:sz="8" w:space="0" w:color="800000"/>
              <w:bottom w:val="nil"/>
              <w:right w:val="single" w:sz="8" w:space="0" w:color="800000"/>
            </w:tcBorders>
            <w:shd w:val="clear" w:color="000000" w:fill="FFFFCC"/>
            <w:vAlign w:val="bottom"/>
            <w:hideMark/>
          </w:tcPr>
          <w:p w14:paraId="17E95527" w14:textId="77777777" w:rsidR="007B386B" w:rsidRPr="009672E5" w:rsidRDefault="007B386B" w:rsidP="00654A69">
            <w:pPr>
              <w:jc w:val="right"/>
              <w:rPr>
                <w:b/>
                <w:bCs/>
                <w:sz w:val="16"/>
                <w:szCs w:val="16"/>
              </w:rPr>
            </w:pPr>
            <w:r w:rsidRPr="009672E5">
              <w:rPr>
                <w:b/>
                <w:bCs/>
                <w:sz w:val="16"/>
                <w:szCs w:val="16"/>
              </w:rPr>
              <w:t>11</w:t>
            </w:r>
            <w:r w:rsidRPr="009672E5">
              <w:rPr>
                <w:b/>
                <w:bCs/>
                <w:sz w:val="16"/>
                <w:szCs w:val="16"/>
                <w:lang w:val="en-US"/>
              </w:rPr>
              <w:t>2</w:t>
            </w:r>
            <w:r w:rsidRPr="009672E5">
              <w:rPr>
                <w:b/>
                <w:bCs/>
                <w:sz w:val="16"/>
                <w:szCs w:val="16"/>
              </w:rPr>
              <w:t>,4%</w:t>
            </w:r>
          </w:p>
        </w:tc>
        <w:tc>
          <w:tcPr>
            <w:tcW w:w="1380" w:type="dxa"/>
            <w:vMerge w:val="restart"/>
            <w:tcBorders>
              <w:top w:val="double" w:sz="6" w:space="0" w:color="800000"/>
              <w:left w:val="single" w:sz="8" w:space="0" w:color="800000"/>
              <w:bottom w:val="nil"/>
              <w:right w:val="double" w:sz="6" w:space="0" w:color="800000"/>
            </w:tcBorders>
            <w:shd w:val="clear" w:color="000000" w:fill="FFFFCC"/>
            <w:vAlign w:val="bottom"/>
            <w:hideMark/>
          </w:tcPr>
          <w:p w14:paraId="6D748212" w14:textId="77777777" w:rsidR="007B386B" w:rsidRPr="009672E5" w:rsidRDefault="007B386B" w:rsidP="00654A69">
            <w:pPr>
              <w:jc w:val="right"/>
              <w:rPr>
                <w:b/>
                <w:bCs/>
                <w:sz w:val="16"/>
                <w:szCs w:val="16"/>
              </w:rPr>
            </w:pPr>
            <w:r w:rsidRPr="009672E5">
              <w:rPr>
                <w:b/>
                <w:bCs/>
                <w:sz w:val="16"/>
                <w:szCs w:val="16"/>
              </w:rPr>
              <w:t>4</w:t>
            </w:r>
            <w:r w:rsidRPr="009672E5">
              <w:rPr>
                <w:b/>
                <w:bCs/>
                <w:sz w:val="16"/>
                <w:szCs w:val="16"/>
                <w:lang w:val="en-US"/>
              </w:rPr>
              <w:t>3</w:t>
            </w:r>
            <w:r w:rsidRPr="009672E5">
              <w:rPr>
                <w:b/>
                <w:bCs/>
                <w:sz w:val="16"/>
                <w:szCs w:val="16"/>
              </w:rPr>
              <w:t>,</w:t>
            </w:r>
            <w:r w:rsidRPr="009672E5">
              <w:rPr>
                <w:b/>
                <w:bCs/>
                <w:sz w:val="16"/>
                <w:szCs w:val="16"/>
                <w:lang w:val="en-US"/>
              </w:rPr>
              <w:t>1</w:t>
            </w:r>
            <w:r w:rsidRPr="009672E5">
              <w:rPr>
                <w:b/>
                <w:bCs/>
                <w:sz w:val="16"/>
                <w:szCs w:val="16"/>
              </w:rPr>
              <w:t>%</w:t>
            </w:r>
          </w:p>
        </w:tc>
      </w:tr>
      <w:tr w:rsidR="007B386B" w:rsidRPr="00E56679" w14:paraId="78140A5F" w14:textId="77777777" w:rsidTr="00654A69">
        <w:trPr>
          <w:trHeight w:val="255"/>
        </w:trPr>
        <w:tc>
          <w:tcPr>
            <w:tcW w:w="3560" w:type="dxa"/>
            <w:tcBorders>
              <w:top w:val="nil"/>
              <w:left w:val="double" w:sz="6" w:space="0" w:color="800000"/>
              <w:bottom w:val="nil"/>
              <w:right w:val="single" w:sz="8" w:space="0" w:color="800000"/>
            </w:tcBorders>
            <w:shd w:val="clear" w:color="000000" w:fill="FFFFCC"/>
            <w:vAlign w:val="bottom"/>
            <w:hideMark/>
          </w:tcPr>
          <w:p w14:paraId="3538F828" w14:textId="77777777" w:rsidR="007B386B" w:rsidRPr="009B0286" w:rsidRDefault="007B386B" w:rsidP="00654A69">
            <w:pPr>
              <w:rPr>
                <w:b/>
                <w:bCs/>
                <w:sz w:val="18"/>
                <w:szCs w:val="18"/>
              </w:rPr>
            </w:pPr>
            <w:r w:rsidRPr="009B0286">
              <w:rPr>
                <w:b/>
                <w:bCs/>
                <w:sz w:val="18"/>
                <w:szCs w:val="18"/>
              </w:rPr>
              <w:t xml:space="preserve">  ЗА ОБЩИЯ БЮДЖЕТ НА ЕС</w:t>
            </w:r>
          </w:p>
        </w:tc>
        <w:tc>
          <w:tcPr>
            <w:tcW w:w="1240" w:type="dxa"/>
            <w:vMerge/>
            <w:tcBorders>
              <w:top w:val="double" w:sz="6" w:space="0" w:color="800000"/>
              <w:left w:val="single" w:sz="8" w:space="0" w:color="800000"/>
              <w:bottom w:val="nil"/>
              <w:right w:val="single" w:sz="8" w:space="0" w:color="800000"/>
            </w:tcBorders>
            <w:vAlign w:val="center"/>
            <w:hideMark/>
          </w:tcPr>
          <w:p w14:paraId="6594DCD0" w14:textId="77777777" w:rsidR="007B386B" w:rsidRPr="009B0286" w:rsidRDefault="007B386B" w:rsidP="00654A69">
            <w:pPr>
              <w:rPr>
                <w:b/>
                <w:bCs/>
                <w:sz w:val="16"/>
                <w:szCs w:val="16"/>
              </w:rPr>
            </w:pPr>
          </w:p>
        </w:tc>
        <w:tc>
          <w:tcPr>
            <w:tcW w:w="1180" w:type="dxa"/>
            <w:vMerge/>
            <w:tcBorders>
              <w:top w:val="double" w:sz="6" w:space="0" w:color="800000"/>
              <w:left w:val="single" w:sz="8" w:space="0" w:color="800000"/>
              <w:bottom w:val="nil"/>
              <w:right w:val="single" w:sz="8" w:space="0" w:color="800000"/>
            </w:tcBorders>
            <w:vAlign w:val="center"/>
            <w:hideMark/>
          </w:tcPr>
          <w:p w14:paraId="1AE7FFF1" w14:textId="77777777" w:rsidR="007B386B" w:rsidRPr="009B0286" w:rsidRDefault="007B386B" w:rsidP="00654A69">
            <w:pPr>
              <w:rPr>
                <w:b/>
                <w:bCs/>
                <w:sz w:val="16"/>
                <w:szCs w:val="16"/>
              </w:rPr>
            </w:pPr>
          </w:p>
        </w:tc>
        <w:tc>
          <w:tcPr>
            <w:tcW w:w="1280" w:type="dxa"/>
            <w:vMerge/>
            <w:tcBorders>
              <w:top w:val="double" w:sz="6" w:space="0" w:color="800000"/>
              <w:left w:val="single" w:sz="8" w:space="0" w:color="800000"/>
              <w:bottom w:val="nil"/>
              <w:right w:val="single" w:sz="8" w:space="0" w:color="800000"/>
            </w:tcBorders>
            <w:vAlign w:val="center"/>
            <w:hideMark/>
          </w:tcPr>
          <w:p w14:paraId="51527500" w14:textId="77777777" w:rsidR="007B386B" w:rsidRPr="009672E5" w:rsidRDefault="007B386B" w:rsidP="00654A69">
            <w:pPr>
              <w:rPr>
                <w:b/>
                <w:bCs/>
                <w:sz w:val="16"/>
                <w:szCs w:val="16"/>
              </w:rPr>
            </w:pPr>
          </w:p>
        </w:tc>
        <w:tc>
          <w:tcPr>
            <w:tcW w:w="1220" w:type="dxa"/>
            <w:vMerge/>
            <w:tcBorders>
              <w:top w:val="double" w:sz="6" w:space="0" w:color="800000"/>
              <w:left w:val="single" w:sz="8" w:space="0" w:color="800000"/>
              <w:bottom w:val="nil"/>
              <w:right w:val="single" w:sz="8" w:space="0" w:color="800000"/>
            </w:tcBorders>
            <w:vAlign w:val="center"/>
            <w:hideMark/>
          </w:tcPr>
          <w:p w14:paraId="635F6088" w14:textId="77777777" w:rsidR="007B386B" w:rsidRPr="009672E5" w:rsidRDefault="007B386B" w:rsidP="00654A69">
            <w:pPr>
              <w:rPr>
                <w:b/>
                <w:bCs/>
                <w:sz w:val="16"/>
                <w:szCs w:val="16"/>
              </w:rPr>
            </w:pPr>
          </w:p>
        </w:tc>
        <w:tc>
          <w:tcPr>
            <w:tcW w:w="1380" w:type="dxa"/>
            <w:vMerge/>
            <w:tcBorders>
              <w:top w:val="double" w:sz="6" w:space="0" w:color="800000"/>
              <w:left w:val="single" w:sz="8" w:space="0" w:color="800000"/>
              <w:bottom w:val="nil"/>
              <w:right w:val="double" w:sz="6" w:space="0" w:color="800000"/>
            </w:tcBorders>
            <w:vAlign w:val="center"/>
            <w:hideMark/>
          </w:tcPr>
          <w:p w14:paraId="5D0731F2" w14:textId="77777777" w:rsidR="007B386B" w:rsidRPr="009672E5" w:rsidRDefault="007B386B" w:rsidP="00654A69">
            <w:pPr>
              <w:rPr>
                <w:b/>
                <w:bCs/>
                <w:sz w:val="16"/>
                <w:szCs w:val="16"/>
              </w:rPr>
            </w:pPr>
          </w:p>
        </w:tc>
      </w:tr>
      <w:tr w:rsidR="007B386B" w:rsidRPr="00E56679" w14:paraId="5E5B0BC9" w14:textId="77777777" w:rsidTr="00654A69">
        <w:trPr>
          <w:trHeight w:val="255"/>
        </w:trPr>
        <w:tc>
          <w:tcPr>
            <w:tcW w:w="3560" w:type="dxa"/>
            <w:tcBorders>
              <w:top w:val="nil"/>
              <w:left w:val="double" w:sz="6" w:space="0" w:color="800000"/>
              <w:bottom w:val="nil"/>
              <w:right w:val="single" w:sz="8" w:space="0" w:color="800000"/>
            </w:tcBorders>
            <w:shd w:val="clear" w:color="000000" w:fill="FFFFCC"/>
            <w:hideMark/>
          </w:tcPr>
          <w:p w14:paraId="33DEC936" w14:textId="77777777" w:rsidR="007B386B" w:rsidRPr="009B0286" w:rsidRDefault="007B386B" w:rsidP="00654A69">
            <w:pPr>
              <w:rPr>
                <w:b/>
                <w:bCs/>
                <w:sz w:val="4"/>
                <w:szCs w:val="4"/>
              </w:rPr>
            </w:pPr>
            <w:r w:rsidRPr="009B0286">
              <w:rPr>
                <w:b/>
                <w:bCs/>
                <w:sz w:val="4"/>
                <w:szCs w:val="4"/>
              </w:rPr>
              <w:t> </w:t>
            </w:r>
          </w:p>
        </w:tc>
        <w:tc>
          <w:tcPr>
            <w:tcW w:w="1240" w:type="dxa"/>
            <w:tcBorders>
              <w:top w:val="nil"/>
              <w:left w:val="nil"/>
              <w:bottom w:val="nil"/>
              <w:right w:val="single" w:sz="8" w:space="0" w:color="800000"/>
            </w:tcBorders>
            <w:shd w:val="clear" w:color="000000" w:fill="FFFFCC"/>
            <w:vAlign w:val="bottom"/>
            <w:hideMark/>
          </w:tcPr>
          <w:p w14:paraId="04D9E946" w14:textId="77777777" w:rsidR="007B386B" w:rsidRPr="009B0286" w:rsidRDefault="007B386B" w:rsidP="00654A69">
            <w:pPr>
              <w:jc w:val="right"/>
              <w:rPr>
                <w:sz w:val="4"/>
                <w:szCs w:val="4"/>
              </w:rPr>
            </w:pPr>
            <w:r w:rsidRPr="009B0286">
              <w:rPr>
                <w:sz w:val="4"/>
                <w:szCs w:val="4"/>
              </w:rPr>
              <w:t> </w:t>
            </w:r>
          </w:p>
        </w:tc>
        <w:tc>
          <w:tcPr>
            <w:tcW w:w="1180" w:type="dxa"/>
            <w:tcBorders>
              <w:top w:val="nil"/>
              <w:left w:val="nil"/>
              <w:bottom w:val="nil"/>
              <w:right w:val="single" w:sz="8" w:space="0" w:color="800000"/>
            </w:tcBorders>
            <w:shd w:val="clear" w:color="000000" w:fill="FFFFCC"/>
            <w:vAlign w:val="bottom"/>
            <w:hideMark/>
          </w:tcPr>
          <w:p w14:paraId="36D6CEF0" w14:textId="77777777" w:rsidR="007B386B" w:rsidRPr="009B0286" w:rsidRDefault="007B386B" w:rsidP="00654A69">
            <w:pPr>
              <w:jc w:val="right"/>
              <w:rPr>
                <w:sz w:val="4"/>
                <w:szCs w:val="4"/>
              </w:rPr>
            </w:pPr>
            <w:r w:rsidRPr="009B0286">
              <w:rPr>
                <w:sz w:val="4"/>
                <w:szCs w:val="4"/>
              </w:rPr>
              <w:t> </w:t>
            </w:r>
          </w:p>
        </w:tc>
        <w:tc>
          <w:tcPr>
            <w:tcW w:w="1280" w:type="dxa"/>
            <w:tcBorders>
              <w:top w:val="nil"/>
              <w:left w:val="nil"/>
              <w:bottom w:val="nil"/>
              <w:right w:val="single" w:sz="8" w:space="0" w:color="800000"/>
            </w:tcBorders>
            <w:shd w:val="clear" w:color="000000" w:fill="FFFFCC"/>
            <w:vAlign w:val="bottom"/>
            <w:hideMark/>
          </w:tcPr>
          <w:p w14:paraId="69CDA2FA" w14:textId="77777777" w:rsidR="007B386B" w:rsidRPr="009672E5" w:rsidRDefault="007B386B" w:rsidP="00654A69">
            <w:pPr>
              <w:jc w:val="right"/>
              <w:rPr>
                <w:sz w:val="4"/>
                <w:szCs w:val="4"/>
              </w:rPr>
            </w:pPr>
            <w:r w:rsidRPr="009672E5">
              <w:rPr>
                <w:sz w:val="4"/>
                <w:szCs w:val="4"/>
              </w:rPr>
              <w:t> </w:t>
            </w:r>
          </w:p>
        </w:tc>
        <w:tc>
          <w:tcPr>
            <w:tcW w:w="1220" w:type="dxa"/>
            <w:tcBorders>
              <w:top w:val="nil"/>
              <w:left w:val="nil"/>
              <w:bottom w:val="nil"/>
              <w:right w:val="single" w:sz="8" w:space="0" w:color="800000"/>
            </w:tcBorders>
            <w:shd w:val="clear" w:color="000000" w:fill="FFFFCC"/>
            <w:vAlign w:val="bottom"/>
            <w:hideMark/>
          </w:tcPr>
          <w:p w14:paraId="10F25034" w14:textId="77777777" w:rsidR="007B386B" w:rsidRPr="009672E5" w:rsidRDefault="007B386B" w:rsidP="00654A69">
            <w:pPr>
              <w:jc w:val="right"/>
              <w:rPr>
                <w:b/>
                <w:bCs/>
                <w:sz w:val="4"/>
                <w:szCs w:val="4"/>
              </w:rPr>
            </w:pPr>
            <w:r w:rsidRPr="009672E5">
              <w:rPr>
                <w:b/>
                <w:bCs/>
                <w:sz w:val="4"/>
                <w:szCs w:val="4"/>
              </w:rPr>
              <w:t> </w:t>
            </w:r>
          </w:p>
        </w:tc>
        <w:tc>
          <w:tcPr>
            <w:tcW w:w="1380" w:type="dxa"/>
            <w:tcBorders>
              <w:top w:val="nil"/>
              <w:left w:val="nil"/>
              <w:bottom w:val="nil"/>
              <w:right w:val="double" w:sz="6" w:space="0" w:color="800000"/>
            </w:tcBorders>
            <w:shd w:val="clear" w:color="000000" w:fill="FFFFCC"/>
            <w:vAlign w:val="bottom"/>
            <w:hideMark/>
          </w:tcPr>
          <w:p w14:paraId="3AFB8646" w14:textId="77777777" w:rsidR="007B386B" w:rsidRPr="009672E5" w:rsidRDefault="007B386B" w:rsidP="00654A69">
            <w:pPr>
              <w:jc w:val="right"/>
              <w:rPr>
                <w:b/>
                <w:bCs/>
                <w:sz w:val="4"/>
                <w:szCs w:val="4"/>
              </w:rPr>
            </w:pPr>
            <w:r w:rsidRPr="009672E5">
              <w:rPr>
                <w:b/>
                <w:bCs/>
                <w:sz w:val="4"/>
                <w:szCs w:val="4"/>
              </w:rPr>
              <w:t> </w:t>
            </w:r>
          </w:p>
        </w:tc>
      </w:tr>
      <w:tr w:rsidR="007B386B" w:rsidRPr="00E56679" w14:paraId="3C687F28" w14:textId="77777777" w:rsidTr="00654A69">
        <w:trPr>
          <w:trHeight w:val="255"/>
        </w:trPr>
        <w:tc>
          <w:tcPr>
            <w:tcW w:w="3560" w:type="dxa"/>
            <w:tcBorders>
              <w:top w:val="nil"/>
              <w:left w:val="double" w:sz="6" w:space="0" w:color="800000"/>
              <w:bottom w:val="nil"/>
              <w:right w:val="single" w:sz="8" w:space="0" w:color="800000"/>
            </w:tcBorders>
            <w:shd w:val="clear" w:color="000000" w:fill="FFFFCC"/>
            <w:vAlign w:val="center"/>
            <w:hideMark/>
          </w:tcPr>
          <w:p w14:paraId="65E00E7C" w14:textId="77777777" w:rsidR="007B386B" w:rsidRPr="009B0286" w:rsidRDefault="007B386B" w:rsidP="00654A69">
            <w:pPr>
              <w:rPr>
                <w:b/>
                <w:bCs/>
                <w:sz w:val="18"/>
                <w:szCs w:val="18"/>
              </w:rPr>
            </w:pPr>
            <w:r w:rsidRPr="009B0286">
              <w:rPr>
                <w:b/>
                <w:bCs/>
                <w:sz w:val="18"/>
                <w:szCs w:val="18"/>
              </w:rPr>
              <w:t xml:space="preserve">  Общо нелихвени разходи</w:t>
            </w:r>
          </w:p>
        </w:tc>
        <w:tc>
          <w:tcPr>
            <w:tcW w:w="1240" w:type="dxa"/>
            <w:tcBorders>
              <w:top w:val="nil"/>
              <w:left w:val="nil"/>
              <w:bottom w:val="nil"/>
              <w:right w:val="single" w:sz="8" w:space="0" w:color="800000"/>
            </w:tcBorders>
            <w:shd w:val="clear" w:color="000000" w:fill="FFFFCC"/>
            <w:vAlign w:val="bottom"/>
            <w:hideMark/>
          </w:tcPr>
          <w:p w14:paraId="5F989D89" w14:textId="77777777" w:rsidR="007B386B" w:rsidRPr="009B0286" w:rsidRDefault="007B386B" w:rsidP="00654A69">
            <w:pPr>
              <w:jc w:val="right"/>
              <w:rPr>
                <w:b/>
                <w:bCs/>
                <w:sz w:val="16"/>
                <w:szCs w:val="16"/>
                <w:lang w:val="en-US"/>
              </w:rPr>
            </w:pPr>
            <w:r w:rsidRPr="009B0286">
              <w:rPr>
                <w:b/>
                <w:bCs/>
                <w:sz w:val="16"/>
                <w:szCs w:val="16"/>
              </w:rPr>
              <w:t>30 033,3</w:t>
            </w:r>
          </w:p>
        </w:tc>
        <w:tc>
          <w:tcPr>
            <w:tcW w:w="1180" w:type="dxa"/>
            <w:tcBorders>
              <w:top w:val="nil"/>
              <w:left w:val="nil"/>
              <w:bottom w:val="nil"/>
              <w:right w:val="single" w:sz="8" w:space="0" w:color="800000"/>
            </w:tcBorders>
            <w:shd w:val="clear" w:color="000000" w:fill="FFFFCC"/>
            <w:vAlign w:val="bottom"/>
            <w:hideMark/>
          </w:tcPr>
          <w:p w14:paraId="7CE07F96" w14:textId="77777777" w:rsidR="007B386B" w:rsidRPr="009B0286" w:rsidRDefault="007B386B" w:rsidP="00654A69">
            <w:pPr>
              <w:jc w:val="right"/>
              <w:rPr>
                <w:b/>
                <w:bCs/>
                <w:sz w:val="16"/>
                <w:szCs w:val="16"/>
                <w:lang w:val="en-US"/>
              </w:rPr>
            </w:pPr>
            <w:r w:rsidRPr="009B0286">
              <w:rPr>
                <w:b/>
                <w:bCs/>
                <w:sz w:val="16"/>
                <w:szCs w:val="16"/>
              </w:rPr>
              <w:t>7</w:t>
            </w:r>
            <w:r w:rsidRPr="009B0286">
              <w:rPr>
                <w:b/>
                <w:bCs/>
                <w:sz w:val="16"/>
                <w:szCs w:val="16"/>
                <w:lang w:val="en-US"/>
              </w:rPr>
              <w:t>7</w:t>
            </w:r>
            <w:r w:rsidRPr="009B0286">
              <w:rPr>
                <w:b/>
                <w:bCs/>
                <w:sz w:val="16"/>
                <w:szCs w:val="16"/>
              </w:rPr>
              <w:t xml:space="preserve"> 8</w:t>
            </w:r>
            <w:r w:rsidRPr="009B0286">
              <w:rPr>
                <w:b/>
                <w:bCs/>
                <w:sz w:val="16"/>
                <w:szCs w:val="16"/>
                <w:lang w:val="en-US"/>
              </w:rPr>
              <w:t>57</w:t>
            </w:r>
            <w:r w:rsidRPr="009B0286">
              <w:rPr>
                <w:b/>
                <w:bCs/>
                <w:sz w:val="16"/>
                <w:szCs w:val="16"/>
              </w:rPr>
              <w:t>,</w:t>
            </w:r>
            <w:r w:rsidRPr="009B0286">
              <w:rPr>
                <w:b/>
                <w:bCs/>
                <w:sz w:val="16"/>
                <w:szCs w:val="16"/>
                <w:lang w:val="en-US"/>
              </w:rPr>
              <w:t>2</w:t>
            </w:r>
          </w:p>
        </w:tc>
        <w:tc>
          <w:tcPr>
            <w:tcW w:w="1280" w:type="dxa"/>
            <w:tcBorders>
              <w:top w:val="nil"/>
              <w:left w:val="nil"/>
              <w:bottom w:val="nil"/>
              <w:right w:val="single" w:sz="8" w:space="0" w:color="800000"/>
            </w:tcBorders>
            <w:shd w:val="clear" w:color="000000" w:fill="FFFFCC"/>
            <w:vAlign w:val="bottom"/>
            <w:hideMark/>
          </w:tcPr>
          <w:p w14:paraId="4B8B9022" w14:textId="77777777" w:rsidR="007B386B" w:rsidRPr="009672E5" w:rsidRDefault="007B386B" w:rsidP="00654A69">
            <w:pPr>
              <w:jc w:val="right"/>
              <w:rPr>
                <w:b/>
                <w:bCs/>
                <w:sz w:val="16"/>
                <w:szCs w:val="16"/>
                <w:lang w:val="en-US"/>
              </w:rPr>
            </w:pPr>
            <w:r w:rsidRPr="009672E5">
              <w:rPr>
                <w:b/>
                <w:bCs/>
                <w:sz w:val="16"/>
                <w:szCs w:val="16"/>
              </w:rPr>
              <w:t>3</w:t>
            </w:r>
            <w:r w:rsidRPr="009672E5">
              <w:rPr>
                <w:b/>
                <w:bCs/>
                <w:sz w:val="16"/>
                <w:szCs w:val="16"/>
                <w:lang w:val="en-US"/>
              </w:rPr>
              <w:t>3</w:t>
            </w:r>
            <w:r w:rsidRPr="009672E5">
              <w:rPr>
                <w:b/>
                <w:bCs/>
                <w:sz w:val="16"/>
                <w:szCs w:val="16"/>
              </w:rPr>
              <w:t xml:space="preserve"> </w:t>
            </w:r>
            <w:r w:rsidRPr="009672E5">
              <w:rPr>
                <w:b/>
                <w:bCs/>
                <w:sz w:val="16"/>
                <w:szCs w:val="16"/>
                <w:lang w:val="en-US"/>
              </w:rPr>
              <w:t>880</w:t>
            </w:r>
            <w:r w:rsidRPr="009672E5">
              <w:rPr>
                <w:b/>
                <w:bCs/>
                <w:sz w:val="16"/>
                <w:szCs w:val="16"/>
              </w:rPr>
              <w:t>,</w:t>
            </w:r>
            <w:r w:rsidRPr="009672E5">
              <w:rPr>
                <w:b/>
                <w:bCs/>
                <w:sz w:val="16"/>
                <w:szCs w:val="16"/>
                <w:lang w:val="en-US"/>
              </w:rPr>
              <w:t>6</w:t>
            </w:r>
          </w:p>
        </w:tc>
        <w:tc>
          <w:tcPr>
            <w:tcW w:w="1220" w:type="dxa"/>
            <w:tcBorders>
              <w:top w:val="nil"/>
              <w:left w:val="single" w:sz="8" w:space="0" w:color="800000"/>
              <w:bottom w:val="nil"/>
              <w:right w:val="single" w:sz="8" w:space="0" w:color="800000"/>
            </w:tcBorders>
            <w:shd w:val="clear" w:color="000000" w:fill="FFFFCC"/>
            <w:vAlign w:val="bottom"/>
            <w:hideMark/>
          </w:tcPr>
          <w:p w14:paraId="44253EE5" w14:textId="77777777" w:rsidR="007B386B" w:rsidRPr="009672E5" w:rsidRDefault="007B386B" w:rsidP="00654A69">
            <w:pPr>
              <w:jc w:val="right"/>
              <w:rPr>
                <w:b/>
                <w:bCs/>
                <w:sz w:val="16"/>
                <w:szCs w:val="16"/>
              </w:rPr>
            </w:pPr>
            <w:r w:rsidRPr="009672E5">
              <w:rPr>
                <w:b/>
                <w:bCs/>
                <w:sz w:val="16"/>
                <w:szCs w:val="16"/>
              </w:rPr>
              <w:t>11</w:t>
            </w:r>
            <w:r w:rsidRPr="009672E5">
              <w:rPr>
                <w:b/>
                <w:bCs/>
                <w:sz w:val="16"/>
                <w:szCs w:val="16"/>
                <w:lang w:val="en-US"/>
              </w:rPr>
              <w:t>2</w:t>
            </w:r>
            <w:r w:rsidRPr="009672E5">
              <w:rPr>
                <w:b/>
                <w:bCs/>
                <w:sz w:val="16"/>
                <w:szCs w:val="16"/>
              </w:rPr>
              <w:t>,</w:t>
            </w:r>
            <w:r w:rsidRPr="009672E5">
              <w:rPr>
                <w:b/>
                <w:bCs/>
                <w:sz w:val="16"/>
                <w:szCs w:val="16"/>
                <w:lang w:val="en-US"/>
              </w:rPr>
              <w:t>8</w:t>
            </w:r>
            <w:r w:rsidRPr="009672E5">
              <w:rPr>
                <w:b/>
                <w:bCs/>
                <w:sz w:val="16"/>
                <w:szCs w:val="16"/>
              </w:rPr>
              <w:t>%</w:t>
            </w:r>
          </w:p>
        </w:tc>
        <w:tc>
          <w:tcPr>
            <w:tcW w:w="1380" w:type="dxa"/>
            <w:tcBorders>
              <w:top w:val="nil"/>
              <w:left w:val="nil"/>
              <w:bottom w:val="nil"/>
              <w:right w:val="double" w:sz="6" w:space="0" w:color="800000"/>
            </w:tcBorders>
            <w:shd w:val="clear" w:color="000000" w:fill="FFFFCC"/>
            <w:vAlign w:val="bottom"/>
            <w:hideMark/>
          </w:tcPr>
          <w:p w14:paraId="63EAA929" w14:textId="77777777" w:rsidR="007B386B" w:rsidRPr="009672E5" w:rsidRDefault="007B386B" w:rsidP="00654A69">
            <w:pPr>
              <w:jc w:val="right"/>
              <w:rPr>
                <w:b/>
                <w:bCs/>
                <w:sz w:val="16"/>
                <w:szCs w:val="16"/>
              </w:rPr>
            </w:pPr>
            <w:r w:rsidRPr="009672E5">
              <w:rPr>
                <w:b/>
                <w:bCs/>
                <w:sz w:val="16"/>
                <w:szCs w:val="16"/>
              </w:rPr>
              <w:t>4</w:t>
            </w:r>
            <w:r w:rsidRPr="009672E5">
              <w:rPr>
                <w:b/>
                <w:bCs/>
                <w:sz w:val="16"/>
                <w:szCs w:val="16"/>
                <w:lang w:val="en-US"/>
              </w:rPr>
              <w:t>3</w:t>
            </w:r>
            <w:r w:rsidRPr="009672E5">
              <w:rPr>
                <w:b/>
                <w:bCs/>
                <w:sz w:val="16"/>
                <w:szCs w:val="16"/>
              </w:rPr>
              <w:t>,</w:t>
            </w:r>
            <w:r w:rsidRPr="009672E5">
              <w:rPr>
                <w:b/>
                <w:bCs/>
                <w:sz w:val="16"/>
                <w:szCs w:val="16"/>
                <w:lang w:val="en-US"/>
              </w:rPr>
              <w:t>5</w:t>
            </w:r>
            <w:r w:rsidRPr="009672E5">
              <w:rPr>
                <w:b/>
                <w:bCs/>
                <w:sz w:val="16"/>
                <w:szCs w:val="16"/>
              </w:rPr>
              <w:t>%</w:t>
            </w:r>
          </w:p>
        </w:tc>
      </w:tr>
      <w:tr w:rsidR="007B386B" w:rsidRPr="00E56679" w14:paraId="4FB099C2" w14:textId="77777777" w:rsidTr="00654A69">
        <w:trPr>
          <w:trHeight w:val="255"/>
        </w:trPr>
        <w:tc>
          <w:tcPr>
            <w:tcW w:w="3560" w:type="dxa"/>
            <w:tcBorders>
              <w:top w:val="nil"/>
              <w:left w:val="double" w:sz="6" w:space="0" w:color="800000"/>
              <w:bottom w:val="nil"/>
              <w:right w:val="single" w:sz="8" w:space="0" w:color="800000"/>
            </w:tcBorders>
            <w:shd w:val="clear" w:color="000000" w:fill="FFFFCC"/>
            <w:vAlign w:val="center"/>
            <w:hideMark/>
          </w:tcPr>
          <w:p w14:paraId="0FE305A4" w14:textId="77777777" w:rsidR="007B386B" w:rsidRPr="009B0286" w:rsidRDefault="007B386B" w:rsidP="00654A69">
            <w:pPr>
              <w:rPr>
                <w:b/>
                <w:bCs/>
                <w:i/>
                <w:iCs/>
                <w:sz w:val="18"/>
                <w:szCs w:val="18"/>
              </w:rPr>
            </w:pPr>
            <w:r w:rsidRPr="009B0286">
              <w:rPr>
                <w:b/>
                <w:bCs/>
                <w:i/>
                <w:iCs/>
                <w:sz w:val="18"/>
                <w:szCs w:val="18"/>
              </w:rPr>
              <w:t xml:space="preserve">   Текущи нелихвени разходи</w:t>
            </w:r>
          </w:p>
        </w:tc>
        <w:tc>
          <w:tcPr>
            <w:tcW w:w="1240" w:type="dxa"/>
            <w:tcBorders>
              <w:top w:val="nil"/>
              <w:left w:val="nil"/>
              <w:bottom w:val="nil"/>
              <w:right w:val="single" w:sz="8" w:space="0" w:color="800000"/>
            </w:tcBorders>
            <w:shd w:val="clear" w:color="000000" w:fill="FFFFCC"/>
            <w:vAlign w:val="bottom"/>
            <w:hideMark/>
          </w:tcPr>
          <w:p w14:paraId="135C0B78" w14:textId="77777777" w:rsidR="007B386B" w:rsidRPr="009B0286" w:rsidRDefault="007B386B" w:rsidP="00654A69">
            <w:pPr>
              <w:jc w:val="right"/>
              <w:rPr>
                <w:b/>
                <w:bCs/>
                <w:sz w:val="16"/>
                <w:szCs w:val="16"/>
                <w:lang w:val="en-US"/>
              </w:rPr>
            </w:pPr>
            <w:r w:rsidRPr="009B0286">
              <w:rPr>
                <w:b/>
                <w:bCs/>
                <w:sz w:val="16"/>
                <w:szCs w:val="16"/>
              </w:rPr>
              <w:t>27 818,4</w:t>
            </w:r>
          </w:p>
        </w:tc>
        <w:tc>
          <w:tcPr>
            <w:tcW w:w="1180" w:type="dxa"/>
            <w:tcBorders>
              <w:top w:val="nil"/>
              <w:left w:val="nil"/>
              <w:bottom w:val="nil"/>
              <w:right w:val="single" w:sz="8" w:space="0" w:color="800000"/>
            </w:tcBorders>
            <w:shd w:val="clear" w:color="000000" w:fill="FFFFCC"/>
            <w:vAlign w:val="bottom"/>
            <w:hideMark/>
          </w:tcPr>
          <w:p w14:paraId="4D30B87C" w14:textId="77777777" w:rsidR="007B386B" w:rsidRPr="009B0286" w:rsidRDefault="007B386B" w:rsidP="00654A69">
            <w:pPr>
              <w:jc w:val="right"/>
              <w:rPr>
                <w:b/>
                <w:bCs/>
                <w:sz w:val="16"/>
                <w:szCs w:val="16"/>
                <w:lang w:val="en-US"/>
              </w:rPr>
            </w:pPr>
            <w:r w:rsidRPr="009B0286">
              <w:rPr>
                <w:b/>
                <w:bCs/>
                <w:sz w:val="16"/>
                <w:szCs w:val="16"/>
              </w:rPr>
              <w:t>6</w:t>
            </w:r>
            <w:r w:rsidRPr="009B0286">
              <w:rPr>
                <w:b/>
                <w:bCs/>
                <w:sz w:val="16"/>
                <w:szCs w:val="16"/>
                <w:lang w:val="en-US"/>
              </w:rPr>
              <w:t>7</w:t>
            </w:r>
            <w:r w:rsidRPr="009B0286">
              <w:rPr>
                <w:b/>
                <w:bCs/>
                <w:sz w:val="16"/>
                <w:szCs w:val="16"/>
              </w:rPr>
              <w:t xml:space="preserve"> </w:t>
            </w:r>
            <w:r w:rsidRPr="009B0286">
              <w:rPr>
                <w:b/>
                <w:bCs/>
                <w:sz w:val="16"/>
                <w:szCs w:val="16"/>
                <w:lang w:val="en-US"/>
              </w:rPr>
              <w:t>80</w:t>
            </w:r>
            <w:r w:rsidRPr="009B0286">
              <w:rPr>
                <w:b/>
                <w:bCs/>
                <w:sz w:val="16"/>
                <w:szCs w:val="16"/>
              </w:rPr>
              <w:t>4,</w:t>
            </w:r>
            <w:r w:rsidRPr="009B0286">
              <w:rPr>
                <w:b/>
                <w:bCs/>
                <w:sz w:val="16"/>
                <w:szCs w:val="16"/>
                <w:lang w:val="en-US"/>
              </w:rPr>
              <w:t>4</w:t>
            </w:r>
          </w:p>
        </w:tc>
        <w:tc>
          <w:tcPr>
            <w:tcW w:w="1280" w:type="dxa"/>
            <w:tcBorders>
              <w:top w:val="nil"/>
              <w:left w:val="nil"/>
              <w:bottom w:val="nil"/>
              <w:right w:val="single" w:sz="8" w:space="0" w:color="800000"/>
            </w:tcBorders>
            <w:shd w:val="clear" w:color="000000" w:fill="FFFFCC"/>
            <w:vAlign w:val="bottom"/>
            <w:hideMark/>
          </w:tcPr>
          <w:p w14:paraId="6122483C" w14:textId="77777777" w:rsidR="007B386B" w:rsidRPr="009672E5" w:rsidRDefault="007B386B" w:rsidP="00654A69">
            <w:pPr>
              <w:jc w:val="right"/>
              <w:rPr>
                <w:b/>
                <w:bCs/>
                <w:sz w:val="16"/>
                <w:szCs w:val="16"/>
              </w:rPr>
            </w:pPr>
            <w:r w:rsidRPr="009672E5">
              <w:rPr>
                <w:b/>
                <w:bCs/>
                <w:sz w:val="16"/>
                <w:szCs w:val="16"/>
              </w:rPr>
              <w:t xml:space="preserve">31 </w:t>
            </w:r>
            <w:r w:rsidRPr="009672E5">
              <w:rPr>
                <w:b/>
                <w:bCs/>
                <w:sz w:val="16"/>
                <w:szCs w:val="16"/>
                <w:lang w:val="en-US"/>
              </w:rPr>
              <w:t>9</w:t>
            </w:r>
            <w:r w:rsidRPr="009672E5">
              <w:rPr>
                <w:b/>
                <w:bCs/>
                <w:sz w:val="16"/>
                <w:szCs w:val="16"/>
              </w:rPr>
              <w:t>8</w:t>
            </w:r>
            <w:r w:rsidRPr="009672E5">
              <w:rPr>
                <w:b/>
                <w:bCs/>
                <w:sz w:val="16"/>
                <w:szCs w:val="16"/>
                <w:lang w:val="en-US"/>
              </w:rPr>
              <w:t>1</w:t>
            </w:r>
            <w:r w:rsidRPr="009672E5">
              <w:rPr>
                <w:b/>
                <w:bCs/>
                <w:sz w:val="16"/>
                <w:szCs w:val="16"/>
              </w:rPr>
              <w:t>,4</w:t>
            </w:r>
          </w:p>
        </w:tc>
        <w:tc>
          <w:tcPr>
            <w:tcW w:w="1220" w:type="dxa"/>
            <w:tcBorders>
              <w:top w:val="nil"/>
              <w:left w:val="single" w:sz="8" w:space="0" w:color="800000"/>
              <w:bottom w:val="nil"/>
              <w:right w:val="single" w:sz="8" w:space="0" w:color="800000"/>
            </w:tcBorders>
            <w:shd w:val="clear" w:color="000000" w:fill="FFFFCC"/>
            <w:vAlign w:val="bottom"/>
            <w:hideMark/>
          </w:tcPr>
          <w:p w14:paraId="7B3A01CE" w14:textId="77777777" w:rsidR="007B386B" w:rsidRPr="009672E5" w:rsidRDefault="007B386B" w:rsidP="00654A69">
            <w:pPr>
              <w:jc w:val="right"/>
              <w:rPr>
                <w:b/>
                <w:bCs/>
                <w:sz w:val="16"/>
                <w:szCs w:val="16"/>
              </w:rPr>
            </w:pPr>
            <w:r w:rsidRPr="009672E5">
              <w:rPr>
                <w:b/>
                <w:bCs/>
                <w:sz w:val="16"/>
                <w:szCs w:val="16"/>
              </w:rPr>
              <w:t>11</w:t>
            </w:r>
            <w:r w:rsidRPr="009672E5">
              <w:rPr>
                <w:b/>
                <w:bCs/>
                <w:sz w:val="16"/>
                <w:szCs w:val="16"/>
                <w:lang w:val="en-US"/>
              </w:rPr>
              <w:t>5</w:t>
            </w:r>
            <w:r w:rsidRPr="009672E5">
              <w:rPr>
                <w:b/>
                <w:bCs/>
                <w:sz w:val="16"/>
                <w:szCs w:val="16"/>
              </w:rPr>
              <w:t>,</w:t>
            </w:r>
            <w:r w:rsidRPr="009672E5">
              <w:rPr>
                <w:b/>
                <w:bCs/>
                <w:sz w:val="16"/>
                <w:szCs w:val="16"/>
                <w:lang w:val="en-US"/>
              </w:rPr>
              <w:t>0</w:t>
            </w:r>
            <w:r w:rsidRPr="009672E5">
              <w:rPr>
                <w:b/>
                <w:bCs/>
                <w:sz w:val="16"/>
                <w:szCs w:val="16"/>
              </w:rPr>
              <w:t>%</w:t>
            </w:r>
          </w:p>
        </w:tc>
        <w:tc>
          <w:tcPr>
            <w:tcW w:w="1380" w:type="dxa"/>
            <w:tcBorders>
              <w:top w:val="nil"/>
              <w:left w:val="nil"/>
              <w:bottom w:val="nil"/>
              <w:right w:val="double" w:sz="6" w:space="0" w:color="800000"/>
            </w:tcBorders>
            <w:shd w:val="clear" w:color="000000" w:fill="FFFFCC"/>
            <w:vAlign w:val="bottom"/>
            <w:hideMark/>
          </w:tcPr>
          <w:p w14:paraId="7B643E22" w14:textId="77777777" w:rsidR="007B386B" w:rsidRPr="009672E5" w:rsidRDefault="007B386B" w:rsidP="00654A69">
            <w:pPr>
              <w:jc w:val="right"/>
              <w:rPr>
                <w:b/>
                <w:bCs/>
                <w:sz w:val="16"/>
                <w:szCs w:val="16"/>
              </w:rPr>
            </w:pPr>
            <w:r w:rsidRPr="009672E5">
              <w:rPr>
                <w:b/>
                <w:bCs/>
                <w:sz w:val="16"/>
                <w:szCs w:val="16"/>
              </w:rPr>
              <w:t>4</w:t>
            </w:r>
            <w:r w:rsidRPr="009672E5">
              <w:rPr>
                <w:b/>
                <w:bCs/>
                <w:sz w:val="16"/>
                <w:szCs w:val="16"/>
                <w:lang w:val="en-US"/>
              </w:rPr>
              <w:t>7</w:t>
            </w:r>
            <w:r w:rsidRPr="009672E5">
              <w:rPr>
                <w:b/>
                <w:bCs/>
                <w:sz w:val="16"/>
                <w:szCs w:val="16"/>
              </w:rPr>
              <w:t>,</w:t>
            </w:r>
            <w:r w:rsidRPr="009672E5">
              <w:rPr>
                <w:b/>
                <w:bCs/>
                <w:sz w:val="16"/>
                <w:szCs w:val="16"/>
                <w:lang w:val="en-US"/>
              </w:rPr>
              <w:t>2</w:t>
            </w:r>
            <w:r w:rsidRPr="009672E5">
              <w:rPr>
                <w:b/>
                <w:bCs/>
                <w:sz w:val="16"/>
                <w:szCs w:val="16"/>
              </w:rPr>
              <w:t>%</w:t>
            </w:r>
          </w:p>
        </w:tc>
      </w:tr>
      <w:tr w:rsidR="007B386B" w:rsidRPr="00E56679" w14:paraId="20849D23" w14:textId="77777777" w:rsidTr="00654A69">
        <w:trPr>
          <w:trHeight w:val="263"/>
        </w:trPr>
        <w:tc>
          <w:tcPr>
            <w:tcW w:w="3560" w:type="dxa"/>
            <w:tcBorders>
              <w:top w:val="nil"/>
              <w:left w:val="double" w:sz="6" w:space="0" w:color="800000"/>
              <w:bottom w:val="nil"/>
              <w:right w:val="single" w:sz="8" w:space="0" w:color="800000"/>
            </w:tcBorders>
            <w:shd w:val="clear" w:color="000000" w:fill="FFFFCC"/>
            <w:vAlign w:val="center"/>
            <w:hideMark/>
          </w:tcPr>
          <w:p w14:paraId="4507879C" w14:textId="77777777" w:rsidR="007B386B" w:rsidRPr="009B0286" w:rsidRDefault="007B386B" w:rsidP="00654A69">
            <w:pPr>
              <w:ind w:firstLineChars="100" w:firstLine="180"/>
              <w:rPr>
                <w:sz w:val="18"/>
                <w:szCs w:val="18"/>
              </w:rPr>
            </w:pPr>
            <w:r w:rsidRPr="009B0286">
              <w:rPr>
                <w:sz w:val="18"/>
                <w:szCs w:val="18"/>
              </w:rPr>
              <w:t xml:space="preserve">  Разходи за персонал </w:t>
            </w:r>
          </w:p>
        </w:tc>
        <w:tc>
          <w:tcPr>
            <w:tcW w:w="1240" w:type="dxa"/>
            <w:tcBorders>
              <w:top w:val="nil"/>
              <w:left w:val="nil"/>
              <w:bottom w:val="nil"/>
              <w:right w:val="single" w:sz="8" w:space="0" w:color="800000"/>
            </w:tcBorders>
            <w:shd w:val="clear" w:color="000000" w:fill="FFFFCC"/>
            <w:vAlign w:val="bottom"/>
            <w:hideMark/>
          </w:tcPr>
          <w:p w14:paraId="4CEA473C" w14:textId="77777777" w:rsidR="007B386B" w:rsidRPr="009B0286" w:rsidRDefault="007B386B" w:rsidP="00654A69">
            <w:pPr>
              <w:jc w:val="right"/>
              <w:rPr>
                <w:sz w:val="16"/>
                <w:szCs w:val="16"/>
                <w:lang w:val="en-US"/>
              </w:rPr>
            </w:pPr>
            <w:r w:rsidRPr="009B0286">
              <w:rPr>
                <w:sz w:val="16"/>
                <w:szCs w:val="16"/>
              </w:rPr>
              <w:t>7 574,8</w:t>
            </w:r>
          </w:p>
        </w:tc>
        <w:tc>
          <w:tcPr>
            <w:tcW w:w="1180" w:type="dxa"/>
            <w:tcBorders>
              <w:top w:val="nil"/>
              <w:left w:val="nil"/>
              <w:bottom w:val="nil"/>
              <w:right w:val="single" w:sz="8" w:space="0" w:color="800000"/>
            </w:tcBorders>
            <w:shd w:val="clear" w:color="000000" w:fill="FFFFCC"/>
            <w:vAlign w:val="bottom"/>
            <w:hideMark/>
          </w:tcPr>
          <w:p w14:paraId="52BBA149" w14:textId="77777777" w:rsidR="007B386B" w:rsidRPr="009B0286" w:rsidRDefault="007B386B" w:rsidP="00654A69">
            <w:pPr>
              <w:jc w:val="right"/>
              <w:rPr>
                <w:sz w:val="16"/>
                <w:szCs w:val="16"/>
              </w:rPr>
            </w:pPr>
            <w:r w:rsidRPr="009B0286">
              <w:rPr>
                <w:sz w:val="16"/>
                <w:szCs w:val="16"/>
              </w:rPr>
              <w:t>1</w:t>
            </w:r>
            <w:r w:rsidRPr="009B0286">
              <w:rPr>
                <w:sz w:val="16"/>
                <w:szCs w:val="16"/>
                <w:lang w:val="en-US"/>
              </w:rPr>
              <w:t>8</w:t>
            </w:r>
            <w:r w:rsidRPr="009B0286">
              <w:rPr>
                <w:sz w:val="16"/>
                <w:szCs w:val="16"/>
              </w:rPr>
              <w:t xml:space="preserve"> </w:t>
            </w:r>
            <w:r w:rsidRPr="009B0286">
              <w:rPr>
                <w:sz w:val="16"/>
                <w:szCs w:val="16"/>
                <w:lang w:val="en-US"/>
              </w:rPr>
              <w:t>038</w:t>
            </w:r>
            <w:r w:rsidRPr="009B0286">
              <w:rPr>
                <w:sz w:val="16"/>
                <w:szCs w:val="16"/>
              </w:rPr>
              <w:t>,8</w:t>
            </w:r>
          </w:p>
        </w:tc>
        <w:tc>
          <w:tcPr>
            <w:tcW w:w="1280" w:type="dxa"/>
            <w:tcBorders>
              <w:top w:val="nil"/>
              <w:left w:val="nil"/>
              <w:bottom w:val="nil"/>
              <w:right w:val="single" w:sz="8" w:space="0" w:color="800000"/>
            </w:tcBorders>
            <w:shd w:val="clear" w:color="000000" w:fill="FFFFCC"/>
            <w:vAlign w:val="bottom"/>
            <w:hideMark/>
          </w:tcPr>
          <w:p w14:paraId="03275B38" w14:textId="77777777" w:rsidR="007B386B" w:rsidRPr="009672E5" w:rsidRDefault="007B386B" w:rsidP="00654A69">
            <w:pPr>
              <w:jc w:val="right"/>
              <w:rPr>
                <w:sz w:val="16"/>
                <w:szCs w:val="16"/>
                <w:lang w:val="en-US"/>
              </w:rPr>
            </w:pPr>
            <w:r w:rsidRPr="009672E5">
              <w:rPr>
                <w:sz w:val="16"/>
                <w:szCs w:val="16"/>
              </w:rPr>
              <w:t xml:space="preserve">9 </w:t>
            </w:r>
            <w:r w:rsidRPr="009672E5">
              <w:rPr>
                <w:sz w:val="16"/>
                <w:szCs w:val="16"/>
                <w:lang w:val="en-US"/>
              </w:rPr>
              <w:t>432</w:t>
            </w:r>
            <w:r w:rsidRPr="009672E5">
              <w:rPr>
                <w:sz w:val="16"/>
                <w:szCs w:val="16"/>
              </w:rPr>
              <w:t>,</w:t>
            </w:r>
            <w:r w:rsidRPr="009672E5">
              <w:rPr>
                <w:sz w:val="16"/>
                <w:szCs w:val="16"/>
                <w:lang w:val="en-US"/>
              </w:rPr>
              <w:t>7</w:t>
            </w:r>
          </w:p>
        </w:tc>
        <w:tc>
          <w:tcPr>
            <w:tcW w:w="1220" w:type="dxa"/>
            <w:tcBorders>
              <w:top w:val="nil"/>
              <w:left w:val="single" w:sz="8" w:space="0" w:color="800000"/>
              <w:bottom w:val="nil"/>
              <w:right w:val="single" w:sz="8" w:space="0" w:color="800000"/>
            </w:tcBorders>
            <w:shd w:val="clear" w:color="000000" w:fill="FFFFCC"/>
            <w:vAlign w:val="bottom"/>
            <w:hideMark/>
          </w:tcPr>
          <w:p w14:paraId="17E323D3" w14:textId="77777777" w:rsidR="007B386B" w:rsidRPr="009672E5" w:rsidRDefault="007B386B" w:rsidP="00654A69">
            <w:pPr>
              <w:jc w:val="right"/>
              <w:rPr>
                <w:sz w:val="16"/>
                <w:szCs w:val="16"/>
              </w:rPr>
            </w:pPr>
            <w:r w:rsidRPr="009672E5">
              <w:rPr>
                <w:sz w:val="16"/>
                <w:szCs w:val="16"/>
              </w:rPr>
              <w:t>1</w:t>
            </w:r>
            <w:r w:rsidRPr="009672E5">
              <w:rPr>
                <w:sz w:val="16"/>
                <w:szCs w:val="16"/>
                <w:lang w:val="en-US"/>
              </w:rPr>
              <w:t>24</w:t>
            </w:r>
            <w:r w:rsidRPr="009672E5">
              <w:rPr>
                <w:sz w:val="16"/>
                <w:szCs w:val="16"/>
              </w:rPr>
              <w:t>,</w:t>
            </w:r>
            <w:r w:rsidRPr="009672E5">
              <w:rPr>
                <w:sz w:val="16"/>
                <w:szCs w:val="16"/>
                <w:lang w:val="en-US"/>
              </w:rPr>
              <w:t>5</w:t>
            </w:r>
            <w:r w:rsidRPr="009672E5">
              <w:rPr>
                <w:sz w:val="16"/>
                <w:szCs w:val="16"/>
              </w:rPr>
              <w:t>%</w:t>
            </w:r>
          </w:p>
        </w:tc>
        <w:tc>
          <w:tcPr>
            <w:tcW w:w="1380" w:type="dxa"/>
            <w:tcBorders>
              <w:top w:val="nil"/>
              <w:left w:val="nil"/>
              <w:bottom w:val="nil"/>
              <w:right w:val="double" w:sz="6" w:space="0" w:color="800000"/>
            </w:tcBorders>
            <w:shd w:val="clear" w:color="000000" w:fill="FFFFCC"/>
            <w:vAlign w:val="bottom"/>
            <w:hideMark/>
          </w:tcPr>
          <w:p w14:paraId="7FE21D22" w14:textId="77777777" w:rsidR="007B386B" w:rsidRPr="009672E5" w:rsidRDefault="007B386B" w:rsidP="00654A69">
            <w:pPr>
              <w:jc w:val="right"/>
              <w:rPr>
                <w:sz w:val="16"/>
                <w:szCs w:val="16"/>
              </w:rPr>
            </w:pPr>
            <w:r w:rsidRPr="009672E5">
              <w:rPr>
                <w:sz w:val="16"/>
                <w:szCs w:val="16"/>
                <w:lang w:val="en-US"/>
              </w:rPr>
              <w:t>52</w:t>
            </w:r>
            <w:r w:rsidRPr="009672E5">
              <w:rPr>
                <w:sz w:val="16"/>
                <w:szCs w:val="16"/>
              </w:rPr>
              <w:t>,</w:t>
            </w:r>
            <w:r w:rsidRPr="009672E5">
              <w:rPr>
                <w:sz w:val="16"/>
                <w:szCs w:val="16"/>
                <w:lang w:val="en-US"/>
              </w:rPr>
              <w:t>3</w:t>
            </w:r>
            <w:r w:rsidRPr="009672E5">
              <w:rPr>
                <w:sz w:val="16"/>
                <w:szCs w:val="16"/>
              </w:rPr>
              <w:t>%</w:t>
            </w:r>
          </w:p>
        </w:tc>
      </w:tr>
      <w:tr w:rsidR="007B386B" w:rsidRPr="00E56679" w14:paraId="2B0F6598" w14:textId="77777777" w:rsidTr="00654A69">
        <w:trPr>
          <w:trHeight w:val="152"/>
        </w:trPr>
        <w:tc>
          <w:tcPr>
            <w:tcW w:w="3560" w:type="dxa"/>
            <w:tcBorders>
              <w:top w:val="nil"/>
              <w:left w:val="double" w:sz="6" w:space="0" w:color="800000"/>
              <w:bottom w:val="nil"/>
              <w:right w:val="single" w:sz="8" w:space="0" w:color="800000"/>
            </w:tcBorders>
            <w:shd w:val="clear" w:color="000000" w:fill="FFFFCC"/>
            <w:vAlign w:val="center"/>
            <w:hideMark/>
          </w:tcPr>
          <w:p w14:paraId="1A8CFDE4" w14:textId="77777777" w:rsidR="007B386B" w:rsidRPr="009B0286" w:rsidRDefault="007B386B" w:rsidP="00654A69">
            <w:pPr>
              <w:rPr>
                <w:sz w:val="18"/>
                <w:szCs w:val="18"/>
              </w:rPr>
            </w:pPr>
            <w:r w:rsidRPr="009B0286">
              <w:rPr>
                <w:sz w:val="18"/>
                <w:szCs w:val="18"/>
              </w:rPr>
              <w:t xml:space="preserve">      Стипендии</w:t>
            </w:r>
          </w:p>
        </w:tc>
        <w:tc>
          <w:tcPr>
            <w:tcW w:w="1240" w:type="dxa"/>
            <w:tcBorders>
              <w:top w:val="nil"/>
              <w:left w:val="nil"/>
              <w:bottom w:val="nil"/>
              <w:right w:val="single" w:sz="8" w:space="0" w:color="800000"/>
            </w:tcBorders>
            <w:shd w:val="clear" w:color="000000" w:fill="FFFFCC"/>
            <w:vAlign w:val="bottom"/>
            <w:hideMark/>
          </w:tcPr>
          <w:p w14:paraId="2DF4D3D1" w14:textId="77777777" w:rsidR="007B386B" w:rsidRPr="009B0286" w:rsidRDefault="007B386B" w:rsidP="00654A69">
            <w:pPr>
              <w:jc w:val="right"/>
              <w:rPr>
                <w:sz w:val="16"/>
                <w:szCs w:val="16"/>
                <w:lang w:val="en-US"/>
              </w:rPr>
            </w:pPr>
            <w:r w:rsidRPr="009B0286">
              <w:rPr>
                <w:sz w:val="16"/>
                <w:szCs w:val="16"/>
              </w:rPr>
              <w:t>70,8</w:t>
            </w:r>
          </w:p>
        </w:tc>
        <w:tc>
          <w:tcPr>
            <w:tcW w:w="1180" w:type="dxa"/>
            <w:tcBorders>
              <w:top w:val="nil"/>
              <w:left w:val="nil"/>
              <w:bottom w:val="nil"/>
              <w:right w:val="single" w:sz="8" w:space="0" w:color="800000"/>
            </w:tcBorders>
            <w:shd w:val="clear" w:color="000000" w:fill="FFFFCC"/>
            <w:vAlign w:val="bottom"/>
            <w:hideMark/>
          </w:tcPr>
          <w:p w14:paraId="246ED76A" w14:textId="77777777" w:rsidR="007B386B" w:rsidRPr="009B0286" w:rsidRDefault="007B386B" w:rsidP="00654A69">
            <w:pPr>
              <w:jc w:val="right"/>
              <w:rPr>
                <w:sz w:val="16"/>
                <w:szCs w:val="16"/>
                <w:lang w:val="en-US"/>
              </w:rPr>
            </w:pPr>
            <w:r w:rsidRPr="009B0286">
              <w:rPr>
                <w:sz w:val="16"/>
                <w:szCs w:val="16"/>
              </w:rPr>
              <w:t>1</w:t>
            </w:r>
            <w:r w:rsidRPr="009B0286">
              <w:rPr>
                <w:sz w:val="16"/>
                <w:szCs w:val="16"/>
                <w:lang w:val="en-US"/>
              </w:rPr>
              <w:t>74</w:t>
            </w:r>
            <w:r w:rsidRPr="009B0286">
              <w:rPr>
                <w:sz w:val="16"/>
                <w:szCs w:val="16"/>
              </w:rPr>
              <w:t>,</w:t>
            </w:r>
            <w:r w:rsidRPr="009B0286">
              <w:rPr>
                <w:sz w:val="16"/>
                <w:szCs w:val="16"/>
                <w:lang w:val="en-US"/>
              </w:rPr>
              <w:t>4</w:t>
            </w:r>
          </w:p>
        </w:tc>
        <w:tc>
          <w:tcPr>
            <w:tcW w:w="1280" w:type="dxa"/>
            <w:tcBorders>
              <w:top w:val="nil"/>
              <w:left w:val="nil"/>
              <w:bottom w:val="nil"/>
              <w:right w:val="single" w:sz="8" w:space="0" w:color="800000"/>
            </w:tcBorders>
            <w:shd w:val="clear" w:color="000000" w:fill="FFFFCC"/>
            <w:vAlign w:val="bottom"/>
            <w:hideMark/>
          </w:tcPr>
          <w:p w14:paraId="4B4AB2DB" w14:textId="77777777" w:rsidR="007B386B" w:rsidRPr="009672E5" w:rsidRDefault="007B386B" w:rsidP="00654A69">
            <w:pPr>
              <w:jc w:val="right"/>
              <w:rPr>
                <w:sz w:val="16"/>
                <w:szCs w:val="16"/>
                <w:lang w:val="en-US"/>
              </w:rPr>
            </w:pPr>
            <w:r w:rsidRPr="009672E5">
              <w:rPr>
                <w:sz w:val="16"/>
                <w:szCs w:val="16"/>
              </w:rPr>
              <w:t>7</w:t>
            </w:r>
            <w:r w:rsidRPr="009672E5">
              <w:rPr>
                <w:sz w:val="16"/>
                <w:szCs w:val="16"/>
                <w:lang w:val="en-US"/>
              </w:rPr>
              <w:t>9</w:t>
            </w:r>
            <w:r w:rsidRPr="009672E5">
              <w:rPr>
                <w:sz w:val="16"/>
                <w:szCs w:val="16"/>
              </w:rPr>
              <w:t>,</w:t>
            </w:r>
            <w:r w:rsidRPr="009672E5">
              <w:rPr>
                <w:sz w:val="16"/>
                <w:szCs w:val="16"/>
                <w:lang w:val="en-US"/>
              </w:rPr>
              <w:t>6</w:t>
            </w:r>
          </w:p>
        </w:tc>
        <w:tc>
          <w:tcPr>
            <w:tcW w:w="1220" w:type="dxa"/>
            <w:tcBorders>
              <w:top w:val="nil"/>
              <w:left w:val="single" w:sz="8" w:space="0" w:color="800000"/>
              <w:bottom w:val="nil"/>
              <w:right w:val="single" w:sz="8" w:space="0" w:color="800000"/>
            </w:tcBorders>
            <w:shd w:val="clear" w:color="000000" w:fill="FFFFCC"/>
            <w:vAlign w:val="bottom"/>
            <w:hideMark/>
          </w:tcPr>
          <w:p w14:paraId="0BBC61FD" w14:textId="77777777" w:rsidR="007B386B" w:rsidRPr="009672E5" w:rsidRDefault="007B386B" w:rsidP="00654A69">
            <w:pPr>
              <w:jc w:val="right"/>
              <w:rPr>
                <w:sz w:val="16"/>
                <w:szCs w:val="16"/>
              </w:rPr>
            </w:pPr>
            <w:r w:rsidRPr="009672E5">
              <w:rPr>
                <w:sz w:val="16"/>
                <w:szCs w:val="16"/>
              </w:rPr>
              <w:t>11</w:t>
            </w:r>
            <w:r w:rsidRPr="009672E5">
              <w:rPr>
                <w:sz w:val="16"/>
                <w:szCs w:val="16"/>
                <w:lang w:val="en-US"/>
              </w:rPr>
              <w:t>2</w:t>
            </w:r>
            <w:r w:rsidRPr="009672E5">
              <w:rPr>
                <w:sz w:val="16"/>
                <w:szCs w:val="16"/>
              </w:rPr>
              <w:t>,</w:t>
            </w:r>
            <w:r w:rsidRPr="009672E5">
              <w:rPr>
                <w:sz w:val="16"/>
                <w:szCs w:val="16"/>
                <w:lang w:val="en-US"/>
              </w:rPr>
              <w:t>3</w:t>
            </w:r>
            <w:r w:rsidRPr="009672E5">
              <w:rPr>
                <w:sz w:val="16"/>
                <w:szCs w:val="16"/>
              </w:rPr>
              <w:t>%</w:t>
            </w:r>
          </w:p>
        </w:tc>
        <w:tc>
          <w:tcPr>
            <w:tcW w:w="1380" w:type="dxa"/>
            <w:tcBorders>
              <w:top w:val="nil"/>
              <w:left w:val="nil"/>
              <w:bottom w:val="nil"/>
              <w:right w:val="double" w:sz="6" w:space="0" w:color="800000"/>
            </w:tcBorders>
            <w:shd w:val="clear" w:color="000000" w:fill="FFFFCC"/>
            <w:vAlign w:val="bottom"/>
            <w:hideMark/>
          </w:tcPr>
          <w:p w14:paraId="5507E600" w14:textId="77777777" w:rsidR="007B386B" w:rsidRPr="009672E5" w:rsidRDefault="007B386B" w:rsidP="00654A69">
            <w:pPr>
              <w:jc w:val="right"/>
              <w:rPr>
                <w:sz w:val="16"/>
                <w:szCs w:val="16"/>
              </w:rPr>
            </w:pPr>
            <w:r w:rsidRPr="009672E5">
              <w:rPr>
                <w:sz w:val="16"/>
                <w:szCs w:val="16"/>
              </w:rPr>
              <w:t>4</w:t>
            </w:r>
            <w:r w:rsidRPr="009672E5">
              <w:rPr>
                <w:sz w:val="16"/>
                <w:szCs w:val="16"/>
                <w:lang w:val="en-US"/>
              </w:rPr>
              <w:t>5</w:t>
            </w:r>
            <w:r w:rsidRPr="009672E5">
              <w:rPr>
                <w:sz w:val="16"/>
                <w:szCs w:val="16"/>
              </w:rPr>
              <w:t>,</w:t>
            </w:r>
            <w:r w:rsidRPr="009672E5">
              <w:rPr>
                <w:sz w:val="16"/>
                <w:szCs w:val="16"/>
                <w:lang w:val="en-US"/>
              </w:rPr>
              <w:t>6</w:t>
            </w:r>
            <w:r w:rsidRPr="009672E5">
              <w:rPr>
                <w:sz w:val="16"/>
                <w:szCs w:val="16"/>
              </w:rPr>
              <w:t>%</w:t>
            </w:r>
          </w:p>
        </w:tc>
      </w:tr>
      <w:tr w:rsidR="007B386B" w:rsidRPr="00E56679" w14:paraId="202F313E" w14:textId="77777777" w:rsidTr="00654A69">
        <w:trPr>
          <w:trHeight w:val="255"/>
        </w:trPr>
        <w:tc>
          <w:tcPr>
            <w:tcW w:w="3560" w:type="dxa"/>
            <w:tcBorders>
              <w:top w:val="nil"/>
              <w:left w:val="double" w:sz="6" w:space="0" w:color="800000"/>
              <w:bottom w:val="nil"/>
              <w:right w:val="single" w:sz="8" w:space="0" w:color="800000"/>
            </w:tcBorders>
            <w:shd w:val="clear" w:color="000000" w:fill="FFFFCC"/>
            <w:vAlign w:val="center"/>
            <w:hideMark/>
          </w:tcPr>
          <w:p w14:paraId="08B938A9" w14:textId="77777777" w:rsidR="007B386B" w:rsidRPr="009B0286" w:rsidRDefault="007B386B" w:rsidP="00654A69">
            <w:pPr>
              <w:rPr>
                <w:sz w:val="18"/>
                <w:szCs w:val="18"/>
              </w:rPr>
            </w:pPr>
            <w:r w:rsidRPr="009B0286">
              <w:rPr>
                <w:sz w:val="18"/>
                <w:szCs w:val="18"/>
              </w:rPr>
              <w:t xml:space="preserve">      Издръжка *   </w:t>
            </w:r>
          </w:p>
        </w:tc>
        <w:tc>
          <w:tcPr>
            <w:tcW w:w="1240" w:type="dxa"/>
            <w:tcBorders>
              <w:top w:val="nil"/>
              <w:left w:val="nil"/>
              <w:bottom w:val="nil"/>
              <w:right w:val="single" w:sz="8" w:space="0" w:color="800000"/>
            </w:tcBorders>
            <w:shd w:val="clear" w:color="000000" w:fill="FFFFCC"/>
            <w:vAlign w:val="bottom"/>
            <w:hideMark/>
          </w:tcPr>
          <w:p w14:paraId="44BF66F6" w14:textId="77777777" w:rsidR="007B386B" w:rsidRPr="009B0286" w:rsidRDefault="007B386B" w:rsidP="00654A69">
            <w:pPr>
              <w:jc w:val="right"/>
              <w:rPr>
                <w:sz w:val="16"/>
                <w:szCs w:val="16"/>
                <w:lang w:val="en-US"/>
              </w:rPr>
            </w:pPr>
            <w:r w:rsidRPr="009B0286">
              <w:rPr>
                <w:sz w:val="16"/>
                <w:szCs w:val="16"/>
              </w:rPr>
              <w:t>3 288,5</w:t>
            </w:r>
          </w:p>
        </w:tc>
        <w:tc>
          <w:tcPr>
            <w:tcW w:w="1180" w:type="dxa"/>
            <w:tcBorders>
              <w:top w:val="nil"/>
              <w:left w:val="nil"/>
              <w:bottom w:val="nil"/>
              <w:right w:val="single" w:sz="8" w:space="0" w:color="800000"/>
            </w:tcBorders>
            <w:shd w:val="clear" w:color="000000" w:fill="FFFFCC"/>
            <w:vAlign w:val="bottom"/>
            <w:hideMark/>
          </w:tcPr>
          <w:p w14:paraId="7DDDD4B7" w14:textId="77777777" w:rsidR="007B386B" w:rsidRPr="009B0286" w:rsidRDefault="007B386B" w:rsidP="00654A69">
            <w:pPr>
              <w:jc w:val="right"/>
              <w:rPr>
                <w:sz w:val="16"/>
                <w:szCs w:val="16"/>
                <w:lang w:val="en-US"/>
              </w:rPr>
            </w:pPr>
            <w:r w:rsidRPr="009B0286">
              <w:rPr>
                <w:sz w:val="16"/>
                <w:szCs w:val="16"/>
              </w:rPr>
              <w:t xml:space="preserve">8 </w:t>
            </w:r>
            <w:r w:rsidRPr="009B0286">
              <w:rPr>
                <w:sz w:val="16"/>
                <w:szCs w:val="16"/>
                <w:lang w:val="en-US"/>
              </w:rPr>
              <w:t>286</w:t>
            </w:r>
            <w:r w:rsidRPr="009B0286">
              <w:rPr>
                <w:sz w:val="16"/>
                <w:szCs w:val="16"/>
              </w:rPr>
              <w:t>,</w:t>
            </w:r>
            <w:r w:rsidRPr="009B0286">
              <w:rPr>
                <w:sz w:val="16"/>
                <w:szCs w:val="16"/>
                <w:lang w:val="en-US"/>
              </w:rPr>
              <w:t>5</w:t>
            </w:r>
          </w:p>
        </w:tc>
        <w:tc>
          <w:tcPr>
            <w:tcW w:w="1280" w:type="dxa"/>
            <w:tcBorders>
              <w:top w:val="nil"/>
              <w:left w:val="nil"/>
              <w:bottom w:val="nil"/>
              <w:right w:val="single" w:sz="8" w:space="0" w:color="800000"/>
            </w:tcBorders>
            <w:shd w:val="clear" w:color="000000" w:fill="FFFFCC"/>
            <w:vAlign w:val="bottom"/>
            <w:hideMark/>
          </w:tcPr>
          <w:p w14:paraId="42365928" w14:textId="77777777" w:rsidR="007B386B" w:rsidRPr="009672E5" w:rsidRDefault="007B386B" w:rsidP="00654A69">
            <w:pPr>
              <w:jc w:val="right"/>
              <w:rPr>
                <w:sz w:val="16"/>
                <w:szCs w:val="16"/>
                <w:lang w:val="en-US"/>
              </w:rPr>
            </w:pPr>
            <w:r w:rsidRPr="009672E5">
              <w:rPr>
                <w:sz w:val="16"/>
                <w:szCs w:val="16"/>
              </w:rPr>
              <w:t xml:space="preserve">3 </w:t>
            </w:r>
            <w:r w:rsidRPr="009672E5">
              <w:rPr>
                <w:sz w:val="16"/>
                <w:szCs w:val="16"/>
                <w:lang w:val="en-US"/>
              </w:rPr>
              <w:t>162</w:t>
            </w:r>
            <w:r w:rsidRPr="009672E5">
              <w:rPr>
                <w:sz w:val="16"/>
                <w:szCs w:val="16"/>
              </w:rPr>
              <w:t>,</w:t>
            </w:r>
            <w:r w:rsidRPr="009672E5">
              <w:rPr>
                <w:sz w:val="16"/>
                <w:szCs w:val="16"/>
                <w:lang w:val="en-US"/>
              </w:rPr>
              <w:t>7</w:t>
            </w:r>
          </w:p>
        </w:tc>
        <w:tc>
          <w:tcPr>
            <w:tcW w:w="1220" w:type="dxa"/>
            <w:tcBorders>
              <w:top w:val="nil"/>
              <w:left w:val="single" w:sz="8" w:space="0" w:color="800000"/>
              <w:bottom w:val="nil"/>
              <w:right w:val="single" w:sz="8" w:space="0" w:color="800000"/>
            </w:tcBorders>
            <w:shd w:val="clear" w:color="000000" w:fill="FFFFCC"/>
            <w:vAlign w:val="bottom"/>
            <w:hideMark/>
          </w:tcPr>
          <w:p w14:paraId="3A0723EE" w14:textId="77777777" w:rsidR="007B386B" w:rsidRPr="009672E5" w:rsidRDefault="007B386B" w:rsidP="00654A69">
            <w:pPr>
              <w:jc w:val="right"/>
              <w:rPr>
                <w:sz w:val="16"/>
                <w:szCs w:val="16"/>
              </w:rPr>
            </w:pPr>
            <w:r w:rsidRPr="009672E5">
              <w:rPr>
                <w:sz w:val="16"/>
                <w:szCs w:val="16"/>
                <w:lang w:val="en-US"/>
              </w:rPr>
              <w:t>96</w:t>
            </w:r>
            <w:r w:rsidRPr="009672E5">
              <w:rPr>
                <w:sz w:val="16"/>
                <w:szCs w:val="16"/>
              </w:rPr>
              <w:t>,</w:t>
            </w:r>
            <w:r w:rsidRPr="009672E5">
              <w:rPr>
                <w:sz w:val="16"/>
                <w:szCs w:val="16"/>
                <w:lang w:val="en-US"/>
              </w:rPr>
              <w:t>2</w:t>
            </w:r>
            <w:r w:rsidRPr="009672E5">
              <w:rPr>
                <w:sz w:val="16"/>
                <w:szCs w:val="16"/>
              </w:rPr>
              <w:t>%</w:t>
            </w:r>
          </w:p>
        </w:tc>
        <w:tc>
          <w:tcPr>
            <w:tcW w:w="1380" w:type="dxa"/>
            <w:tcBorders>
              <w:top w:val="nil"/>
              <w:left w:val="nil"/>
              <w:bottom w:val="nil"/>
              <w:right w:val="double" w:sz="6" w:space="0" w:color="800000"/>
            </w:tcBorders>
            <w:shd w:val="clear" w:color="000000" w:fill="FFFFCC"/>
            <w:vAlign w:val="bottom"/>
            <w:hideMark/>
          </w:tcPr>
          <w:p w14:paraId="3EFA377B" w14:textId="77777777" w:rsidR="007B386B" w:rsidRPr="009672E5" w:rsidRDefault="007B386B" w:rsidP="00654A69">
            <w:pPr>
              <w:jc w:val="right"/>
              <w:rPr>
                <w:sz w:val="16"/>
                <w:szCs w:val="16"/>
              </w:rPr>
            </w:pPr>
            <w:r w:rsidRPr="009672E5">
              <w:rPr>
                <w:sz w:val="16"/>
                <w:szCs w:val="16"/>
              </w:rPr>
              <w:t>3</w:t>
            </w:r>
            <w:r w:rsidRPr="009672E5">
              <w:rPr>
                <w:sz w:val="16"/>
                <w:szCs w:val="16"/>
                <w:lang w:val="en-US"/>
              </w:rPr>
              <w:t>8</w:t>
            </w:r>
            <w:r w:rsidRPr="009672E5">
              <w:rPr>
                <w:sz w:val="16"/>
                <w:szCs w:val="16"/>
              </w:rPr>
              <w:t>,2%</w:t>
            </w:r>
          </w:p>
        </w:tc>
      </w:tr>
      <w:tr w:rsidR="007B386B" w:rsidRPr="00E56679" w14:paraId="41B64029" w14:textId="77777777" w:rsidTr="00654A69">
        <w:trPr>
          <w:trHeight w:val="255"/>
        </w:trPr>
        <w:tc>
          <w:tcPr>
            <w:tcW w:w="3560" w:type="dxa"/>
            <w:tcBorders>
              <w:top w:val="nil"/>
              <w:left w:val="double" w:sz="6" w:space="0" w:color="800000"/>
              <w:bottom w:val="nil"/>
              <w:right w:val="single" w:sz="8" w:space="0" w:color="800000"/>
            </w:tcBorders>
            <w:shd w:val="clear" w:color="000000" w:fill="FFFFCC"/>
            <w:vAlign w:val="center"/>
            <w:hideMark/>
          </w:tcPr>
          <w:p w14:paraId="4D80DCE8" w14:textId="77777777" w:rsidR="007B386B" w:rsidRPr="009B0286" w:rsidRDefault="007B386B" w:rsidP="00654A69">
            <w:pPr>
              <w:rPr>
                <w:b/>
                <w:bCs/>
                <w:sz w:val="18"/>
                <w:szCs w:val="18"/>
              </w:rPr>
            </w:pPr>
            <w:r w:rsidRPr="009B0286">
              <w:rPr>
                <w:b/>
                <w:bCs/>
                <w:sz w:val="18"/>
                <w:szCs w:val="18"/>
              </w:rPr>
              <w:t xml:space="preserve">      </w:t>
            </w:r>
            <w:r w:rsidRPr="009B0286">
              <w:rPr>
                <w:sz w:val="18"/>
                <w:szCs w:val="18"/>
              </w:rPr>
              <w:t>Субсидии</w:t>
            </w:r>
          </w:p>
        </w:tc>
        <w:tc>
          <w:tcPr>
            <w:tcW w:w="1240" w:type="dxa"/>
            <w:tcBorders>
              <w:top w:val="nil"/>
              <w:left w:val="nil"/>
              <w:bottom w:val="nil"/>
              <w:right w:val="single" w:sz="8" w:space="0" w:color="800000"/>
            </w:tcBorders>
            <w:shd w:val="clear" w:color="000000" w:fill="FFFFCC"/>
            <w:vAlign w:val="bottom"/>
            <w:hideMark/>
          </w:tcPr>
          <w:p w14:paraId="63A791C3" w14:textId="77777777" w:rsidR="007B386B" w:rsidRPr="009B0286" w:rsidRDefault="007B386B" w:rsidP="00654A69">
            <w:pPr>
              <w:jc w:val="right"/>
              <w:rPr>
                <w:sz w:val="16"/>
                <w:szCs w:val="16"/>
                <w:lang w:val="en-US"/>
              </w:rPr>
            </w:pPr>
            <w:r w:rsidRPr="009B0286">
              <w:rPr>
                <w:sz w:val="16"/>
                <w:szCs w:val="16"/>
              </w:rPr>
              <w:t>3 059,3</w:t>
            </w:r>
          </w:p>
        </w:tc>
        <w:tc>
          <w:tcPr>
            <w:tcW w:w="1180" w:type="dxa"/>
            <w:tcBorders>
              <w:top w:val="nil"/>
              <w:left w:val="nil"/>
              <w:bottom w:val="nil"/>
              <w:right w:val="single" w:sz="8" w:space="0" w:color="800000"/>
            </w:tcBorders>
            <w:shd w:val="clear" w:color="000000" w:fill="FFFFCC"/>
            <w:vAlign w:val="bottom"/>
            <w:hideMark/>
          </w:tcPr>
          <w:p w14:paraId="2E8FCBBE" w14:textId="77777777" w:rsidR="007B386B" w:rsidRPr="009B0286" w:rsidRDefault="007B386B" w:rsidP="00654A69">
            <w:pPr>
              <w:jc w:val="right"/>
              <w:rPr>
                <w:sz w:val="16"/>
                <w:szCs w:val="16"/>
              </w:rPr>
            </w:pPr>
            <w:r w:rsidRPr="009B0286">
              <w:rPr>
                <w:sz w:val="16"/>
                <w:szCs w:val="16"/>
              </w:rPr>
              <w:t xml:space="preserve">6 </w:t>
            </w:r>
            <w:r w:rsidRPr="009B0286">
              <w:rPr>
                <w:sz w:val="16"/>
                <w:szCs w:val="16"/>
                <w:lang w:val="en-US"/>
              </w:rPr>
              <w:t>4</w:t>
            </w:r>
            <w:r w:rsidRPr="009B0286">
              <w:rPr>
                <w:sz w:val="16"/>
                <w:szCs w:val="16"/>
              </w:rPr>
              <w:t>0</w:t>
            </w:r>
            <w:r w:rsidRPr="009B0286">
              <w:rPr>
                <w:sz w:val="16"/>
                <w:szCs w:val="16"/>
                <w:lang w:val="en-US"/>
              </w:rPr>
              <w:t>2</w:t>
            </w:r>
            <w:r w:rsidRPr="009B0286">
              <w:rPr>
                <w:sz w:val="16"/>
                <w:szCs w:val="16"/>
              </w:rPr>
              <w:t>,1</w:t>
            </w:r>
          </w:p>
        </w:tc>
        <w:tc>
          <w:tcPr>
            <w:tcW w:w="1280" w:type="dxa"/>
            <w:tcBorders>
              <w:top w:val="nil"/>
              <w:left w:val="nil"/>
              <w:bottom w:val="nil"/>
              <w:right w:val="single" w:sz="8" w:space="0" w:color="800000"/>
            </w:tcBorders>
            <w:shd w:val="clear" w:color="000000" w:fill="FFFFCC"/>
            <w:vAlign w:val="bottom"/>
            <w:hideMark/>
          </w:tcPr>
          <w:p w14:paraId="5D88130F" w14:textId="77777777" w:rsidR="007B386B" w:rsidRPr="009672E5" w:rsidRDefault="007B386B" w:rsidP="00654A69">
            <w:pPr>
              <w:jc w:val="right"/>
              <w:rPr>
                <w:sz w:val="16"/>
                <w:szCs w:val="16"/>
                <w:lang w:val="en-US"/>
              </w:rPr>
            </w:pPr>
            <w:r w:rsidRPr="009672E5">
              <w:rPr>
                <w:sz w:val="16"/>
                <w:szCs w:val="16"/>
              </w:rPr>
              <w:t xml:space="preserve">2 </w:t>
            </w:r>
            <w:r w:rsidRPr="009672E5">
              <w:rPr>
                <w:sz w:val="16"/>
                <w:szCs w:val="16"/>
                <w:lang w:val="en-US"/>
              </w:rPr>
              <w:t>965</w:t>
            </w:r>
            <w:r w:rsidRPr="009672E5">
              <w:rPr>
                <w:sz w:val="16"/>
                <w:szCs w:val="16"/>
              </w:rPr>
              <w:t>,</w:t>
            </w:r>
            <w:r w:rsidRPr="009672E5">
              <w:rPr>
                <w:sz w:val="16"/>
                <w:szCs w:val="16"/>
                <w:lang w:val="en-US"/>
              </w:rPr>
              <w:t>9</w:t>
            </w:r>
          </w:p>
        </w:tc>
        <w:tc>
          <w:tcPr>
            <w:tcW w:w="1220" w:type="dxa"/>
            <w:tcBorders>
              <w:top w:val="nil"/>
              <w:left w:val="single" w:sz="8" w:space="0" w:color="800000"/>
              <w:bottom w:val="nil"/>
              <w:right w:val="single" w:sz="8" w:space="0" w:color="800000"/>
            </w:tcBorders>
            <w:shd w:val="clear" w:color="000000" w:fill="FFFFCC"/>
            <w:vAlign w:val="bottom"/>
            <w:hideMark/>
          </w:tcPr>
          <w:p w14:paraId="48501AE3" w14:textId="77777777" w:rsidR="007B386B" w:rsidRPr="009672E5" w:rsidRDefault="007B386B" w:rsidP="00654A69">
            <w:pPr>
              <w:jc w:val="right"/>
              <w:rPr>
                <w:sz w:val="16"/>
                <w:szCs w:val="16"/>
              </w:rPr>
            </w:pPr>
            <w:r w:rsidRPr="009672E5">
              <w:rPr>
                <w:sz w:val="16"/>
                <w:szCs w:val="16"/>
              </w:rPr>
              <w:t>9</w:t>
            </w:r>
            <w:r w:rsidRPr="009672E5">
              <w:rPr>
                <w:sz w:val="16"/>
                <w:szCs w:val="16"/>
                <w:lang w:val="en-US"/>
              </w:rPr>
              <w:t>6</w:t>
            </w:r>
            <w:r w:rsidRPr="009672E5">
              <w:rPr>
                <w:sz w:val="16"/>
                <w:szCs w:val="16"/>
              </w:rPr>
              <w:t>,</w:t>
            </w:r>
            <w:r w:rsidRPr="009672E5">
              <w:rPr>
                <w:sz w:val="16"/>
                <w:szCs w:val="16"/>
                <w:lang w:val="en-US"/>
              </w:rPr>
              <w:t>9</w:t>
            </w:r>
            <w:r w:rsidRPr="009672E5">
              <w:rPr>
                <w:sz w:val="16"/>
                <w:szCs w:val="16"/>
              </w:rPr>
              <w:t>%</w:t>
            </w:r>
          </w:p>
        </w:tc>
        <w:tc>
          <w:tcPr>
            <w:tcW w:w="1380" w:type="dxa"/>
            <w:tcBorders>
              <w:top w:val="nil"/>
              <w:left w:val="nil"/>
              <w:bottom w:val="nil"/>
              <w:right w:val="double" w:sz="6" w:space="0" w:color="800000"/>
            </w:tcBorders>
            <w:shd w:val="clear" w:color="000000" w:fill="FFFFCC"/>
            <w:vAlign w:val="bottom"/>
            <w:hideMark/>
          </w:tcPr>
          <w:p w14:paraId="44245AA5" w14:textId="77777777" w:rsidR="007B386B" w:rsidRPr="009672E5" w:rsidRDefault="007B386B" w:rsidP="00654A69">
            <w:pPr>
              <w:jc w:val="right"/>
              <w:rPr>
                <w:sz w:val="16"/>
                <w:szCs w:val="16"/>
              </w:rPr>
            </w:pPr>
            <w:r w:rsidRPr="009672E5">
              <w:rPr>
                <w:sz w:val="16"/>
                <w:szCs w:val="16"/>
              </w:rPr>
              <w:t>4</w:t>
            </w:r>
            <w:r w:rsidRPr="009672E5">
              <w:rPr>
                <w:sz w:val="16"/>
                <w:szCs w:val="16"/>
                <w:lang w:val="en-US"/>
              </w:rPr>
              <w:t>6</w:t>
            </w:r>
            <w:r w:rsidRPr="009672E5">
              <w:rPr>
                <w:sz w:val="16"/>
                <w:szCs w:val="16"/>
              </w:rPr>
              <w:t>,</w:t>
            </w:r>
            <w:r w:rsidRPr="009672E5">
              <w:rPr>
                <w:sz w:val="16"/>
                <w:szCs w:val="16"/>
                <w:lang w:val="en-US"/>
              </w:rPr>
              <w:t>3</w:t>
            </w:r>
            <w:r w:rsidRPr="009672E5">
              <w:rPr>
                <w:sz w:val="16"/>
                <w:szCs w:val="16"/>
              </w:rPr>
              <w:t>%</w:t>
            </w:r>
          </w:p>
        </w:tc>
      </w:tr>
      <w:tr w:rsidR="007B386B" w:rsidRPr="00E56679" w14:paraId="6BD4F594" w14:textId="77777777" w:rsidTr="00654A69">
        <w:trPr>
          <w:trHeight w:val="255"/>
        </w:trPr>
        <w:tc>
          <w:tcPr>
            <w:tcW w:w="3560" w:type="dxa"/>
            <w:tcBorders>
              <w:top w:val="nil"/>
              <w:left w:val="double" w:sz="6" w:space="0" w:color="800000"/>
              <w:bottom w:val="nil"/>
              <w:right w:val="single" w:sz="8" w:space="0" w:color="800000"/>
            </w:tcBorders>
            <w:shd w:val="clear" w:color="000000" w:fill="FFFFCC"/>
            <w:vAlign w:val="center"/>
            <w:hideMark/>
          </w:tcPr>
          <w:p w14:paraId="07C84508" w14:textId="77777777" w:rsidR="007B386B" w:rsidRPr="009B0286" w:rsidRDefault="007B386B" w:rsidP="00654A69">
            <w:pPr>
              <w:rPr>
                <w:sz w:val="18"/>
                <w:szCs w:val="18"/>
              </w:rPr>
            </w:pPr>
            <w:r w:rsidRPr="009B0286">
              <w:rPr>
                <w:sz w:val="18"/>
                <w:szCs w:val="18"/>
              </w:rPr>
              <w:t xml:space="preserve">      Социални и </w:t>
            </w:r>
            <w:proofErr w:type="spellStart"/>
            <w:r w:rsidRPr="009B0286">
              <w:rPr>
                <w:sz w:val="18"/>
                <w:szCs w:val="18"/>
              </w:rPr>
              <w:t>здравноосиг</w:t>
            </w:r>
            <w:proofErr w:type="spellEnd"/>
            <w:r w:rsidRPr="009B0286">
              <w:rPr>
                <w:sz w:val="18"/>
                <w:szCs w:val="18"/>
              </w:rPr>
              <w:t>. плащания</w:t>
            </w:r>
          </w:p>
        </w:tc>
        <w:tc>
          <w:tcPr>
            <w:tcW w:w="1240" w:type="dxa"/>
            <w:tcBorders>
              <w:top w:val="nil"/>
              <w:left w:val="nil"/>
              <w:bottom w:val="nil"/>
              <w:right w:val="single" w:sz="8" w:space="0" w:color="800000"/>
            </w:tcBorders>
            <w:shd w:val="clear" w:color="000000" w:fill="FFFFCC"/>
            <w:vAlign w:val="bottom"/>
            <w:hideMark/>
          </w:tcPr>
          <w:p w14:paraId="290CF91B" w14:textId="77777777" w:rsidR="007B386B" w:rsidRPr="009B0286" w:rsidRDefault="007B386B" w:rsidP="00654A69">
            <w:pPr>
              <w:jc w:val="right"/>
              <w:rPr>
                <w:sz w:val="16"/>
                <w:szCs w:val="16"/>
                <w:lang w:val="en-US"/>
              </w:rPr>
            </w:pPr>
            <w:r w:rsidRPr="009B0286">
              <w:rPr>
                <w:sz w:val="16"/>
                <w:szCs w:val="16"/>
              </w:rPr>
              <w:t>13 825,0</w:t>
            </w:r>
          </w:p>
        </w:tc>
        <w:tc>
          <w:tcPr>
            <w:tcW w:w="1180" w:type="dxa"/>
            <w:tcBorders>
              <w:top w:val="nil"/>
              <w:left w:val="nil"/>
              <w:bottom w:val="nil"/>
              <w:right w:val="single" w:sz="8" w:space="0" w:color="800000"/>
            </w:tcBorders>
            <w:shd w:val="clear" w:color="000000" w:fill="FFFFCC"/>
            <w:vAlign w:val="bottom"/>
            <w:hideMark/>
          </w:tcPr>
          <w:p w14:paraId="71BD594C" w14:textId="77777777" w:rsidR="007B386B" w:rsidRPr="009B0286" w:rsidRDefault="007B386B" w:rsidP="00654A69">
            <w:pPr>
              <w:jc w:val="right"/>
              <w:rPr>
                <w:sz w:val="16"/>
                <w:szCs w:val="16"/>
                <w:lang w:val="en-US"/>
              </w:rPr>
            </w:pPr>
            <w:r w:rsidRPr="009B0286">
              <w:rPr>
                <w:sz w:val="16"/>
                <w:szCs w:val="16"/>
              </w:rPr>
              <w:t>3</w:t>
            </w:r>
            <w:r w:rsidRPr="009B0286">
              <w:rPr>
                <w:sz w:val="16"/>
                <w:szCs w:val="16"/>
                <w:lang w:val="en-US"/>
              </w:rPr>
              <w:t>4</w:t>
            </w:r>
            <w:r w:rsidRPr="009B0286">
              <w:rPr>
                <w:sz w:val="16"/>
                <w:szCs w:val="16"/>
              </w:rPr>
              <w:t xml:space="preserve"> </w:t>
            </w:r>
            <w:r w:rsidRPr="009B0286">
              <w:rPr>
                <w:sz w:val="16"/>
                <w:szCs w:val="16"/>
                <w:lang w:val="en-US"/>
              </w:rPr>
              <w:t>902</w:t>
            </w:r>
            <w:r w:rsidRPr="009B0286">
              <w:rPr>
                <w:sz w:val="16"/>
                <w:szCs w:val="16"/>
              </w:rPr>
              <w:t>,</w:t>
            </w:r>
            <w:r w:rsidRPr="009B0286">
              <w:rPr>
                <w:sz w:val="16"/>
                <w:szCs w:val="16"/>
                <w:lang w:val="en-US"/>
              </w:rPr>
              <w:t>6</w:t>
            </w:r>
          </w:p>
        </w:tc>
        <w:tc>
          <w:tcPr>
            <w:tcW w:w="1280" w:type="dxa"/>
            <w:tcBorders>
              <w:top w:val="nil"/>
              <w:left w:val="nil"/>
              <w:bottom w:val="nil"/>
              <w:right w:val="single" w:sz="8" w:space="0" w:color="800000"/>
            </w:tcBorders>
            <w:shd w:val="clear" w:color="000000" w:fill="FFFFCC"/>
            <w:vAlign w:val="bottom"/>
            <w:hideMark/>
          </w:tcPr>
          <w:p w14:paraId="0817A64F" w14:textId="77777777" w:rsidR="007B386B" w:rsidRPr="009672E5" w:rsidRDefault="007B386B" w:rsidP="00654A69">
            <w:pPr>
              <w:jc w:val="right"/>
              <w:rPr>
                <w:sz w:val="16"/>
                <w:szCs w:val="16"/>
                <w:lang w:val="en-US"/>
              </w:rPr>
            </w:pPr>
            <w:r w:rsidRPr="009672E5">
              <w:rPr>
                <w:sz w:val="16"/>
                <w:szCs w:val="16"/>
              </w:rPr>
              <w:t>1</w:t>
            </w:r>
            <w:r w:rsidRPr="009672E5">
              <w:rPr>
                <w:sz w:val="16"/>
                <w:szCs w:val="16"/>
                <w:lang w:val="en-US"/>
              </w:rPr>
              <w:t>6</w:t>
            </w:r>
            <w:r w:rsidRPr="009672E5">
              <w:rPr>
                <w:sz w:val="16"/>
                <w:szCs w:val="16"/>
              </w:rPr>
              <w:t xml:space="preserve"> </w:t>
            </w:r>
            <w:r w:rsidRPr="009672E5">
              <w:rPr>
                <w:sz w:val="16"/>
                <w:szCs w:val="16"/>
                <w:lang w:val="en-US"/>
              </w:rPr>
              <w:t>340</w:t>
            </w:r>
            <w:r w:rsidRPr="009672E5">
              <w:rPr>
                <w:sz w:val="16"/>
                <w:szCs w:val="16"/>
              </w:rPr>
              <w:t>,</w:t>
            </w:r>
            <w:r w:rsidRPr="009672E5">
              <w:rPr>
                <w:sz w:val="16"/>
                <w:szCs w:val="16"/>
                <w:lang w:val="en-US"/>
              </w:rPr>
              <w:t>5</w:t>
            </w:r>
          </w:p>
        </w:tc>
        <w:tc>
          <w:tcPr>
            <w:tcW w:w="1220" w:type="dxa"/>
            <w:tcBorders>
              <w:top w:val="nil"/>
              <w:left w:val="single" w:sz="8" w:space="0" w:color="800000"/>
              <w:bottom w:val="nil"/>
              <w:right w:val="single" w:sz="8" w:space="0" w:color="800000"/>
            </w:tcBorders>
            <w:shd w:val="clear" w:color="000000" w:fill="FFFFCC"/>
            <w:vAlign w:val="bottom"/>
            <w:hideMark/>
          </w:tcPr>
          <w:p w14:paraId="0E53D52E" w14:textId="77777777" w:rsidR="007B386B" w:rsidRPr="009672E5" w:rsidRDefault="007B386B" w:rsidP="00654A69">
            <w:pPr>
              <w:jc w:val="right"/>
              <w:rPr>
                <w:sz w:val="16"/>
                <w:szCs w:val="16"/>
              </w:rPr>
            </w:pPr>
            <w:r w:rsidRPr="009672E5">
              <w:rPr>
                <w:sz w:val="16"/>
                <w:szCs w:val="16"/>
              </w:rPr>
              <w:t>1</w:t>
            </w:r>
            <w:r w:rsidRPr="009672E5">
              <w:rPr>
                <w:sz w:val="16"/>
                <w:szCs w:val="16"/>
                <w:lang w:val="en-US"/>
              </w:rPr>
              <w:t>18</w:t>
            </w:r>
            <w:r w:rsidRPr="009672E5">
              <w:rPr>
                <w:sz w:val="16"/>
                <w:szCs w:val="16"/>
              </w:rPr>
              <w:t>,</w:t>
            </w:r>
            <w:r w:rsidRPr="009672E5">
              <w:rPr>
                <w:sz w:val="16"/>
                <w:szCs w:val="16"/>
                <w:lang w:val="en-US"/>
              </w:rPr>
              <w:t>2</w:t>
            </w:r>
            <w:r w:rsidRPr="009672E5">
              <w:rPr>
                <w:sz w:val="16"/>
                <w:szCs w:val="16"/>
              </w:rPr>
              <w:t>%</w:t>
            </w:r>
          </w:p>
        </w:tc>
        <w:tc>
          <w:tcPr>
            <w:tcW w:w="1380" w:type="dxa"/>
            <w:tcBorders>
              <w:top w:val="nil"/>
              <w:left w:val="nil"/>
              <w:bottom w:val="nil"/>
              <w:right w:val="double" w:sz="6" w:space="0" w:color="800000"/>
            </w:tcBorders>
            <w:shd w:val="clear" w:color="000000" w:fill="FFFFCC"/>
            <w:vAlign w:val="bottom"/>
            <w:hideMark/>
          </w:tcPr>
          <w:p w14:paraId="41260D31" w14:textId="77777777" w:rsidR="007B386B" w:rsidRPr="009672E5" w:rsidRDefault="007B386B" w:rsidP="00654A69">
            <w:pPr>
              <w:jc w:val="right"/>
              <w:rPr>
                <w:sz w:val="16"/>
                <w:szCs w:val="16"/>
              </w:rPr>
            </w:pPr>
            <w:r w:rsidRPr="009672E5">
              <w:rPr>
                <w:sz w:val="16"/>
                <w:szCs w:val="16"/>
              </w:rPr>
              <w:t>4</w:t>
            </w:r>
            <w:r w:rsidRPr="009672E5">
              <w:rPr>
                <w:sz w:val="16"/>
                <w:szCs w:val="16"/>
                <w:lang w:val="en-US"/>
              </w:rPr>
              <w:t>6</w:t>
            </w:r>
            <w:r w:rsidRPr="009672E5">
              <w:rPr>
                <w:sz w:val="16"/>
                <w:szCs w:val="16"/>
              </w:rPr>
              <w:t>,8%</w:t>
            </w:r>
          </w:p>
        </w:tc>
      </w:tr>
      <w:tr w:rsidR="007B386B" w:rsidRPr="00E56679" w14:paraId="4BC0A7B5" w14:textId="77777777" w:rsidTr="00654A69">
        <w:trPr>
          <w:trHeight w:val="255"/>
        </w:trPr>
        <w:tc>
          <w:tcPr>
            <w:tcW w:w="3560" w:type="dxa"/>
            <w:tcBorders>
              <w:top w:val="nil"/>
              <w:left w:val="double" w:sz="6" w:space="0" w:color="800000"/>
              <w:bottom w:val="nil"/>
              <w:right w:val="single" w:sz="8" w:space="0" w:color="800000"/>
            </w:tcBorders>
            <w:shd w:val="clear" w:color="000000" w:fill="FFFFCC"/>
            <w:vAlign w:val="center"/>
            <w:hideMark/>
          </w:tcPr>
          <w:p w14:paraId="63DE145E" w14:textId="77777777" w:rsidR="007B386B" w:rsidRPr="009B0286" w:rsidRDefault="007B386B" w:rsidP="00654A69">
            <w:pPr>
              <w:rPr>
                <w:b/>
                <w:bCs/>
                <w:sz w:val="18"/>
                <w:szCs w:val="18"/>
              </w:rPr>
            </w:pPr>
            <w:r w:rsidRPr="009B0286">
              <w:rPr>
                <w:b/>
                <w:bCs/>
                <w:sz w:val="18"/>
                <w:szCs w:val="18"/>
              </w:rPr>
              <w:t xml:space="preserve">         </w:t>
            </w:r>
            <w:r w:rsidRPr="009B0286">
              <w:rPr>
                <w:sz w:val="18"/>
                <w:szCs w:val="18"/>
              </w:rPr>
              <w:t>Пенсии</w:t>
            </w:r>
          </w:p>
        </w:tc>
        <w:tc>
          <w:tcPr>
            <w:tcW w:w="1240" w:type="dxa"/>
            <w:tcBorders>
              <w:top w:val="nil"/>
              <w:left w:val="nil"/>
              <w:bottom w:val="nil"/>
              <w:right w:val="single" w:sz="8" w:space="0" w:color="800000"/>
            </w:tcBorders>
            <w:shd w:val="clear" w:color="000000" w:fill="FFFFCC"/>
            <w:vAlign w:val="bottom"/>
            <w:hideMark/>
          </w:tcPr>
          <w:p w14:paraId="59C03FAD" w14:textId="77777777" w:rsidR="007B386B" w:rsidRPr="009B0286" w:rsidRDefault="007B386B" w:rsidP="00654A69">
            <w:pPr>
              <w:jc w:val="right"/>
              <w:rPr>
                <w:sz w:val="16"/>
                <w:szCs w:val="16"/>
                <w:lang w:val="en-US"/>
              </w:rPr>
            </w:pPr>
            <w:r w:rsidRPr="009B0286">
              <w:rPr>
                <w:sz w:val="16"/>
                <w:szCs w:val="16"/>
              </w:rPr>
              <w:t>9 076,5</w:t>
            </w:r>
          </w:p>
        </w:tc>
        <w:tc>
          <w:tcPr>
            <w:tcW w:w="1180" w:type="dxa"/>
            <w:tcBorders>
              <w:top w:val="nil"/>
              <w:left w:val="nil"/>
              <w:bottom w:val="nil"/>
              <w:right w:val="single" w:sz="8" w:space="0" w:color="800000"/>
            </w:tcBorders>
            <w:shd w:val="clear" w:color="000000" w:fill="FFFFCC"/>
            <w:vAlign w:val="bottom"/>
            <w:hideMark/>
          </w:tcPr>
          <w:p w14:paraId="3F57AE68" w14:textId="77777777" w:rsidR="007B386B" w:rsidRPr="009B0286" w:rsidRDefault="007B386B" w:rsidP="00654A69">
            <w:pPr>
              <w:jc w:val="right"/>
              <w:rPr>
                <w:sz w:val="16"/>
                <w:szCs w:val="16"/>
                <w:lang w:val="en-US"/>
              </w:rPr>
            </w:pPr>
            <w:r w:rsidRPr="009B0286">
              <w:rPr>
                <w:sz w:val="16"/>
                <w:szCs w:val="16"/>
              </w:rPr>
              <w:t xml:space="preserve">21 </w:t>
            </w:r>
            <w:r w:rsidRPr="009B0286">
              <w:rPr>
                <w:sz w:val="16"/>
                <w:szCs w:val="16"/>
                <w:lang w:val="en-US"/>
              </w:rPr>
              <w:t>709</w:t>
            </w:r>
            <w:r w:rsidRPr="009B0286">
              <w:rPr>
                <w:sz w:val="16"/>
                <w:szCs w:val="16"/>
              </w:rPr>
              <w:t>,</w:t>
            </w:r>
            <w:r w:rsidRPr="009B0286">
              <w:rPr>
                <w:sz w:val="16"/>
                <w:szCs w:val="16"/>
                <w:lang w:val="en-US"/>
              </w:rPr>
              <w:t>2</w:t>
            </w:r>
          </w:p>
        </w:tc>
        <w:tc>
          <w:tcPr>
            <w:tcW w:w="1280" w:type="dxa"/>
            <w:tcBorders>
              <w:top w:val="nil"/>
              <w:left w:val="nil"/>
              <w:bottom w:val="nil"/>
              <w:right w:val="single" w:sz="8" w:space="0" w:color="800000"/>
            </w:tcBorders>
            <w:shd w:val="clear" w:color="000000" w:fill="FFFFCC"/>
            <w:vAlign w:val="bottom"/>
            <w:hideMark/>
          </w:tcPr>
          <w:p w14:paraId="21CAAE77" w14:textId="77777777" w:rsidR="007B386B" w:rsidRPr="009672E5" w:rsidRDefault="007B386B" w:rsidP="00654A69">
            <w:pPr>
              <w:jc w:val="right"/>
              <w:rPr>
                <w:sz w:val="16"/>
                <w:szCs w:val="16"/>
                <w:lang w:val="en-US"/>
              </w:rPr>
            </w:pPr>
            <w:r w:rsidRPr="009672E5">
              <w:rPr>
                <w:sz w:val="16"/>
                <w:szCs w:val="16"/>
                <w:lang w:val="en-US"/>
              </w:rPr>
              <w:t>10</w:t>
            </w:r>
            <w:r w:rsidRPr="009672E5">
              <w:rPr>
                <w:sz w:val="16"/>
                <w:szCs w:val="16"/>
              </w:rPr>
              <w:t xml:space="preserve"> </w:t>
            </w:r>
            <w:r w:rsidRPr="009672E5">
              <w:rPr>
                <w:sz w:val="16"/>
                <w:szCs w:val="16"/>
                <w:lang w:val="en-US"/>
              </w:rPr>
              <w:t>249</w:t>
            </w:r>
            <w:r w:rsidRPr="009672E5">
              <w:rPr>
                <w:sz w:val="16"/>
                <w:szCs w:val="16"/>
              </w:rPr>
              <w:t>,</w:t>
            </w:r>
            <w:r w:rsidRPr="009672E5">
              <w:rPr>
                <w:sz w:val="16"/>
                <w:szCs w:val="16"/>
                <w:lang w:val="en-US"/>
              </w:rPr>
              <w:t>7</w:t>
            </w:r>
          </w:p>
        </w:tc>
        <w:tc>
          <w:tcPr>
            <w:tcW w:w="1220" w:type="dxa"/>
            <w:tcBorders>
              <w:top w:val="nil"/>
              <w:left w:val="single" w:sz="8" w:space="0" w:color="800000"/>
              <w:bottom w:val="nil"/>
              <w:right w:val="single" w:sz="8" w:space="0" w:color="800000"/>
            </w:tcBorders>
            <w:shd w:val="clear" w:color="000000" w:fill="FFFFCC"/>
            <w:vAlign w:val="bottom"/>
            <w:hideMark/>
          </w:tcPr>
          <w:p w14:paraId="7793C72C" w14:textId="77777777" w:rsidR="007B386B" w:rsidRPr="009672E5" w:rsidRDefault="007B386B" w:rsidP="00654A69">
            <w:pPr>
              <w:jc w:val="right"/>
              <w:rPr>
                <w:sz w:val="16"/>
                <w:szCs w:val="16"/>
              </w:rPr>
            </w:pPr>
            <w:r w:rsidRPr="009672E5">
              <w:rPr>
                <w:sz w:val="16"/>
                <w:szCs w:val="16"/>
              </w:rPr>
              <w:t>1</w:t>
            </w:r>
            <w:r w:rsidRPr="009672E5">
              <w:rPr>
                <w:sz w:val="16"/>
                <w:szCs w:val="16"/>
                <w:lang w:val="en-US"/>
              </w:rPr>
              <w:t>1</w:t>
            </w:r>
            <w:r w:rsidRPr="009672E5">
              <w:rPr>
                <w:sz w:val="16"/>
                <w:szCs w:val="16"/>
              </w:rPr>
              <w:t>2,</w:t>
            </w:r>
            <w:r w:rsidRPr="009672E5">
              <w:rPr>
                <w:sz w:val="16"/>
                <w:szCs w:val="16"/>
                <w:lang w:val="en-US"/>
              </w:rPr>
              <w:t>9</w:t>
            </w:r>
            <w:r w:rsidRPr="009672E5">
              <w:rPr>
                <w:sz w:val="16"/>
                <w:szCs w:val="16"/>
              </w:rPr>
              <w:t>%</w:t>
            </w:r>
          </w:p>
        </w:tc>
        <w:tc>
          <w:tcPr>
            <w:tcW w:w="1380" w:type="dxa"/>
            <w:tcBorders>
              <w:top w:val="nil"/>
              <w:left w:val="nil"/>
              <w:bottom w:val="nil"/>
              <w:right w:val="double" w:sz="6" w:space="0" w:color="800000"/>
            </w:tcBorders>
            <w:shd w:val="clear" w:color="000000" w:fill="FFFFCC"/>
            <w:vAlign w:val="bottom"/>
            <w:hideMark/>
          </w:tcPr>
          <w:p w14:paraId="7B4CC8CF" w14:textId="77777777" w:rsidR="007B386B" w:rsidRPr="009672E5" w:rsidRDefault="007B386B" w:rsidP="00654A69">
            <w:pPr>
              <w:jc w:val="right"/>
              <w:rPr>
                <w:sz w:val="16"/>
                <w:szCs w:val="16"/>
              </w:rPr>
            </w:pPr>
            <w:r w:rsidRPr="009672E5">
              <w:rPr>
                <w:sz w:val="16"/>
                <w:szCs w:val="16"/>
              </w:rPr>
              <w:t>47,</w:t>
            </w:r>
            <w:r w:rsidRPr="009672E5">
              <w:rPr>
                <w:sz w:val="16"/>
                <w:szCs w:val="16"/>
                <w:lang w:val="en-US"/>
              </w:rPr>
              <w:t>2</w:t>
            </w:r>
            <w:r w:rsidRPr="009672E5">
              <w:rPr>
                <w:sz w:val="16"/>
                <w:szCs w:val="16"/>
              </w:rPr>
              <w:t>%</w:t>
            </w:r>
          </w:p>
        </w:tc>
      </w:tr>
      <w:tr w:rsidR="007B386B" w:rsidRPr="00E56679" w14:paraId="6B2E99DA" w14:textId="77777777" w:rsidTr="00654A69">
        <w:trPr>
          <w:trHeight w:val="255"/>
        </w:trPr>
        <w:tc>
          <w:tcPr>
            <w:tcW w:w="3560" w:type="dxa"/>
            <w:tcBorders>
              <w:top w:val="nil"/>
              <w:left w:val="double" w:sz="6" w:space="0" w:color="800000"/>
              <w:bottom w:val="nil"/>
              <w:right w:val="single" w:sz="8" w:space="0" w:color="800000"/>
            </w:tcBorders>
            <w:shd w:val="clear" w:color="000000" w:fill="FFFFCC"/>
            <w:vAlign w:val="center"/>
            <w:hideMark/>
          </w:tcPr>
          <w:p w14:paraId="38EEA3FF" w14:textId="77777777" w:rsidR="007B386B" w:rsidRPr="009B0286" w:rsidRDefault="007B386B" w:rsidP="00654A69">
            <w:pPr>
              <w:rPr>
                <w:sz w:val="18"/>
                <w:szCs w:val="18"/>
              </w:rPr>
            </w:pPr>
            <w:r w:rsidRPr="009B0286">
              <w:rPr>
                <w:sz w:val="18"/>
                <w:szCs w:val="18"/>
              </w:rPr>
              <w:t xml:space="preserve">         Текущи трансфери, обезщетения и помощи за домакинствата</w:t>
            </w:r>
          </w:p>
        </w:tc>
        <w:tc>
          <w:tcPr>
            <w:tcW w:w="1240" w:type="dxa"/>
            <w:tcBorders>
              <w:top w:val="nil"/>
              <w:left w:val="nil"/>
              <w:bottom w:val="nil"/>
              <w:right w:val="single" w:sz="8" w:space="0" w:color="800000"/>
            </w:tcBorders>
            <w:shd w:val="clear" w:color="000000" w:fill="FFFFCC"/>
            <w:vAlign w:val="bottom"/>
            <w:hideMark/>
          </w:tcPr>
          <w:p w14:paraId="36162DED" w14:textId="77777777" w:rsidR="007B386B" w:rsidRPr="009B0286" w:rsidRDefault="007B386B" w:rsidP="00654A69">
            <w:pPr>
              <w:jc w:val="right"/>
              <w:rPr>
                <w:sz w:val="16"/>
                <w:szCs w:val="16"/>
                <w:lang w:val="en-US"/>
              </w:rPr>
            </w:pPr>
            <w:r w:rsidRPr="009B0286">
              <w:rPr>
                <w:sz w:val="16"/>
                <w:szCs w:val="16"/>
              </w:rPr>
              <w:t>1 655,9</w:t>
            </w:r>
          </w:p>
        </w:tc>
        <w:tc>
          <w:tcPr>
            <w:tcW w:w="1180" w:type="dxa"/>
            <w:tcBorders>
              <w:top w:val="nil"/>
              <w:left w:val="nil"/>
              <w:bottom w:val="nil"/>
              <w:right w:val="single" w:sz="8" w:space="0" w:color="800000"/>
            </w:tcBorders>
            <w:shd w:val="clear" w:color="000000" w:fill="FFFFCC"/>
            <w:vAlign w:val="bottom"/>
            <w:hideMark/>
          </w:tcPr>
          <w:p w14:paraId="0BECB119" w14:textId="77777777" w:rsidR="007B386B" w:rsidRPr="009B0286" w:rsidRDefault="007B386B" w:rsidP="00654A69">
            <w:pPr>
              <w:jc w:val="right"/>
              <w:rPr>
                <w:sz w:val="16"/>
                <w:szCs w:val="16"/>
                <w:lang w:val="en-US"/>
              </w:rPr>
            </w:pPr>
            <w:r w:rsidRPr="009B0286">
              <w:rPr>
                <w:sz w:val="16"/>
                <w:szCs w:val="16"/>
              </w:rPr>
              <w:t xml:space="preserve">5 </w:t>
            </w:r>
            <w:r w:rsidRPr="009B0286">
              <w:rPr>
                <w:sz w:val="16"/>
                <w:szCs w:val="16"/>
                <w:lang w:val="en-US"/>
              </w:rPr>
              <w:t>562</w:t>
            </w:r>
            <w:r w:rsidRPr="009B0286">
              <w:rPr>
                <w:sz w:val="16"/>
                <w:szCs w:val="16"/>
              </w:rPr>
              <w:t>,</w:t>
            </w:r>
            <w:r w:rsidRPr="009B0286">
              <w:rPr>
                <w:sz w:val="16"/>
                <w:szCs w:val="16"/>
                <w:lang w:val="en-US"/>
              </w:rPr>
              <w:t>4</w:t>
            </w:r>
          </w:p>
        </w:tc>
        <w:tc>
          <w:tcPr>
            <w:tcW w:w="1280" w:type="dxa"/>
            <w:tcBorders>
              <w:top w:val="nil"/>
              <w:left w:val="nil"/>
              <w:bottom w:val="nil"/>
              <w:right w:val="single" w:sz="8" w:space="0" w:color="800000"/>
            </w:tcBorders>
            <w:shd w:val="clear" w:color="000000" w:fill="FFFFCC"/>
            <w:vAlign w:val="bottom"/>
            <w:hideMark/>
          </w:tcPr>
          <w:p w14:paraId="1252B0F3" w14:textId="77777777" w:rsidR="007B386B" w:rsidRPr="009672E5" w:rsidRDefault="007B386B" w:rsidP="00654A69">
            <w:pPr>
              <w:jc w:val="right"/>
              <w:rPr>
                <w:sz w:val="16"/>
                <w:szCs w:val="16"/>
                <w:lang w:val="en-US"/>
              </w:rPr>
            </w:pPr>
            <w:r w:rsidRPr="009672E5">
              <w:rPr>
                <w:sz w:val="16"/>
                <w:szCs w:val="16"/>
                <w:lang w:val="en-US"/>
              </w:rPr>
              <w:t>2</w:t>
            </w:r>
            <w:r w:rsidRPr="009672E5">
              <w:rPr>
                <w:sz w:val="16"/>
                <w:szCs w:val="16"/>
              </w:rPr>
              <w:t xml:space="preserve"> </w:t>
            </w:r>
            <w:r w:rsidRPr="009672E5">
              <w:rPr>
                <w:sz w:val="16"/>
                <w:szCs w:val="16"/>
                <w:lang w:val="en-US"/>
              </w:rPr>
              <w:t>263</w:t>
            </w:r>
            <w:r w:rsidRPr="009672E5">
              <w:rPr>
                <w:sz w:val="16"/>
                <w:szCs w:val="16"/>
              </w:rPr>
              <w:t>,</w:t>
            </w:r>
            <w:r w:rsidRPr="009672E5">
              <w:rPr>
                <w:sz w:val="16"/>
                <w:szCs w:val="16"/>
                <w:lang w:val="en-US"/>
              </w:rPr>
              <w:t>3</w:t>
            </w:r>
          </w:p>
        </w:tc>
        <w:tc>
          <w:tcPr>
            <w:tcW w:w="1220" w:type="dxa"/>
            <w:tcBorders>
              <w:top w:val="nil"/>
              <w:left w:val="nil"/>
              <w:bottom w:val="nil"/>
              <w:right w:val="single" w:sz="8" w:space="0" w:color="800000"/>
            </w:tcBorders>
            <w:shd w:val="clear" w:color="000000" w:fill="FFFFCC"/>
            <w:vAlign w:val="bottom"/>
            <w:hideMark/>
          </w:tcPr>
          <w:p w14:paraId="095B1BD8" w14:textId="77777777" w:rsidR="007B386B" w:rsidRPr="009672E5" w:rsidRDefault="007B386B" w:rsidP="00654A69">
            <w:pPr>
              <w:jc w:val="right"/>
              <w:rPr>
                <w:sz w:val="16"/>
                <w:szCs w:val="16"/>
              </w:rPr>
            </w:pPr>
            <w:r w:rsidRPr="009672E5">
              <w:rPr>
                <w:sz w:val="16"/>
                <w:szCs w:val="16"/>
              </w:rPr>
              <w:t>1</w:t>
            </w:r>
            <w:r w:rsidRPr="009672E5">
              <w:rPr>
                <w:sz w:val="16"/>
                <w:szCs w:val="16"/>
                <w:lang w:val="en-US"/>
              </w:rPr>
              <w:t>36</w:t>
            </w:r>
            <w:r w:rsidRPr="009672E5">
              <w:rPr>
                <w:sz w:val="16"/>
                <w:szCs w:val="16"/>
              </w:rPr>
              <w:t>,</w:t>
            </w:r>
            <w:r w:rsidRPr="009672E5">
              <w:rPr>
                <w:sz w:val="16"/>
                <w:szCs w:val="16"/>
                <w:lang w:val="en-US"/>
              </w:rPr>
              <w:t>7</w:t>
            </w:r>
            <w:r w:rsidRPr="009672E5">
              <w:rPr>
                <w:sz w:val="16"/>
                <w:szCs w:val="16"/>
              </w:rPr>
              <w:t>%</w:t>
            </w:r>
          </w:p>
        </w:tc>
        <w:tc>
          <w:tcPr>
            <w:tcW w:w="1380" w:type="dxa"/>
            <w:tcBorders>
              <w:top w:val="nil"/>
              <w:left w:val="nil"/>
              <w:bottom w:val="nil"/>
              <w:right w:val="double" w:sz="6" w:space="0" w:color="800000"/>
            </w:tcBorders>
            <w:shd w:val="clear" w:color="000000" w:fill="FFFFCC"/>
            <w:vAlign w:val="bottom"/>
            <w:hideMark/>
          </w:tcPr>
          <w:p w14:paraId="0747DE7A" w14:textId="77777777" w:rsidR="007B386B" w:rsidRPr="009672E5" w:rsidRDefault="007B386B" w:rsidP="00654A69">
            <w:pPr>
              <w:jc w:val="right"/>
              <w:rPr>
                <w:sz w:val="16"/>
                <w:szCs w:val="16"/>
              </w:rPr>
            </w:pPr>
            <w:r w:rsidRPr="009672E5">
              <w:rPr>
                <w:sz w:val="16"/>
                <w:szCs w:val="16"/>
                <w:lang w:val="en-US"/>
              </w:rPr>
              <w:t>40</w:t>
            </w:r>
            <w:r w:rsidRPr="009672E5">
              <w:rPr>
                <w:sz w:val="16"/>
                <w:szCs w:val="16"/>
              </w:rPr>
              <w:t>,</w:t>
            </w:r>
            <w:r w:rsidRPr="009672E5">
              <w:rPr>
                <w:sz w:val="16"/>
                <w:szCs w:val="16"/>
                <w:lang w:val="en-US"/>
              </w:rPr>
              <w:t>7</w:t>
            </w:r>
            <w:r w:rsidRPr="009672E5">
              <w:rPr>
                <w:sz w:val="16"/>
                <w:szCs w:val="16"/>
              </w:rPr>
              <w:t>%</w:t>
            </w:r>
          </w:p>
        </w:tc>
      </w:tr>
      <w:tr w:rsidR="007B386B" w:rsidRPr="00E56679" w14:paraId="1020F4DE" w14:textId="77777777" w:rsidTr="00654A69">
        <w:trPr>
          <w:trHeight w:val="255"/>
        </w:trPr>
        <w:tc>
          <w:tcPr>
            <w:tcW w:w="3560" w:type="dxa"/>
            <w:tcBorders>
              <w:top w:val="nil"/>
              <w:left w:val="double" w:sz="6" w:space="0" w:color="800000"/>
              <w:bottom w:val="nil"/>
              <w:right w:val="single" w:sz="8" w:space="0" w:color="800000"/>
            </w:tcBorders>
            <w:shd w:val="clear" w:color="000000" w:fill="FFFFCC"/>
            <w:vAlign w:val="center"/>
            <w:hideMark/>
          </w:tcPr>
          <w:p w14:paraId="75D12E7D" w14:textId="77777777" w:rsidR="007B386B" w:rsidRPr="009B0286" w:rsidRDefault="007B386B" w:rsidP="00654A69">
            <w:pPr>
              <w:ind w:firstLineChars="200" w:firstLine="360"/>
              <w:rPr>
                <w:sz w:val="18"/>
                <w:szCs w:val="18"/>
              </w:rPr>
            </w:pPr>
            <w:r w:rsidRPr="009B0286">
              <w:rPr>
                <w:sz w:val="18"/>
                <w:szCs w:val="18"/>
              </w:rPr>
              <w:t xml:space="preserve"> Здравноосигурителни плащания </w:t>
            </w:r>
          </w:p>
        </w:tc>
        <w:tc>
          <w:tcPr>
            <w:tcW w:w="1240" w:type="dxa"/>
            <w:tcBorders>
              <w:top w:val="nil"/>
              <w:left w:val="nil"/>
              <w:bottom w:val="nil"/>
              <w:right w:val="single" w:sz="8" w:space="0" w:color="800000"/>
            </w:tcBorders>
            <w:shd w:val="clear" w:color="000000" w:fill="FFFFCC"/>
            <w:vAlign w:val="bottom"/>
            <w:hideMark/>
          </w:tcPr>
          <w:p w14:paraId="74F159A2" w14:textId="77777777" w:rsidR="007B386B" w:rsidRPr="009B0286" w:rsidRDefault="007B386B" w:rsidP="00654A69">
            <w:pPr>
              <w:jc w:val="right"/>
              <w:rPr>
                <w:sz w:val="16"/>
                <w:szCs w:val="16"/>
                <w:lang w:val="en-US"/>
              </w:rPr>
            </w:pPr>
            <w:r w:rsidRPr="009B0286">
              <w:rPr>
                <w:sz w:val="16"/>
                <w:szCs w:val="16"/>
              </w:rPr>
              <w:t>3 092,5</w:t>
            </w:r>
          </w:p>
        </w:tc>
        <w:tc>
          <w:tcPr>
            <w:tcW w:w="1180" w:type="dxa"/>
            <w:tcBorders>
              <w:top w:val="nil"/>
              <w:left w:val="nil"/>
              <w:bottom w:val="nil"/>
              <w:right w:val="single" w:sz="8" w:space="0" w:color="800000"/>
            </w:tcBorders>
            <w:shd w:val="clear" w:color="000000" w:fill="FFFFCC"/>
            <w:vAlign w:val="bottom"/>
            <w:hideMark/>
          </w:tcPr>
          <w:p w14:paraId="6A088F2A" w14:textId="77777777" w:rsidR="007B386B" w:rsidRPr="009B0286" w:rsidRDefault="007B386B" w:rsidP="00654A69">
            <w:pPr>
              <w:jc w:val="right"/>
              <w:rPr>
                <w:sz w:val="16"/>
                <w:szCs w:val="16"/>
                <w:lang w:val="en-US"/>
              </w:rPr>
            </w:pPr>
            <w:r w:rsidRPr="009B0286">
              <w:rPr>
                <w:sz w:val="16"/>
                <w:szCs w:val="16"/>
              </w:rPr>
              <w:t xml:space="preserve">7 </w:t>
            </w:r>
            <w:r w:rsidRPr="009B0286">
              <w:rPr>
                <w:sz w:val="16"/>
                <w:szCs w:val="16"/>
                <w:lang w:val="en-US"/>
              </w:rPr>
              <w:t>630</w:t>
            </w:r>
            <w:r w:rsidRPr="009B0286">
              <w:rPr>
                <w:sz w:val="16"/>
                <w:szCs w:val="16"/>
              </w:rPr>
              <w:t>,</w:t>
            </w:r>
            <w:r w:rsidRPr="009B0286">
              <w:rPr>
                <w:sz w:val="16"/>
                <w:szCs w:val="16"/>
                <w:lang w:val="en-US"/>
              </w:rPr>
              <w:t>9</w:t>
            </w:r>
          </w:p>
        </w:tc>
        <w:tc>
          <w:tcPr>
            <w:tcW w:w="1280" w:type="dxa"/>
            <w:tcBorders>
              <w:top w:val="nil"/>
              <w:left w:val="nil"/>
              <w:bottom w:val="nil"/>
              <w:right w:val="single" w:sz="8" w:space="0" w:color="800000"/>
            </w:tcBorders>
            <w:shd w:val="clear" w:color="000000" w:fill="FFFFCC"/>
            <w:vAlign w:val="bottom"/>
            <w:hideMark/>
          </w:tcPr>
          <w:p w14:paraId="65692D13" w14:textId="77777777" w:rsidR="007B386B" w:rsidRPr="009672E5" w:rsidRDefault="007B386B" w:rsidP="00654A69">
            <w:pPr>
              <w:jc w:val="right"/>
              <w:rPr>
                <w:sz w:val="16"/>
                <w:szCs w:val="16"/>
              </w:rPr>
            </w:pPr>
            <w:r w:rsidRPr="009672E5">
              <w:rPr>
                <w:sz w:val="16"/>
                <w:szCs w:val="16"/>
              </w:rPr>
              <w:t xml:space="preserve">3 </w:t>
            </w:r>
            <w:r w:rsidRPr="009672E5">
              <w:rPr>
                <w:sz w:val="16"/>
                <w:szCs w:val="16"/>
                <w:lang w:val="en-US"/>
              </w:rPr>
              <w:t>827</w:t>
            </w:r>
            <w:r w:rsidRPr="009672E5">
              <w:rPr>
                <w:sz w:val="16"/>
                <w:szCs w:val="16"/>
              </w:rPr>
              <w:t>,5</w:t>
            </w:r>
          </w:p>
        </w:tc>
        <w:tc>
          <w:tcPr>
            <w:tcW w:w="1220" w:type="dxa"/>
            <w:tcBorders>
              <w:top w:val="nil"/>
              <w:left w:val="nil"/>
              <w:bottom w:val="nil"/>
              <w:right w:val="single" w:sz="8" w:space="0" w:color="800000"/>
            </w:tcBorders>
            <w:shd w:val="clear" w:color="000000" w:fill="FFFFCC"/>
            <w:vAlign w:val="bottom"/>
            <w:hideMark/>
          </w:tcPr>
          <w:p w14:paraId="0EF3248C" w14:textId="77777777" w:rsidR="007B386B" w:rsidRPr="009672E5" w:rsidRDefault="007B386B" w:rsidP="00654A69">
            <w:pPr>
              <w:jc w:val="right"/>
              <w:rPr>
                <w:sz w:val="16"/>
                <w:szCs w:val="16"/>
              </w:rPr>
            </w:pPr>
            <w:r w:rsidRPr="009672E5">
              <w:rPr>
                <w:sz w:val="16"/>
                <w:szCs w:val="16"/>
              </w:rPr>
              <w:t>1</w:t>
            </w:r>
            <w:r w:rsidRPr="009672E5">
              <w:rPr>
                <w:sz w:val="16"/>
                <w:szCs w:val="16"/>
                <w:lang w:val="en-US"/>
              </w:rPr>
              <w:t>23</w:t>
            </w:r>
            <w:r w:rsidRPr="009672E5">
              <w:rPr>
                <w:sz w:val="16"/>
                <w:szCs w:val="16"/>
              </w:rPr>
              <w:t>,</w:t>
            </w:r>
            <w:r w:rsidRPr="009672E5">
              <w:rPr>
                <w:sz w:val="16"/>
                <w:szCs w:val="16"/>
                <w:lang w:val="en-US"/>
              </w:rPr>
              <w:t>8</w:t>
            </w:r>
            <w:r w:rsidRPr="009672E5">
              <w:rPr>
                <w:sz w:val="16"/>
                <w:szCs w:val="16"/>
              </w:rPr>
              <w:t>%</w:t>
            </w:r>
          </w:p>
        </w:tc>
        <w:tc>
          <w:tcPr>
            <w:tcW w:w="1380" w:type="dxa"/>
            <w:tcBorders>
              <w:top w:val="nil"/>
              <w:left w:val="nil"/>
              <w:bottom w:val="nil"/>
              <w:right w:val="double" w:sz="6" w:space="0" w:color="800000"/>
            </w:tcBorders>
            <w:shd w:val="clear" w:color="000000" w:fill="FFFFCC"/>
            <w:vAlign w:val="bottom"/>
            <w:hideMark/>
          </w:tcPr>
          <w:p w14:paraId="20CDBEE4" w14:textId="77777777" w:rsidR="007B386B" w:rsidRPr="009672E5" w:rsidRDefault="007B386B" w:rsidP="00654A69">
            <w:pPr>
              <w:jc w:val="right"/>
              <w:rPr>
                <w:sz w:val="16"/>
                <w:szCs w:val="16"/>
              </w:rPr>
            </w:pPr>
            <w:r w:rsidRPr="009672E5">
              <w:rPr>
                <w:sz w:val="16"/>
                <w:szCs w:val="16"/>
                <w:lang w:val="en-US"/>
              </w:rPr>
              <w:t>50</w:t>
            </w:r>
            <w:r w:rsidRPr="009672E5">
              <w:rPr>
                <w:sz w:val="16"/>
                <w:szCs w:val="16"/>
              </w:rPr>
              <w:t>,2%</w:t>
            </w:r>
          </w:p>
        </w:tc>
      </w:tr>
      <w:tr w:rsidR="007B386B" w:rsidRPr="00E56679" w14:paraId="449F41F6" w14:textId="77777777" w:rsidTr="00654A69">
        <w:trPr>
          <w:trHeight w:val="480"/>
        </w:trPr>
        <w:tc>
          <w:tcPr>
            <w:tcW w:w="3560" w:type="dxa"/>
            <w:tcBorders>
              <w:top w:val="nil"/>
              <w:left w:val="double" w:sz="6" w:space="0" w:color="800000"/>
              <w:bottom w:val="nil"/>
              <w:right w:val="single" w:sz="8" w:space="0" w:color="800000"/>
            </w:tcBorders>
            <w:shd w:val="clear" w:color="000000" w:fill="FFFFCC"/>
            <w:vAlign w:val="center"/>
            <w:hideMark/>
          </w:tcPr>
          <w:p w14:paraId="5B5E996D" w14:textId="77777777" w:rsidR="007B386B" w:rsidRPr="009B0286" w:rsidRDefault="007B386B" w:rsidP="00654A69">
            <w:pPr>
              <w:rPr>
                <w:b/>
                <w:bCs/>
                <w:i/>
                <w:iCs/>
                <w:sz w:val="18"/>
                <w:szCs w:val="18"/>
              </w:rPr>
            </w:pPr>
            <w:r w:rsidRPr="009B0286">
              <w:rPr>
                <w:b/>
                <w:bCs/>
                <w:i/>
                <w:iCs/>
                <w:sz w:val="18"/>
                <w:szCs w:val="18"/>
              </w:rPr>
              <w:t>Капиталови разходи и  прираст на държавния  резерв</w:t>
            </w:r>
          </w:p>
        </w:tc>
        <w:tc>
          <w:tcPr>
            <w:tcW w:w="1240" w:type="dxa"/>
            <w:tcBorders>
              <w:top w:val="nil"/>
              <w:left w:val="nil"/>
              <w:bottom w:val="nil"/>
              <w:right w:val="single" w:sz="8" w:space="0" w:color="800000"/>
            </w:tcBorders>
            <w:shd w:val="clear" w:color="000000" w:fill="FFFFCC"/>
            <w:vAlign w:val="bottom"/>
            <w:hideMark/>
          </w:tcPr>
          <w:p w14:paraId="5730CDF4" w14:textId="77777777" w:rsidR="007B386B" w:rsidRPr="009B0286" w:rsidRDefault="007B386B" w:rsidP="00654A69">
            <w:pPr>
              <w:jc w:val="right"/>
              <w:rPr>
                <w:b/>
                <w:bCs/>
                <w:sz w:val="16"/>
                <w:szCs w:val="16"/>
                <w:lang w:val="en-US"/>
              </w:rPr>
            </w:pPr>
            <w:r w:rsidRPr="009B0286">
              <w:rPr>
                <w:b/>
                <w:bCs/>
                <w:sz w:val="16"/>
                <w:szCs w:val="16"/>
              </w:rPr>
              <w:t>2 180,8</w:t>
            </w:r>
          </w:p>
        </w:tc>
        <w:tc>
          <w:tcPr>
            <w:tcW w:w="1180" w:type="dxa"/>
            <w:tcBorders>
              <w:top w:val="nil"/>
              <w:left w:val="nil"/>
              <w:bottom w:val="nil"/>
              <w:right w:val="single" w:sz="8" w:space="0" w:color="800000"/>
            </w:tcBorders>
            <w:shd w:val="clear" w:color="000000" w:fill="FFFFCC"/>
            <w:vAlign w:val="bottom"/>
            <w:hideMark/>
          </w:tcPr>
          <w:p w14:paraId="0659DDF0" w14:textId="77777777" w:rsidR="007B386B" w:rsidRPr="009B0286" w:rsidRDefault="007B386B" w:rsidP="00654A69">
            <w:pPr>
              <w:jc w:val="right"/>
              <w:rPr>
                <w:b/>
                <w:bCs/>
                <w:sz w:val="16"/>
                <w:szCs w:val="16"/>
                <w:lang w:val="en-US"/>
              </w:rPr>
            </w:pPr>
            <w:r w:rsidRPr="009B0286">
              <w:rPr>
                <w:b/>
                <w:bCs/>
                <w:sz w:val="16"/>
                <w:szCs w:val="16"/>
                <w:lang w:val="en-US"/>
              </w:rPr>
              <w:t>10</w:t>
            </w:r>
            <w:r w:rsidRPr="009B0286">
              <w:rPr>
                <w:b/>
                <w:bCs/>
                <w:sz w:val="16"/>
                <w:szCs w:val="16"/>
              </w:rPr>
              <w:t xml:space="preserve"> </w:t>
            </w:r>
            <w:r w:rsidRPr="009B0286">
              <w:rPr>
                <w:b/>
                <w:bCs/>
                <w:sz w:val="16"/>
                <w:szCs w:val="16"/>
                <w:lang w:val="en-US"/>
              </w:rPr>
              <w:t>025</w:t>
            </w:r>
            <w:r w:rsidRPr="009B0286">
              <w:rPr>
                <w:b/>
                <w:bCs/>
                <w:sz w:val="16"/>
                <w:szCs w:val="16"/>
              </w:rPr>
              <w:t>,</w:t>
            </w:r>
            <w:r w:rsidRPr="009B0286">
              <w:rPr>
                <w:b/>
                <w:bCs/>
                <w:sz w:val="16"/>
                <w:szCs w:val="16"/>
                <w:lang w:val="en-US"/>
              </w:rPr>
              <w:t>3</w:t>
            </w:r>
          </w:p>
        </w:tc>
        <w:tc>
          <w:tcPr>
            <w:tcW w:w="1280" w:type="dxa"/>
            <w:tcBorders>
              <w:top w:val="nil"/>
              <w:left w:val="nil"/>
              <w:bottom w:val="nil"/>
              <w:right w:val="single" w:sz="8" w:space="0" w:color="800000"/>
            </w:tcBorders>
            <w:shd w:val="clear" w:color="000000" w:fill="FFFFCC"/>
            <w:vAlign w:val="bottom"/>
            <w:hideMark/>
          </w:tcPr>
          <w:p w14:paraId="40A400ED" w14:textId="77777777" w:rsidR="007B386B" w:rsidRPr="009672E5" w:rsidRDefault="007B386B" w:rsidP="00654A69">
            <w:pPr>
              <w:jc w:val="right"/>
              <w:rPr>
                <w:b/>
                <w:bCs/>
                <w:sz w:val="16"/>
                <w:szCs w:val="16"/>
                <w:lang w:val="en-US"/>
              </w:rPr>
            </w:pPr>
            <w:r w:rsidRPr="009672E5">
              <w:rPr>
                <w:b/>
                <w:bCs/>
                <w:sz w:val="16"/>
                <w:szCs w:val="16"/>
                <w:lang w:val="en-US"/>
              </w:rPr>
              <w:t>1</w:t>
            </w:r>
            <w:r w:rsidRPr="009672E5">
              <w:rPr>
                <w:b/>
                <w:bCs/>
                <w:sz w:val="16"/>
                <w:szCs w:val="16"/>
              </w:rPr>
              <w:t xml:space="preserve"> </w:t>
            </w:r>
            <w:r w:rsidRPr="009672E5">
              <w:rPr>
                <w:b/>
                <w:bCs/>
                <w:sz w:val="16"/>
                <w:szCs w:val="16"/>
                <w:lang w:val="en-US"/>
              </w:rPr>
              <w:t>8</w:t>
            </w:r>
            <w:r w:rsidRPr="009672E5">
              <w:rPr>
                <w:b/>
                <w:bCs/>
                <w:sz w:val="16"/>
                <w:szCs w:val="16"/>
              </w:rPr>
              <w:t>80,</w:t>
            </w:r>
            <w:r w:rsidRPr="009672E5">
              <w:rPr>
                <w:b/>
                <w:bCs/>
                <w:sz w:val="16"/>
                <w:szCs w:val="16"/>
                <w:lang w:val="en-US"/>
              </w:rPr>
              <w:t>0</w:t>
            </w:r>
          </w:p>
        </w:tc>
        <w:tc>
          <w:tcPr>
            <w:tcW w:w="1220" w:type="dxa"/>
            <w:tcBorders>
              <w:top w:val="nil"/>
              <w:left w:val="nil"/>
              <w:bottom w:val="nil"/>
              <w:right w:val="single" w:sz="8" w:space="0" w:color="800000"/>
            </w:tcBorders>
            <w:shd w:val="clear" w:color="000000" w:fill="FFFFCC"/>
            <w:vAlign w:val="bottom"/>
            <w:hideMark/>
          </w:tcPr>
          <w:p w14:paraId="6EC45B89" w14:textId="77777777" w:rsidR="007B386B" w:rsidRPr="009672E5" w:rsidRDefault="007B386B" w:rsidP="00654A69">
            <w:pPr>
              <w:jc w:val="right"/>
              <w:rPr>
                <w:b/>
                <w:bCs/>
                <w:sz w:val="16"/>
                <w:szCs w:val="16"/>
              </w:rPr>
            </w:pPr>
            <w:r w:rsidRPr="009672E5">
              <w:rPr>
                <w:b/>
                <w:bCs/>
                <w:sz w:val="16"/>
                <w:szCs w:val="16"/>
                <w:lang w:val="en-US"/>
              </w:rPr>
              <w:t>86</w:t>
            </w:r>
            <w:r w:rsidRPr="009672E5">
              <w:rPr>
                <w:b/>
                <w:bCs/>
                <w:sz w:val="16"/>
                <w:szCs w:val="16"/>
              </w:rPr>
              <w:t>,2%</w:t>
            </w:r>
          </w:p>
        </w:tc>
        <w:tc>
          <w:tcPr>
            <w:tcW w:w="1380" w:type="dxa"/>
            <w:tcBorders>
              <w:top w:val="nil"/>
              <w:left w:val="nil"/>
              <w:bottom w:val="nil"/>
              <w:right w:val="double" w:sz="6" w:space="0" w:color="800000"/>
            </w:tcBorders>
            <w:shd w:val="clear" w:color="000000" w:fill="FFFFCC"/>
            <w:vAlign w:val="bottom"/>
            <w:hideMark/>
          </w:tcPr>
          <w:p w14:paraId="7DF895FF" w14:textId="77777777" w:rsidR="007B386B" w:rsidRPr="009672E5" w:rsidRDefault="007B386B" w:rsidP="00654A69">
            <w:pPr>
              <w:jc w:val="right"/>
              <w:rPr>
                <w:b/>
                <w:bCs/>
                <w:sz w:val="16"/>
                <w:szCs w:val="16"/>
              </w:rPr>
            </w:pPr>
            <w:r w:rsidRPr="009672E5">
              <w:rPr>
                <w:b/>
                <w:bCs/>
                <w:sz w:val="16"/>
                <w:szCs w:val="16"/>
                <w:lang w:val="en-US"/>
              </w:rPr>
              <w:t>18</w:t>
            </w:r>
            <w:r w:rsidRPr="009672E5">
              <w:rPr>
                <w:b/>
                <w:bCs/>
                <w:sz w:val="16"/>
                <w:szCs w:val="16"/>
              </w:rPr>
              <w:t>,8%</w:t>
            </w:r>
          </w:p>
        </w:tc>
      </w:tr>
      <w:tr w:rsidR="007B386B" w:rsidRPr="00E56679" w14:paraId="5ED13DA6" w14:textId="77777777" w:rsidTr="00654A69">
        <w:trPr>
          <w:trHeight w:val="482"/>
        </w:trPr>
        <w:tc>
          <w:tcPr>
            <w:tcW w:w="3560" w:type="dxa"/>
            <w:tcBorders>
              <w:top w:val="nil"/>
              <w:left w:val="double" w:sz="6" w:space="0" w:color="800000"/>
              <w:bottom w:val="nil"/>
              <w:right w:val="single" w:sz="8" w:space="0" w:color="800000"/>
            </w:tcBorders>
            <w:shd w:val="clear" w:color="000000" w:fill="FFFFCC"/>
            <w:vAlign w:val="center"/>
          </w:tcPr>
          <w:p w14:paraId="2CB24A9E" w14:textId="77777777" w:rsidR="007B386B" w:rsidRPr="009B0286" w:rsidRDefault="007B386B" w:rsidP="00654A69">
            <w:pPr>
              <w:rPr>
                <w:b/>
                <w:bCs/>
                <w:i/>
                <w:sz w:val="18"/>
                <w:szCs w:val="18"/>
              </w:rPr>
            </w:pPr>
            <w:r w:rsidRPr="009B0286">
              <w:rPr>
                <w:b/>
                <w:bCs/>
                <w:i/>
                <w:sz w:val="18"/>
                <w:szCs w:val="18"/>
              </w:rPr>
              <w:t>Предоставени текущи и капиталови трансфери за чужбина</w:t>
            </w:r>
          </w:p>
        </w:tc>
        <w:tc>
          <w:tcPr>
            <w:tcW w:w="1240" w:type="dxa"/>
            <w:tcBorders>
              <w:top w:val="nil"/>
              <w:left w:val="nil"/>
              <w:bottom w:val="nil"/>
              <w:right w:val="single" w:sz="8" w:space="0" w:color="800000"/>
            </w:tcBorders>
            <w:shd w:val="clear" w:color="000000" w:fill="FFFFCC"/>
            <w:vAlign w:val="bottom"/>
          </w:tcPr>
          <w:p w14:paraId="4EE5577B" w14:textId="77777777" w:rsidR="007B386B" w:rsidRPr="009B0286" w:rsidRDefault="007B386B" w:rsidP="00654A69">
            <w:pPr>
              <w:jc w:val="right"/>
              <w:rPr>
                <w:b/>
                <w:bCs/>
                <w:sz w:val="16"/>
                <w:szCs w:val="16"/>
              </w:rPr>
            </w:pPr>
            <w:r w:rsidRPr="009B0286">
              <w:rPr>
                <w:b/>
                <w:bCs/>
                <w:sz w:val="16"/>
                <w:szCs w:val="16"/>
              </w:rPr>
              <w:t>34,1</w:t>
            </w:r>
          </w:p>
        </w:tc>
        <w:tc>
          <w:tcPr>
            <w:tcW w:w="1180" w:type="dxa"/>
            <w:tcBorders>
              <w:top w:val="nil"/>
              <w:left w:val="nil"/>
              <w:bottom w:val="nil"/>
              <w:right w:val="single" w:sz="8" w:space="0" w:color="800000"/>
            </w:tcBorders>
            <w:shd w:val="clear" w:color="000000" w:fill="FFFFCC"/>
            <w:vAlign w:val="bottom"/>
          </w:tcPr>
          <w:p w14:paraId="4F59D97B" w14:textId="77777777" w:rsidR="007B386B" w:rsidRPr="009B0286" w:rsidRDefault="007B386B" w:rsidP="00654A69">
            <w:pPr>
              <w:jc w:val="right"/>
              <w:rPr>
                <w:b/>
                <w:bCs/>
                <w:sz w:val="16"/>
                <w:szCs w:val="16"/>
                <w:lang w:val="en-US"/>
              </w:rPr>
            </w:pPr>
            <w:r w:rsidRPr="009B0286">
              <w:rPr>
                <w:b/>
                <w:bCs/>
                <w:sz w:val="16"/>
                <w:szCs w:val="16"/>
              </w:rPr>
              <w:t>2</w:t>
            </w:r>
            <w:r w:rsidRPr="009B0286">
              <w:rPr>
                <w:b/>
                <w:bCs/>
                <w:sz w:val="16"/>
                <w:szCs w:val="16"/>
                <w:lang w:val="en-US"/>
              </w:rPr>
              <w:t>7</w:t>
            </w:r>
            <w:r w:rsidRPr="009B0286">
              <w:rPr>
                <w:b/>
                <w:bCs/>
                <w:sz w:val="16"/>
                <w:szCs w:val="16"/>
              </w:rPr>
              <w:t>,</w:t>
            </w:r>
            <w:r w:rsidRPr="009B0286">
              <w:rPr>
                <w:b/>
                <w:bCs/>
                <w:sz w:val="16"/>
                <w:szCs w:val="16"/>
                <w:lang w:val="en-US"/>
              </w:rPr>
              <w:t>5</w:t>
            </w:r>
          </w:p>
        </w:tc>
        <w:tc>
          <w:tcPr>
            <w:tcW w:w="1280" w:type="dxa"/>
            <w:tcBorders>
              <w:top w:val="nil"/>
              <w:left w:val="nil"/>
              <w:bottom w:val="nil"/>
              <w:right w:val="single" w:sz="8" w:space="0" w:color="800000"/>
            </w:tcBorders>
            <w:shd w:val="clear" w:color="000000" w:fill="FFFFCC"/>
            <w:vAlign w:val="bottom"/>
          </w:tcPr>
          <w:p w14:paraId="44F92EAE" w14:textId="77777777" w:rsidR="007B386B" w:rsidRPr="009672E5" w:rsidRDefault="007B386B" w:rsidP="00654A69">
            <w:pPr>
              <w:jc w:val="right"/>
              <w:rPr>
                <w:b/>
                <w:bCs/>
                <w:sz w:val="16"/>
                <w:szCs w:val="16"/>
                <w:lang w:val="en-US"/>
              </w:rPr>
            </w:pPr>
            <w:r w:rsidRPr="009672E5">
              <w:rPr>
                <w:b/>
                <w:bCs/>
                <w:sz w:val="16"/>
                <w:szCs w:val="16"/>
                <w:lang w:val="en-US"/>
              </w:rPr>
              <w:t>19</w:t>
            </w:r>
            <w:r w:rsidRPr="009672E5">
              <w:rPr>
                <w:b/>
                <w:bCs/>
                <w:sz w:val="16"/>
                <w:szCs w:val="16"/>
              </w:rPr>
              <w:t>,</w:t>
            </w:r>
            <w:r w:rsidRPr="009672E5">
              <w:rPr>
                <w:b/>
                <w:bCs/>
                <w:sz w:val="16"/>
                <w:szCs w:val="16"/>
                <w:lang w:val="en-US"/>
              </w:rPr>
              <w:t>2</w:t>
            </w:r>
          </w:p>
        </w:tc>
        <w:tc>
          <w:tcPr>
            <w:tcW w:w="1220" w:type="dxa"/>
            <w:tcBorders>
              <w:top w:val="nil"/>
              <w:left w:val="nil"/>
              <w:bottom w:val="nil"/>
              <w:right w:val="single" w:sz="8" w:space="0" w:color="800000"/>
            </w:tcBorders>
            <w:shd w:val="clear" w:color="000000" w:fill="FFFFCC"/>
            <w:vAlign w:val="bottom"/>
          </w:tcPr>
          <w:p w14:paraId="2680B1BD" w14:textId="77777777" w:rsidR="007B386B" w:rsidRPr="009672E5" w:rsidRDefault="007B386B" w:rsidP="00654A69">
            <w:pPr>
              <w:jc w:val="right"/>
              <w:rPr>
                <w:b/>
                <w:bCs/>
                <w:sz w:val="16"/>
                <w:szCs w:val="16"/>
              </w:rPr>
            </w:pPr>
            <w:r w:rsidRPr="009672E5">
              <w:rPr>
                <w:b/>
                <w:bCs/>
                <w:sz w:val="16"/>
                <w:szCs w:val="16"/>
                <w:lang w:val="en-US"/>
              </w:rPr>
              <w:t>56</w:t>
            </w:r>
            <w:r w:rsidRPr="009672E5">
              <w:rPr>
                <w:b/>
                <w:bCs/>
                <w:sz w:val="16"/>
                <w:szCs w:val="16"/>
              </w:rPr>
              <w:t>,</w:t>
            </w:r>
            <w:r w:rsidRPr="009672E5">
              <w:rPr>
                <w:b/>
                <w:bCs/>
                <w:sz w:val="16"/>
                <w:szCs w:val="16"/>
                <w:lang w:val="en-US"/>
              </w:rPr>
              <w:t>5</w:t>
            </w:r>
            <w:r w:rsidRPr="009672E5">
              <w:rPr>
                <w:b/>
                <w:bCs/>
                <w:sz w:val="16"/>
                <w:szCs w:val="16"/>
              </w:rPr>
              <w:t>%</w:t>
            </w:r>
          </w:p>
        </w:tc>
        <w:tc>
          <w:tcPr>
            <w:tcW w:w="1380" w:type="dxa"/>
            <w:tcBorders>
              <w:top w:val="nil"/>
              <w:left w:val="nil"/>
              <w:bottom w:val="nil"/>
              <w:right w:val="double" w:sz="6" w:space="0" w:color="800000"/>
            </w:tcBorders>
            <w:shd w:val="clear" w:color="000000" w:fill="FFFFCC"/>
            <w:vAlign w:val="bottom"/>
          </w:tcPr>
          <w:p w14:paraId="322F620C" w14:textId="77777777" w:rsidR="007B386B" w:rsidRPr="009672E5" w:rsidRDefault="007B386B" w:rsidP="00654A69">
            <w:pPr>
              <w:jc w:val="right"/>
              <w:rPr>
                <w:b/>
                <w:bCs/>
                <w:sz w:val="16"/>
                <w:szCs w:val="16"/>
              </w:rPr>
            </w:pPr>
            <w:r w:rsidRPr="009672E5">
              <w:rPr>
                <w:b/>
                <w:bCs/>
                <w:sz w:val="16"/>
                <w:szCs w:val="16"/>
              </w:rPr>
              <w:t>6</w:t>
            </w:r>
            <w:r w:rsidRPr="009672E5">
              <w:rPr>
                <w:b/>
                <w:bCs/>
                <w:sz w:val="16"/>
                <w:szCs w:val="16"/>
                <w:lang w:val="en-US"/>
              </w:rPr>
              <w:t>9</w:t>
            </w:r>
            <w:r w:rsidRPr="009672E5">
              <w:rPr>
                <w:b/>
                <w:bCs/>
                <w:sz w:val="16"/>
                <w:szCs w:val="16"/>
              </w:rPr>
              <w:t>,</w:t>
            </w:r>
            <w:r w:rsidRPr="009672E5">
              <w:rPr>
                <w:b/>
                <w:bCs/>
                <w:sz w:val="16"/>
                <w:szCs w:val="16"/>
                <w:lang w:val="en-US"/>
              </w:rPr>
              <w:t>9</w:t>
            </w:r>
            <w:r w:rsidRPr="009672E5">
              <w:rPr>
                <w:b/>
                <w:bCs/>
                <w:sz w:val="16"/>
                <w:szCs w:val="16"/>
              </w:rPr>
              <w:t>%</w:t>
            </w:r>
          </w:p>
        </w:tc>
      </w:tr>
      <w:tr w:rsidR="007B386B" w:rsidRPr="00E56679" w14:paraId="00553735" w14:textId="77777777" w:rsidTr="00654A69">
        <w:trPr>
          <w:trHeight w:val="482"/>
        </w:trPr>
        <w:tc>
          <w:tcPr>
            <w:tcW w:w="3560" w:type="dxa"/>
            <w:tcBorders>
              <w:top w:val="nil"/>
              <w:left w:val="double" w:sz="6" w:space="0" w:color="800000"/>
              <w:bottom w:val="nil"/>
              <w:right w:val="single" w:sz="8" w:space="0" w:color="800000"/>
            </w:tcBorders>
            <w:shd w:val="clear" w:color="000000" w:fill="FFFFCC"/>
            <w:vAlign w:val="center"/>
            <w:hideMark/>
          </w:tcPr>
          <w:p w14:paraId="1C36FA99" w14:textId="77777777" w:rsidR="007B386B" w:rsidRPr="009B0286" w:rsidRDefault="007B386B" w:rsidP="00654A69">
            <w:pPr>
              <w:rPr>
                <w:b/>
                <w:bCs/>
                <w:sz w:val="18"/>
                <w:szCs w:val="18"/>
              </w:rPr>
            </w:pPr>
            <w:r w:rsidRPr="009B0286">
              <w:rPr>
                <w:b/>
                <w:bCs/>
                <w:sz w:val="18"/>
                <w:szCs w:val="18"/>
              </w:rPr>
              <w:t xml:space="preserve">  Резерв за неотложни и непредвидени разходи</w:t>
            </w:r>
          </w:p>
        </w:tc>
        <w:tc>
          <w:tcPr>
            <w:tcW w:w="1240" w:type="dxa"/>
            <w:tcBorders>
              <w:top w:val="nil"/>
              <w:left w:val="nil"/>
              <w:bottom w:val="nil"/>
              <w:right w:val="single" w:sz="8" w:space="0" w:color="800000"/>
            </w:tcBorders>
            <w:shd w:val="clear" w:color="000000" w:fill="FFFFCC"/>
            <w:vAlign w:val="bottom"/>
            <w:hideMark/>
          </w:tcPr>
          <w:p w14:paraId="04388BA3" w14:textId="77777777" w:rsidR="007B386B" w:rsidRPr="009B0286" w:rsidRDefault="007B386B" w:rsidP="00654A69">
            <w:pPr>
              <w:jc w:val="right"/>
              <w:rPr>
                <w:b/>
                <w:bCs/>
                <w:sz w:val="16"/>
                <w:szCs w:val="16"/>
              </w:rPr>
            </w:pPr>
            <w:r w:rsidRPr="009B0286">
              <w:rPr>
                <w:b/>
                <w:bCs/>
                <w:sz w:val="16"/>
                <w:szCs w:val="16"/>
              </w:rPr>
              <w:t> </w:t>
            </w:r>
          </w:p>
        </w:tc>
        <w:tc>
          <w:tcPr>
            <w:tcW w:w="1180" w:type="dxa"/>
            <w:tcBorders>
              <w:top w:val="nil"/>
              <w:left w:val="nil"/>
              <w:bottom w:val="nil"/>
              <w:right w:val="single" w:sz="8" w:space="0" w:color="800000"/>
            </w:tcBorders>
            <w:shd w:val="clear" w:color="000000" w:fill="FFFFCC"/>
            <w:vAlign w:val="bottom"/>
            <w:hideMark/>
          </w:tcPr>
          <w:p w14:paraId="0851ADB5" w14:textId="77777777" w:rsidR="007B386B" w:rsidRPr="009B0286" w:rsidRDefault="007B386B" w:rsidP="00654A69">
            <w:pPr>
              <w:jc w:val="right"/>
              <w:rPr>
                <w:b/>
                <w:bCs/>
                <w:sz w:val="16"/>
                <w:szCs w:val="16"/>
                <w:lang w:val="en-US"/>
              </w:rPr>
            </w:pPr>
            <w:r w:rsidRPr="009B0286">
              <w:rPr>
                <w:b/>
                <w:bCs/>
                <w:sz w:val="16"/>
                <w:szCs w:val="16"/>
              </w:rPr>
              <w:t>3</w:t>
            </w:r>
            <w:r w:rsidRPr="009B0286">
              <w:rPr>
                <w:b/>
                <w:bCs/>
                <w:sz w:val="16"/>
                <w:szCs w:val="16"/>
                <w:lang w:val="en-US"/>
              </w:rPr>
              <w:t>70</w:t>
            </w:r>
            <w:r w:rsidRPr="009B0286">
              <w:rPr>
                <w:b/>
                <w:bCs/>
                <w:sz w:val="16"/>
                <w:szCs w:val="16"/>
              </w:rPr>
              <w:t>,</w:t>
            </w:r>
            <w:r w:rsidRPr="009B0286">
              <w:rPr>
                <w:b/>
                <w:bCs/>
                <w:sz w:val="16"/>
                <w:szCs w:val="16"/>
                <w:lang w:val="en-US"/>
              </w:rPr>
              <w:t>2</w:t>
            </w:r>
          </w:p>
        </w:tc>
        <w:tc>
          <w:tcPr>
            <w:tcW w:w="1280" w:type="dxa"/>
            <w:tcBorders>
              <w:top w:val="nil"/>
              <w:left w:val="nil"/>
              <w:bottom w:val="nil"/>
              <w:right w:val="single" w:sz="8" w:space="0" w:color="800000"/>
            </w:tcBorders>
            <w:shd w:val="clear" w:color="000000" w:fill="FFFFCC"/>
            <w:vAlign w:val="bottom"/>
            <w:hideMark/>
          </w:tcPr>
          <w:p w14:paraId="4081A2CA" w14:textId="77777777" w:rsidR="007B386B" w:rsidRPr="009672E5" w:rsidRDefault="007B386B" w:rsidP="00654A69">
            <w:pPr>
              <w:jc w:val="right"/>
              <w:rPr>
                <w:b/>
                <w:bCs/>
                <w:sz w:val="16"/>
                <w:szCs w:val="16"/>
              </w:rPr>
            </w:pPr>
            <w:r w:rsidRPr="009672E5">
              <w:rPr>
                <w:b/>
                <w:bCs/>
                <w:sz w:val="16"/>
                <w:szCs w:val="16"/>
              </w:rPr>
              <w:t> </w:t>
            </w:r>
          </w:p>
        </w:tc>
        <w:tc>
          <w:tcPr>
            <w:tcW w:w="1220" w:type="dxa"/>
            <w:tcBorders>
              <w:top w:val="nil"/>
              <w:left w:val="nil"/>
              <w:bottom w:val="nil"/>
              <w:right w:val="single" w:sz="8" w:space="0" w:color="800000"/>
            </w:tcBorders>
            <w:shd w:val="clear" w:color="000000" w:fill="FFFFCC"/>
            <w:vAlign w:val="bottom"/>
            <w:hideMark/>
          </w:tcPr>
          <w:p w14:paraId="484EF566" w14:textId="77777777" w:rsidR="007B386B" w:rsidRPr="009672E5" w:rsidRDefault="007B386B" w:rsidP="00654A69">
            <w:pPr>
              <w:jc w:val="right"/>
              <w:rPr>
                <w:b/>
                <w:bCs/>
                <w:sz w:val="16"/>
                <w:szCs w:val="16"/>
              </w:rPr>
            </w:pPr>
            <w:r w:rsidRPr="009672E5">
              <w:rPr>
                <w:b/>
                <w:bCs/>
                <w:sz w:val="16"/>
                <w:szCs w:val="16"/>
              </w:rPr>
              <w:t> </w:t>
            </w:r>
          </w:p>
        </w:tc>
        <w:tc>
          <w:tcPr>
            <w:tcW w:w="1380" w:type="dxa"/>
            <w:tcBorders>
              <w:top w:val="nil"/>
              <w:left w:val="nil"/>
              <w:bottom w:val="nil"/>
              <w:right w:val="double" w:sz="6" w:space="0" w:color="800000"/>
            </w:tcBorders>
            <w:shd w:val="clear" w:color="000000" w:fill="FFFFCC"/>
            <w:vAlign w:val="bottom"/>
            <w:hideMark/>
          </w:tcPr>
          <w:p w14:paraId="182937FA" w14:textId="77777777" w:rsidR="007B386B" w:rsidRPr="009672E5" w:rsidRDefault="007B386B" w:rsidP="00654A69">
            <w:pPr>
              <w:jc w:val="right"/>
              <w:rPr>
                <w:b/>
                <w:bCs/>
                <w:sz w:val="16"/>
                <w:szCs w:val="16"/>
              </w:rPr>
            </w:pPr>
            <w:r w:rsidRPr="009672E5">
              <w:rPr>
                <w:b/>
                <w:bCs/>
                <w:sz w:val="16"/>
                <w:szCs w:val="16"/>
              </w:rPr>
              <w:t> </w:t>
            </w:r>
          </w:p>
        </w:tc>
      </w:tr>
      <w:tr w:rsidR="007B386B" w:rsidRPr="00E56679" w14:paraId="31E810F1" w14:textId="77777777" w:rsidTr="00654A69">
        <w:trPr>
          <w:trHeight w:val="480"/>
        </w:trPr>
        <w:tc>
          <w:tcPr>
            <w:tcW w:w="3560" w:type="dxa"/>
            <w:tcBorders>
              <w:top w:val="nil"/>
              <w:left w:val="double" w:sz="6" w:space="0" w:color="800000"/>
              <w:bottom w:val="nil"/>
              <w:right w:val="single" w:sz="8" w:space="0" w:color="800000"/>
            </w:tcBorders>
            <w:shd w:val="clear" w:color="000000" w:fill="FFFFCC"/>
            <w:vAlign w:val="center"/>
            <w:hideMark/>
          </w:tcPr>
          <w:p w14:paraId="6033A75F" w14:textId="77777777" w:rsidR="007B386B" w:rsidRPr="009B0286" w:rsidRDefault="007B386B" w:rsidP="00654A69">
            <w:pPr>
              <w:rPr>
                <w:b/>
                <w:bCs/>
                <w:sz w:val="18"/>
                <w:szCs w:val="18"/>
              </w:rPr>
            </w:pPr>
            <w:r w:rsidRPr="009B0286">
              <w:rPr>
                <w:b/>
                <w:bCs/>
                <w:sz w:val="18"/>
                <w:szCs w:val="18"/>
              </w:rPr>
              <w:t xml:space="preserve">  Лихвени разходи</w:t>
            </w:r>
          </w:p>
        </w:tc>
        <w:tc>
          <w:tcPr>
            <w:tcW w:w="1240" w:type="dxa"/>
            <w:tcBorders>
              <w:top w:val="nil"/>
              <w:left w:val="nil"/>
              <w:bottom w:val="nil"/>
              <w:right w:val="single" w:sz="8" w:space="0" w:color="800000"/>
            </w:tcBorders>
            <w:shd w:val="clear" w:color="000000" w:fill="FFFFCC"/>
            <w:vAlign w:val="center"/>
            <w:hideMark/>
          </w:tcPr>
          <w:p w14:paraId="38A8CD6B" w14:textId="77777777" w:rsidR="007B386B" w:rsidRPr="009B0286" w:rsidRDefault="007B386B" w:rsidP="00654A69">
            <w:pPr>
              <w:jc w:val="right"/>
              <w:rPr>
                <w:b/>
                <w:bCs/>
                <w:sz w:val="16"/>
                <w:szCs w:val="16"/>
                <w:lang w:val="en-US"/>
              </w:rPr>
            </w:pPr>
            <w:r w:rsidRPr="009B0286">
              <w:rPr>
                <w:b/>
                <w:bCs/>
                <w:sz w:val="16"/>
                <w:szCs w:val="16"/>
              </w:rPr>
              <w:t>349,6</w:t>
            </w:r>
          </w:p>
        </w:tc>
        <w:tc>
          <w:tcPr>
            <w:tcW w:w="1180" w:type="dxa"/>
            <w:tcBorders>
              <w:top w:val="nil"/>
              <w:left w:val="nil"/>
              <w:bottom w:val="nil"/>
              <w:right w:val="single" w:sz="8" w:space="0" w:color="800000"/>
            </w:tcBorders>
            <w:shd w:val="clear" w:color="000000" w:fill="FFFFCC"/>
            <w:vAlign w:val="bottom"/>
            <w:hideMark/>
          </w:tcPr>
          <w:p w14:paraId="3EDD44EF" w14:textId="77777777" w:rsidR="007B386B" w:rsidRPr="009B0286" w:rsidRDefault="007B386B" w:rsidP="00654A69">
            <w:pPr>
              <w:jc w:val="right"/>
              <w:rPr>
                <w:b/>
                <w:bCs/>
                <w:sz w:val="16"/>
                <w:szCs w:val="16"/>
                <w:lang w:val="en-US"/>
              </w:rPr>
            </w:pPr>
            <w:r w:rsidRPr="009B0286">
              <w:rPr>
                <w:b/>
                <w:bCs/>
                <w:sz w:val="16"/>
                <w:szCs w:val="16"/>
                <w:lang w:val="en-US"/>
              </w:rPr>
              <w:t>1 010</w:t>
            </w:r>
            <w:r w:rsidRPr="009B0286">
              <w:rPr>
                <w:b/>
                <w:bCs/>
                <w:sz w:val="16"/>
                <w:szCs w:val="16"/>
              </w:rPr>
              <w:t>,</w:t>
            </w:r>
            <w:r w:rsidRPr="009B0286">
              <w:rPr>
                <w:b/>
                <w:bCs/>
                <w:sz w:val="16"/>
                <w:szCs w:val="16"/>
                <w:lang w:val="en-US"/>
              </w:rPr>
              <w:t>6</w:t>
            </w:r>
          </w:p>
          <w:p w14:paraId="49AA4E1B" w14:textId="77777777" w:rsidR="007B386B" w:rsidRPr="009B0286" w:rsidRDefault="007B386B" w:rsidP="00654A69">
            <w:pPr>
              <w:jc w:val="right"/>
              <w:rPr>
                <w:b/>
                <w:bCs/>
                <w:sz w:val="16"/>
                <w:szCs w:val="16"/>
              </w:rPr>
            </w:pPr>
          </w:p>
        </w:tc>
        <w:tc>
          <w:tcPr>
            <w:tcW w:w="1280" w:type="dxa"/>
            <w:tcBorders>
              <w:top w:val="nil"/>
              <w:left w:val="nil"/>
              <w:bottom w:val="nil"/>
              <w:right w:val="single" w:sz="8" w:space="0" w:color="800000"/>
            </w:tcBorders>
            <w:shd w:val="clear" w:color="000000" w:fill="FFFFCC"/>
            <w:vAlign w:val="center"/>
            <w:hideMark/>
          </w:tcPr>
          <w:p w14:paraId="25832E03" w14:textId="77777777" w:rsidR="007B386B" w:rsidRPr="009672E5" w:rsidRDefault="007B386B" w:rsidP="00654A69">
            <w:pPr>
              <w:jc w:val="right"/>
              <w:rPr>
                <w:b/>
                <w:bCs/>
                <w:sz w:val="16"/>
                <w:szCs w:val="16"/>
                <w:lang w:val="en-US"/>
              </w:rPr>
            </w:pPr>
            <w:r w:rsidRPr="009672E5">
              <w:rPr>
                <w:b/>
                <w:bCs/>
                <w:sz w:val="16"/>
                <w:szCs w:val="16"/>
              </w:rPr>
              <w:t>49</w:t>
            </w:r>
            <w:r w:rsidRPr="009672E5">
              <w:rPr>
                <w:b/>
                <w:bCs/>
                <w:sz w:val="16"/>
                <w:szCs w:val="16"/>
                <w:lang w:val="en-US"/>
              </w:rPr>
              <w:t>7</w:t>
            </w:r>
            <w:r w:rsidRPr="009672E5">
              <w:rPr>
                <w:b/>
                <w:bCs/>
                <w:sz w:val="16"/>
                <w:szCs w:val="16"/>
              </w:rPr>
              <w:t>,</w:t>
            </w:r>
            <w:r w:rsidRPr="009672E5">
              <w:rPr>
                <w:b/>
                <w:bCs/>
                <w:sz w:val="16"/>
                <w:szCs w:val="16"/>
                <w:lang w:val="en-US"/>
              </w:rPr>
              <w:t>2</w:t>
            </w:r>
          </w:p>
        </w:tc>
        <w:tc>
          <w:tcPr>
            <w:tcW w:w="1220" w:type="dxa"/>
            <w:tcBorders>
              <w:top w:val="nil"/>
              <w:left w:val="nil"/>
              <w:bottom w:val="nil"/>
              <w:right w:val="single" w:sz="8" w:space="0" w:color="800000"/>
            </w:tcBorders>
            <w:shd w:val="clear" w:color="000000" w:fill="FFFFCC"/>
            <w:vAlign w:val="center"/>
            <w:hideMark/>
          </w:tcPr>
          <w:p w14:paraId="3488F884" w14:textId="77777777" w:rsidR="007B386B" w:rsidRPr="009672E5" w:rsidRDefault="007B386B" w:rsidP="00654A69">
            <w:pPr>
              <w:jc w:val="right"/>
              <w:rPr>
                <w:b/>
                <w:bCs/>
                <w:sz w:val="16"/>
                <w:szCs w:val="16"/>
              </w:rPr>
            </w:pPr>
            <w:r w:rsidRPr="009672E5">
              <w:rPr>
                <w:b/>
                <w:bCs/>
                <w:sz w:val="16"/>
                <w:szCs w:val="16"/>
                <w:lang w:val="en-US"/>
              </w:rPr>
              <w:t>142</w:t>
            </w:r>
            <w:r w:rsidRPr="009672E5">
              <w:rPr>
                <w:b/>
                <w:bCs/>
                <w:sz w:val="16"/>
                <w:szCs w:val="16"/>
              </w:rPr>
              <w:t>,</w:t>
            </w:r>
            <w:r w:rsidRPr="009672E5">
              <w:rPr>
                <w:b/>
                <w:bCs/>
                <w:sz w:val="16"/>
                <w:szCs w:val="16"/>
                <w:lang w:val="en-US"/>
              </w:rPr>
              <w:t>2</w:t>
            </w:r>
            <w:r w:rsidRPr="009672E5">
              <w:rPr>
                <w:b/>
                <w:bCs/>
                <w:sz w:val="16"/>
                <w:szCs w:val="16"/>
              </w:rPr>
              <w:t>%</w:t>
            </w:r>
          </w:p>
        </w:tc>
        <w:tc>
          <w:tcPr>
            <w:tcW w:w="1380" w:type="dxa"/>
            <w:tcBorders>
              <w:top w:val="nil"/>
              <w:left w:val="nil"/>
              <w:bottom w:val="nil"/>
              <w:right w:val="double" w:sz="6" w:space="0" w:color="800000"/>
            </w:tcBorders>
            <w:shd w:val="clear" w:color="000000" w:fill="FFFFCC"/>
            <w:vAlign w:val="center"/>
            <w:hideMark/>
          </w:tcPr>
          <w:p w14:paraId="05B2A81D" w14:textId="77777777" w:rsidR="007B386B" w:rsidRPr="009672E5" w:rsidRDefault="007B386B" w:rsidP="00654A69">
            <w:pPr>
              <w:jc w:val="right"/>
              <w:rPr>
                <w:b/>
                <w:bCs/>
                <w:sz w:val="16"/>
                <w:szCs w:val="16"/>
              </w:rPr>
            </w:pPr>
            <w:r w:rsidRPr="009672E5">
              <w:rPr>
                <w:b/>
                <w:bCs/>
                <w:sz w:val="16"/>
                <w:szCs w:val="16"/>
              </w:rPr>
              <w:t>4</w:t>
            </w:r>
            <w:r w:rsidRPr="009672E5">
              <w:rPr>
                <w:b/>
                <w:bCs/>
                <w:sz w:val="16"/>
                <w:szCs w:val="16"/>
                <w:lang w:val="en-US"/>
              </w:rPr>
              <w:t>9</w:t>
            </w:r>
            <w:r w:rsidRPr="009672E5">
              <w:rPr>
                <w:b/>
                <w:bCs/>
                <w:sz w:val="16"/>
                <w:szCs w:val="16"/>
              </w:rPr>
              <w:t>,</w:t>
            </w:r>
            <w:r w:rsidRPr="009672E5">
              <w:rPr>
                <w:b/>
                <w:bCs/>
                <w:sz w:val="16"/>
                <w:szCs w:val="16"/>
                <w:lang w:val="en-US"/>
              </w:rPr>
              <w:t>2</w:t>
            </w:r>
            <w:r w:rsidRPr="009672E5">
              <w:rPr>
                <w:b/>
                <w:bCs/>
                <w:sz w:val="16"/>
                <w:szCs w:val="16"/>
              </w:rPr>
              <w:t>%</w:t>
            </w:r>
          </w:p>
        </w:tc>
      </w:tr>
      <w:tr w:rsidR="007B386B" w:rsidRPr="00E56679" w14:paraId="0726ECAE" w14:textId="77777777" w:rsidTr="00654A69">
        <w:trPr>
          <w:trHeight w:val="270"/>
        </w:trPr>
        <w:tc>
          <w:tcPr>
            <w:tcW w:w="3560" w:type="dxa"/>
            <w:tcBorders>
              <w:top w:val="nil"/>
              <w:left w:val="double" w:sz="6" w:space="0" w:color="800000"/>
              <w:bottom w:val="double" w:sz="6" w:space="0" w:color="800000"/>
              <w:right w:val="single" w:sz="8" w:space="0" w:color="800000"/>
            </w:tcBorders>
            <w:shd w:val="clear" w:color="000000" w:fill="FFFFCC"/>
            <w:vAlign w:val="center"/>
            <w:hideMark/>
          </w:tcPr>
          <w:p w14:paraId="2EDEAE11" w14:textId="77777777" w:rsidR="007B386B" w:rsidRPr="009B0286" w:rsidRDefault="007B386B" w:rsidP="00654A69">
            <w:pPr>
              <w:rPr>
                <w:b/>
                <w:bCs/>
                <w:sz w:val="18"/>
                <w:szCs w:val="18"/>
              </w:rPr>
            </w:pPr>
            <w:r w:rsidRPr="009B0286">
              <w:rPr>
                <w:b/>
                <w:bCs/>
                <w:sz w:val="18"/>
                <w:szCs w:val="18"/>
              </w:rPr>
              <w:t xml:space="preserve">  Вноска за бюджета на ЕС</w:t>
            </w:r>
          </w:p>
        </w:tc>
        <w:tc>
          <w:tcPr>
            <w:tcW w:w="1240" w:type="dxa"/>
            <w:tcBorders>
              <w:top w:val="nil"/>
              <w:left w:val="nil"/>
              <w:bottom w:val="double" w:sz="6" w:space="0" w:color="800000"/>
              <w:right w:val="single" w:sz="8" w:space="0" w:color="800000"/>
            </w:tcBorders>
            <w:shd w:val="clear" w:color="000000" w:fill="FFFFCC"/>
            <w:vAlign w:val="bottom"/>
            <w:hideMark/>
          </w:tcPr>
          <w:p w14:paraId="2FC884B7" w14:textId="77777777" w:rsidR="007B386B" w:rsidRPr="009B0286" w:rsidRDefault="007B386B" w:rsidP="00654A69">
            <w:pPr>
              <w:jc w:val="right"/>
              <w:rPr>
                <w:b/>
                <w:bCs/>
                <w:sz w:val="16"/>
                <w:szCs w:val="16"/>
                <w:lang w:val="en-US"/>
              </w:rPr>
            </w:pPr>
            <w:r w:rsidRPr="009B0286">
              <w:rPr>
                <w:b/>
                <w:bCs/>
                <w:sz w:val="16"/>
                <w:szCs w:val="16"/>
              </w:rPr>
              <w:t>847,6</w:t>
            </w:r>
          </w:p>
        </w:tc>
        <w:tc>
          <w:tcPr>
            <w:tcW w:w="1180" w:type="dxa"/>
            <w:tcBorders>
              <w:top w:val="nil"/>
              <w:left w:val="nil"/>
              <w:bottom w:val="double" w:sz="6" w:space="0" w:color="800000"/>
              <w:right w:val="single" w:sz="8" w:space="0" w:color="800000"/>
            </w:tcBorders>
            <w:shd w:val="clear" w:color="000000" w:fill="FFFFCC"/>
            <w:vAlign w:val="bottom"/>
            <w:hideMark/>
          </w:tcPr>
          <w:p w14:paraId="3A981F59" w14:textId="77777777" w:rsidR="007B386B" w:rsidRPr="009B0286" w:rsidRDefault="007B386B" w:rsidP="00654A69">
            <w:pPr>
              <w:jc w:val="right"/>
              <w:rPr>
                <w:b/>
                <w:bCs/>
                <w:sz w:val="16"/>
                <w:szCs w:val="16"/>
                <w:lang w:val="en-US"/>
              </w:rPr>
            </w:pPr>
            <w:r w:rsidRPr="009B0286">
              <w:rPr>
                <w:b/>
                <w:bCs/>
                <w:sz w:val="16"/>
                <w:szCs w:val="16"/>
              </w:rPr>
              <w:t xml:space="preserve">2 </w:t>
            </w:r>
            <w:r w:rsidRPr="009B0286">
              <w:rPr>
                <w:b/>
                <w:bCs/>
                <w:sz w:val="16"/>
                <w:szCs w:val="16"/>
                <w:lang w:val="en-US"/>
              </w:rPr>
              <w:t>271</w:t>
            </w:r>
            <w:r w:rsidRPr="009B0286">
              <w:rPr>
                <w:b/>
                <w:bCs/>
                <w:sz w:val="16"/>
                <w:szCs w:val="16"/>
              </w:rPr>
              <w:t>,</w:t>
            </w:r>
            <w:r w:rsidRPr="009B0286">
              <w:rPr>
                <w:b/>
                <w:bCs/>
                <w:sz w:val="16"/>
                <w:szCs w:val="16"/>
                <w:lang w:val="en-US"/>
              </w:rPr>
              <w:t>1</w:t>
            </w:r>
          </w:p>
        </w:tc>
        <w:tc>
          <w:tcPr>
            <w:tcW w:w="1280" w:type="dxa"/>
            <w:tcBorders>
              <w:top w:val="nil"/>
              <w:left w:val="nil"/>
              <w:bottom w:val="double" w:sz="6" w:space="0" w:color="800000"/>
              <w:right w:val="single" w:sz="8" w:space="0" w:color="800000"/>
            </w:tcBorders>
            <w:shd w:val="clear" w:color="000000" w:fill="FFFFCC"/>
            <w:vAlign w:val="bottom"/>
            <w:hideMark/>
          </w:tcPr>
          <w:p w14:paraId="78F75C04" w14:textId="77777777" w:rsidR="007B386B" w:rsidRPr="009672E5" w:rsidRDefault="007B386B" w:rsidP="00654A69">
            <w:pPr>
              <w:jc w:val="right"/>
              <w:rPr>
                <w:b/>
                <w:bCs/>
                <w:sz w:val="16"/>
                <w:szCs w:val="16"/>
                <w:lang w:val="en-US"/>
              </w:rPr>
            </w:pPr>
            <w:r w:rsidRPr="009672E5">
              <w:rPr>
                <w:b/>
                <w:bCs/>
                <w:sz w:val="16"/>
                <w:szCs w:val="16"/>
              </w:rPr>
              <w:t>7</w:t>
            </w:r>
            <w:r w:rsidRPr="009672E5">
              <w:rPr>
                <w:b/>
                <w:bCs/>
                <w:sz w:val="16"/>
                <w:szCs w:val="16"/>
                <w:lang w:val="en-US"/>
              </w:rPr>
              <w:t>13</w:t>
            </w:r>
            <w:r w:rsidRPr="009672E5">
              <w:rPr>
                <w:b/>
                <w:bCs/>
                <w:sz w:val="16"/>
                <w:szCs w:val="16"/>
              </w:rPr>
              <w:t>,</w:t>
            </w:r>
            <w:r w:rsidRPr="009672E5">
              <w:rPr>
                <w:b/>
                <w:bCs/>
                <w:sz w:val="16"/>
                <w:szCs w:val="16"/>
                <w:lang w:val="en-US"/>
              </w:rPr>
              <w:t>5</w:t>
            </w:r>
          </w:p>
        </w:tc>
        <w:tc>
          <w:tcPr>
            <w:tcW w:w="1220" w:type="dxa"/>
            <w:tcBorders>
              <w:top w:val="nil"/>
              <w:left w:val="nil"/>
              <w:bottom w:val="double" w:sz="6" w:space="0" w:color="800000"/>
              <w:right w:val="single" w:sz="8" w:space="0" w:color="800000"/>
            </w:tcBorders>
            <w:shd w:val="clear" w:color="000000" w:fill="FFFFCC"/>
            <w:vAlign w:val="bottom"/>
            <w:hideMark/>
          </w:tcPr>
          <w:p w14:paraId="4491F89E" w14:textId="77777777" w:rsidR="007B386B" w:rsidRPr="009672E5" w:rsidRDefault="007B386B" w:rsidP="00654A69">
            <w:pPr>
              <w:jc w:val="right"/>
              <w:rPr>
                <w:b/>
                <w:bCs/>
                <w:sz w:val="16"/>
                <w:szCs w:val="16"/>
              </w:rPr>
            </w:pPr>
            <w:r w:rsidRPr="009672E5">
              <w:rPr>
                <w:b/>
                <w:bCs/>
                <w:sz w:val="16"/>
                <w:szCs w:val="16"/>
                <w:lang w:val="en-US"/>
              </w:rPr>
              <w:t>8</w:t>
            </w:r>
            <w:r w:rsidRPr="009672E5">
              <w:rPr>
                <w:b/>
                <w:bCs/>
                <w:sz w:val="16"/>
                <w:szCs w:val="16"/>
              </w:rPr>
              <w:t>4,</w:t>
            </w:r>
            <w:r w:rsidRPr="009672E5">
              <w:rPr>
                <w:b/>
                <w:bCs/>
                <w:sz w:val="16"/>
                <w:szCs w:val="16"/>
                <w:lang w:val="en-US"/>
              </w:rPr>
              <w:t>2</w:t>
            </w:r>
            <w:r w:rsidRPr="009672E5">
              <w:rPr>
                <w:b/>
                <w:bCs/>
                <w:sz w:val="16"/>
                <w:szCs w:val="16"/>
              </w:rPr>
              <w:t>%</w:t>
            </w:r>
          </w:p>
        </w:tc>
        <w:tc>
          <w:tcPr>
            <w:tcW w:w="1380" w:type="dxa"/>
            <w:tcBorders>
              <w:top w:val="nil"/>
              <w:left w:val="nil"/>
              <w:bottom w:val="double" w:sz="6" w:space="0" w:color="800000"/>
              <w:right w:val="double" w:sz="6" w:space="0" w:color="800000"/>
            </w:tcBorders>
            <w:shd w:val="clear" w:color="000000" w:fill="FFFFCC"/>
            <w:vAlign w:val="bottom"/>
            <w:hideMark/>
          </w:tcPr>
          <w:p w14:paraId="2EFBA648" w14:textId="77777777" w:rsidR="007B386B" w:rsidRPr="009672E5" w:rsidRDefault="007B386B" w:rsidP="00654A69">
            <w:pPr>
              <w:jc w:val="right"/>
              <w:rPr>
                <w:b/>
                <w:bCs/>
                <w:sz w:val="16"/>
                <w:szCs w:val="16"/>
              </w:rPr>
            </w:pPr>
            <w:r w:rsidRPr="009672E5">
              <w:rPr>
                <w:b/>
                <w:bCs/>
                <w:sz w:val="16"/>
                <w:szCs w:val="16"/>
                <w:lang w:val="en-US"/>
              </w:rPr>
              <w:t>3</w:t>
            </w:r>
            <w:r w:rsidRPr="009672E5">
              <w:rPr>
                <w:b/>
                <w:bCs/>
                <w:sz w:val="16"/>
                <w:szCs w:val="16"/>
              </w:rPr>
              <w:t>1,</w:t>
            </w:r>
            <w:r w:rsidRPr="009672E5">
              <w:rPr>
                <w:b/>
                <w:bCs/>
                <w:sz w:val="16"/>
                <w:szCs w:val="16"/>
                <w:lang w:val="en-US"/>
              </w:rPr>
              <w:t>4</w:t>
            </w:r>
            <w:r w:rsidRPr="009672E5">
              <w:rPr>
                <w:b/>
                <w:bCs/>
                <w:sz w:val="16"/>
                <w:szCs w:val="16"/>
              </w:rPr>
              <w:t>%</w:t>
            </w:r>
          </w:p>
        </w:tc>
      </w:tr>
    </w:tbl>
    <w:p w14:paraId="7B527E7D" w14:textId="77777777" w:rsidR="007B386B" w:rsidRPr="00E56679" w:rsidRDefault="007B386B" w:rsidP="007B386B">
      <w:pPr>
        <w:autoSpaceDE w:val="0"/>
        <w:autoSpaceDN w:val="0"/>
        <w:adjustRightInd w:val="0"/>
        <w:jc w:val="both"/>
        <w:rPr>
          <w:color w:val="0070C0"/>
          <w:sz w:val="12"/>
          <w:szCs w:val="12"/>
        </w:rPr>
      </w:pPr>
    </w:p>
    <w:p w14:paraId="26CB72DA" w14:textId="77777777" w:rsidR="007B386B" w:rsidRPr="009672E5" w:rsidRDefault="007B386B" w:rsidP="007B386B">
      <w:pPr>
        <w:autoSpaceDE w:val="0"/>
        <w:autoSpaceDN w:val="0"/>
        <w:adjustRightInd w:val="0"/>
        <w:jc w:val="both"/>
        <w:rPr>
          <w:sz w:val="18"/>
          <w:szCs w:val="18"/>
        </w:rPr>
      </w:pPr>
      <w:r w:rsidRPr="009672E5">
        <w:rPr>
          <w:sz w:val="18"/>
          <w:szCs w:val="18"/>
        </w:rPr>
        <w:t xml:space="preserve">* вкл. разходите за членски внос и участия в нетърговски организации и дейности и разходите за платени данъци, такси и административни санкции </w:t>
      </w:r>
    </w:p>
    <w:p w14:paraId="6601EF55" w14:textId="77777777" w:rsidR="007B386B" w:rsidRPr="005060D8" w:rsidRDefault="007B386B" w:rsidP="007B386B">
      <w:pPr>
        <w:pStyle w:val="Heading3"/>
        <w:numPr>
          <w:ilvl w:val="1"/>
          <w:numId w:val="18"/>
        </w:numPr>
        <w:ind w:left="567" w:hanging="567"/>
        <w:rPr>
          <w:rFonts w:ascii="Times New Roman" w:hAnsi="Times New Roman" w:cs="Times New Roman"/>
          <w:sz w:val="24"/>
          <w:szCs w:val="24"/>
        </w:rPr>
      </w:pPr>
      <w:bookmarkStart w:id="108" w:name="_Toc136519970"/>
      <w:bookmarkStart w:id="109" w:name="_Toc136597738"/>
      <w:bookmarkStart w:id="110" w:name="_Toc136601641"/>
      <w:bookmarkStart w:id="111" w:name="_Toc167181036"/>
      <w:bookmarkStart w:id="112" w:name="_Toc168301126"/>
      <w:bookmarkStart w:id="113" w:name="_Toc239237819"/>
      <w:bookmarkStart w:id="114" w:name="_Toc333586824"/>
      <w:bookmarkStart w:id="115" w:name="_Toc365897038"/>
      <w:bookmarkStart w:id="116" w:name="_Toc365968821"/>
      <w:bookmarkStart w:id="117" w:name="_Toc521343505"/>
      <w:bookmarkStart w:id="118" w:name="_Toc16758093"/>
      <w:bookmarkStart w:id="119" w:name="_Toc18400767"/>
      <w:bookmarkStart w:id="120" w:name="_Toc48734945"/>
      <w:bookmarkStart w:id="121" w:name="_Toc143018865"/>
      <w:bookmarkStart w:id="122" w:name="_Toc174117334"/>
      <w:bookmarkStart w:id="123" w:name="_Toc176351932"/>
      <w:r w:rsidRPr="005060D8">
        <w:rPr>
          <w:rFonts w:ascii="Times New Roman" w:hAnsi="Times New Roman" w:cs="Times New Roman"/>
          <w:sz w:val="24"/>
          <w:szCs w:val="24"/>
        </w:rPr>
        <w:t>Текущи нелихвени разходи</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3477D6C" w14:textId="77777777" w:rsidR="007B386B" w:rsidRPr="005060D8" w:rsidRDefault="007B386B" w:rsidP="007B386B">
      <w:pPr>
        <w:pStyle w:val="Heading3"/>
        <w:numPr>
          <w:ilvl w:val="2"/>
          <w:numId w:val="18"/>
        </w:numPr>
        <w:ind w:left="567" w:hanging="567"/>
        <w:rPr>
          <w:rFonts w:ascii="Times New Roman" w:hAnsi="Times New Roman" w:cs="Times New Roman"/>
          <w:i/>
          <w:sz w:val="24"/>
          <w:szCs w:val="24"/>
        </w:rPr>
      </w:pPr>
      <w:bookmarkStart w:id="124" w:name="_Toc239237820"/>
      <w:bookmarkStart w:id="125" w:name="_Toc333586825"/>
      <w:bookmarkStart w:id="126" w:name="_Toc365897039"/>
      <w:bookmarkStart w:id="127" w:name="_Toc365968822"/>
      <w:bookmarkStart w:id="128" w:name="_Toc521343506"/>
      <w:bookmarkStart w:id="129" w:name="_Toc16758094"/>
      <w:bookmarkStart w:id="130" w:name="_Toc18400768"/>
      <w:bookmarkStart w:id="131" w:name="_Toc48734946"/>
      <w:bookmarkStart w:id="132" w:name="_Toc143018866"/>
      <w:bookmarkStart w:id="133" w:name="_Toc174117335"/>
      <w:bookmarkStart w:id="134" w:name="_Toc176351933"/>
      <w:r w:rsidRPr="005060D8">
        <w:rPr>
          <w:rFonts w:ascii="Times New Roman" w:hAnsi="Times New Roman" w:cs="Times New Roman"/>
          <w:i/>
          <w:sz w:val="24"/>
          <w:szCs w:val="24"/>
        </w:rPr>
        <w:t>Разходи за персонал</w:t>
      </w:r>
      <w:bookmarkEnd w:id="124"/>
      <w:bookmarkEnd w:id="125"/>
      <w:bookmarkEnd w:id="126"/>
      <w:bookmarkEnd w:id="127"/>
      <w:bookmarkEnd w:id="128"/>
      <w:bookmarkEnd w:id="129"/>
      <w:bookmarkEnd w:id="130"/>
      <w:bookmarkEnd w:id="131"/>
      <w:bookmarkEnd w:id="132"/>
      <w:bookmarkEnd w:id="133"/>
      <w:bookmarkEnd w:id="134"/>
    </w:p>
    <w:p w14:paraId="18A38781" w14:textId="05D21558" w:rsidR="007B386B" w:rsidRPr="00C12A9A" w:rsidRDefault="007B386B" w:rsidP="007B386B">
      <w:pPr>
        <w:autoSpaceDE w:val="0"/>
        <w:autoSpaceDN w:val="0"/>
        <w:adjustRightInd w:val="0"/>
        <w:jc w:val="both"/>
      </w:pPr>
      <w:r w:rsidRPr="00DE7F17">
        <w:t>Разходите за персонал на консолидирано ниво за полугодието на 202</w:t>
      </w:r>
      <w:r w:rsidRPr="00772219">
        <w:rPr>
          <w:lang w:val="ru-RU"/>
        </w:rPr>
        <w:t>4</w:t>
      </w:r>
      <w:r w:rsidRPr="00DE7F17">
        <w:t xml:space="preserve"> г. са в размер на </w:t>
      </w:r>
      <w:r w:rsidRPr="00772219">
        <w:rPr>
          <w:lang w:val="ru-RU"/>
        </w:rPr>
        <w:t>9</w:t>
      </w:r>
      <w:r w:rsidRPr="00DE7F17">
        <w:t> </w:t>
      </w:r>
      <w:r w:rsidRPr="00DE7F17">
        <w:rPr>
          <w:lang w:val="ru-RU"/>
        </w:rPr>
        <w:t>4</w:t>
      </w:r>
      <w:r w:rsidRPr="00772219">
        <w:rPr>
          <w:lang w:val="ru-RU"/>
        </w:rPr>
        <w:t>32</w:t>
      </w:r>
      <w:r w:rsidRPr="00DE7F17">
        <w:t>,</w:t>
      </w:r>
      <w:r w:rsidRPr="00772219">
        <w:rPr>
          <w:lang w:val="ru-RU"/>
        </w:rPr>
        <w:t>7</w:t>
      </w:r>
      <w:r w:rsidRPr="00DE7F17">
        <w:t xml:space="preserve"> млн. лв., което представлява </w:t>
      </w:r>
      <w:r w:rsidRPr="00772219">
        <w:rPr>
          <w:lang w:val="ru-RU"/>
        </w:rPr>
        <w:t>52</w:t>
      </w:r>
      <w:r w:rsidRPr="00DE7F17">
        <w:rPr>
          <w:lang w:val="ru-RU"/>
        </w:rPr>
        <w:t>,</w:t>
      </w:r>
      <w:r w:rsidRPr="00772219">
        <w:rPr>
          <w:lang w:val="ru-RU"/>
        </w:rPr>
        <w:t>3</w:t>
      </w:r>
      <w:r w:rsidRPr="00DE7F17">
        <w:rPr>
          <w:lang w:val="ru-RU"/>
        </w:rPr>
        <w:t xml:space="preserve"> </w:t>
      </w:r>
      <w:r w:rsidRPr="00DE7F17">
        <w:t>% от разчетените за годината. В структурно отношение с най-голям относителен дял в разходите по КФП са разходите за персонал по държавния бюджет и по бюджетите на общините, което е свързано с обхвата и спецификата на делегираните им функции. Съпоставени с полугодието на 202</w:t>
      </w:r>
      <w:r w:rsidRPr="00772219">
        <w:rPr>
          <w:lang w:val="ru-RU"/>
        </w:rPr>
        <w:t>3</w:t>
      </w:r>
      <w:r w:rsidRPr="00DE7F17">
        <w:t xml:space="preserve"> г.</w:t>
      </w:r>
      <w:r w:rsidR="0025576B">
        <w:t>,</w:t>
      </w:r>
      <w:r w:rsidRPr="00DE7F17">
        <w:t xml:space="preserve"> разходите за персонал нарастват с </w:t>
      </w:r>
      <w:r w:rsidRPr="00772219">
        <w:rPr>
          <w:lang w:val="ru-RU"/>
        </w:rPr>
        <w:t>24</w:t>
      </w:r>
      <w:r w:rsidRPr="00DE7F17">
        <w:t>,</w:t>
      </w:r>
      <w:r w:rsidRPr="00772219">
        <w:rPr>
          <w:lang w:val="ru-RU"/>
        </w:rPr>
        <w:t>5</w:t>
      </w:r>
      <w:r w:rsidRPr="00DE7F17">
        <w:t xml:space="preserve"> на сто (1 </w:t>
      </w:r>
      <w:r w:rsidRPr="00772219">
        <w:rPr>
          <w:lang w:val="ru-RU"/>
        </w:rPr>
        <w:t>857</w:t>
      </w:r>
      <w:r w:rsidRPr="00DE7F17">
        <w:t>,</w:t>
      </w:r>
      <w:r w:rsidRPr="00772219">
        <w:rPr>
          <w:lang w:val="ru-RU"/>
        </w:rPr>
        <w:t>9</w:t>
      </w:r>
      <w:r w:rsidRPr="00DE7F17">
        <w:t xml:space="preserve"> млн. лв.), основно поради </w:t>
      </w:r>
      <w:r w:rsidRPr="00176E3D">
        <w:t>увеличението на възнагражденията на педагогическия персонал и при други администрации със ЗДБРБ за 2023 г. и ЗДБРБ за 2024</w:t>
      </w:r>
      <w:r>
        <w:t> </w:t>
      </w:r>
      <w:r w:rsidRPr="00176E3D">
        <w:t>г.</w:t>
      </w:r>
      <w:r>
        <w:t xml:space="preserve"> </w:t>
      </w:r>
      <w:r w:rsidRPr="00C12A9A">
        <w:t>Разгледани по съставни бюджети, най-съществена част от нарастването на разходите за персонал се формира по бюджетите на общините, където тези разходи нарастват с 27,2 на сто (778,2 млн. лв.), следвани от разходите за персонал по държавния бюджет, които също нарастват с 23,3 на сто (904</w:t>
      </w:r>
      <w:r>
        <w:t>,4 млн. лв.). Увеличението на разходите за персонал по бюджетите на висшите училища, БАН и ССА е в размер на  24,5 % (125,7 млн. лв.) в сравнение със същия период на миналата година.</w:t>
      </w:r>
      <w:r w:rsidRPr="00C12A9A">
        <w:t xml:space="preserve"> </w:t>
      </w:r>
    </w:p>
    <w:p w14:paraId="54922FA9" w14:textId="77777777" w:rsidR="007B386B" w:rsidRPr="00AE1E66" w:rsidRDefault="007B386B" w:rsidP="007B386B">
      <w:pPr>
        <w:pStyle w:val="Heading3"/>
        <w:numPr>
          <w:ilvl w:val="2"/>
          <w:numId w:val="18"/>
        </w:numPr>
        <w:ind w:left="567" w:hanging="567"/>
        <w:rPr>
          <w:rFonts w:ascii="Times New Roman" w:hAnsi="Times New Roman" w:cs="Times New Roman"/>
          <w:i/>
          <w:sz w:val="24"/>
          <w:szCs w:val="24"/>
        </w:rPr>
      </w:pPr>
      <w:bookmarkStart w:id="135" w:name="_Toc239237822"/>
      <w:bookmarkStart w:id="136" w:name="_Toc333586827"/>
      <w:bookmarkStart w:id="137" w:name="_Toc365897041"/>
      <w:bookmarkStart w:id="138" w:name="_Toc365968824"/>
      <w:bookmarkStart w:id="139" w:name="_Toc521343507"/>
      <w:bookmarkStart w:id="140" w:name="_Toc16758095"/>
      <w:bookmarkStart w:id="141" w:name="_Toc18400769"/>
      <w:bookmarkStart w:id="142" w:name="_Toc48734947"/>
      <w:bookmarkStart w:id="143" w:name="_Toc143018867"/>
      <w:bookmarkStart w:id="144" w:name="_Toc174117336"/>
      <w:bookmarkStart w:id="145" w:name="_Toc176351934"/>
      <w:r w:rsidRPr="00AE1E66">
        <w:rPr>
          <w:rFonts w:ascii="Times New Roman" w:hAnsi="Times New Roman" w:cs="Times New Roman"/>
          <w:i/>
          <w:sz w:val="24"/>
          <w:szCs w:val="24"/>
        </w:rPr>
        <w:t>Издръжка</w:t>
      </w:r>
      <w:bookmarkEnd w:id="135"/>
      <w:bookmarkEnd w:id="136"/>
      <w:bookmarkEnd w:id="137"/>
      <w:bookmarkEnd w:id="138"/>
      <w:bookmarkEnd w:id="139"/>
      <w:bookmarkEnd w:id="140"/>
      <w:bookmarkEnd w:id="141"/>
      <w:bookmarkEnd w:id="142"/>
      <w:bookmarkEnd w:id="143"/>
      <w:bookmarkEnd w:id="144"/>
      <w:bookmarkEnd w:id="145"/>
    </w:p>
    <w:p w14:paraId="073B5165" w14:textId="77777777" w:rsidR="007B386B" w:rsidRPr="00D465BB" w:rsidRDefault="007B386B" w:rsidP="007B386B">
      <w:pPr>
        <w:autoSpaceDE w:val="0"/>
        <w:autoSpaceDN w:val="0"/>
        <w:adjustRightInd w:val="0"/>
        <w:spacing w:after="120"/>
        <w:jc w:val="both"/>
      </w:pPr>
      <w:r w:rsidRPr="00D465BB">
        <w:t>Разходите за издръжка по консолидираната фискална програма за полугодието на 202</w:t>
      </w:r>
      <w:r w:rsidRPr="00772219">
        <w:rPr>
          <w:lang w:val="ru-RU"/>
        </w:rPr>
        <w:t>4</w:t>
      </w:r>
      <w:r w:rsidRPr="00D465BB">
        <w:t xml:space="preserve"> г. са в размер на </w:t>
      </w:r>
      <w:r w:rsidRPr="00D465BB">
        <w:rPr>
          <w:lang w:val="ru-RU"/>
        </w:rPr>
        <w:t>3</w:t>
      </w:r>
      <w:r w:rsidRPr="00D465BB">
        <w:t xml:space="preserve"> 162,7 млн. лв., което представлява </w:t>
      </w:r>
      <w:r w:rsidRPr="00D465BB">
        <w:rPr>
          <w:lang w:val="ru-RU"/>
        </w:rPr>
        <w:t>38</w:t>
      </w:r>
      <w:r w:rsidRPr="00D465BB">
        <w:t xml:space="preserve">,2 % от заложените за годината. В разходите за издръжка се включват текуща издръжка, разходите за членски внос и участие в организации с нестопанска цел и разходите за платени данъци, такси и административни санкции. Разходите за текуща издръжка обхващат разходите за храна, медикаменти, научно-изследователски разходи и книги, горива и енергия, външни услуги, текущ ремонт и други разходи. </w:t>
      </w:r>
    </w:p>
    <w:p w14:paraId="09AE51DB" w14:textId="77777777" w:rsidR="007B386B" w:rsidRPr="00D465BB" w:rsidRDefault="007B386B" w:rsidP="007B386B">
      <w:pPr>
        <w:autoSpaceDE w:val="0"/>
        <w:autoSpaceDN w:val="0"/>
        <w:adjustRightInd w:val="0"/>
        <w:spacing w:after="120"/>
        <w:jc w:val="both"/>
      </w:pPr>
      <w:r w:rsidRPr="00D465BB">
        <w:t>В структурно отношение основната част от разходите за издръжка за изминалите шест месеца на 2024 г. са по държавния бюджет и бюджетите на общините</w:t>
      </w:r>
      <w:r w:rsidRPr="00D465BB">
        <w:rPr>
          <w:rFonts w:ascii="TimesNewRomanPSMT" w:hAnsi="TimesNewRomanPSMT" w:cs="TimesNewRomanPSMT"/>
        </w:rPr>
        <w:t>.</w:t>
      </w:r>
    </w:p>
    <w:p w14:paraId="7F8700F1" w14:textId="77777777" w:rsidR="007B386B" w:rsidRPr="00D465BB" w:rsidRDefault="007B386B" w:rsidP="007B386B">
      <w:pPr>
        <w:pStyle w:val="Heading3"/>
        <w:numPr>
          <w:ilvl w:val="2"/>
          <w:numId w:val="18"/>
        </w:numPr>
        <w:ind w:left="567" w:hanging="567"/>
        <w:rPr>
          <w:rFonts w:ascii="Times New Roman" w:hAnsi="Times New Roman" w:cs="Times New Roman"/>
          <w:i/>
          <w:sz w:val="24"/>
          <w:szCs w:val="24"/>
        </w:rPr>
      </w:pPr>
      <w:bookmarkStart w:id="146" w:name="_Toc239237823"/>
      <w:bookmarkStart w:id="147" w:name="_Toc333586828"/>
      <w:bookmarkStart w:id="148" w:name="_Toc365897042"/>
      <w:bookmarkStart w:id="149" w:name="_Toc365968825"/>
      <w:bookmarkStart w:id="150" w:name="_Toc521343508"/>
      <w:bookmarkStart w:id="151" w:name="_Toc16758096"/>
      <w:bookmarkStart w:id="152" w:name="_Toc18400770"/>
      <w:bookmarkStart w:id="153" w:name="_Toc48734948"/>
      <w:bookmarkStart w:id="154" w:name="_Toc143018868"/>
      <w:bookmarkStart w:id="155" w:name="_Toc174117337"/>
      <w:bookmarkStart w:id="156" w:name="_Toc176351935"/>
      <w:r w:rsidRPr="00D465BB">
        <w:rPr>
          <w:rFonts w:ascii="Times New Roman" w:hAnsi="Times New Roman" w:cs="Times New Roman"/>
          <w:i/>
          <w:sz w:val="24"/>
          <w:szCs w:val="24"/>
        </w:rPr>
        <w:t>Субсидии</w:t>
      </w:r>
      <w:bookmarkEnd w:id="146"/>
      <w:bookmarkEnd w:id="147"/>
      <w:bookmarkEnd w:id="148"/>
      <w:bookmarkEnd w:id="149"/>
      <w:bookmarkEnd w:id="150"/>
      <w:bookmarkEnd w:id="151"/>
      <w:bookmarkEnd w:id="152"/>
      <w:bookmarkEnd w:id="153"/>
      <w:bookmarkEnd w:id="154"/>
      <w:bookmarkEnd w:id="155"/>
      <w:bookmarkEnd w:id="156"/>
    </w:p>
    <w:p w14:paraId="793C1B34" w14:textId="77777777" w:rsidR="007B386B" w:rsidRPr="00E56679" w:rsidRDefault="007B386B" w:rsidP="007B386B">
      <w:pPr>
        <w:jc w:val="both"/>
        <w:rPr>
          <w:color w:val="0070C0"/>
          <w:sz w:val="4"/>
          <w:szCs w:val="4"/>
        </w:rPr>
      </w:pPr>
    </w:p>
    <w:p w14:paraId="11EC8B43" w14:textId="77777777" w:rsidR="007B386B" w:rsidRPr="00996D81" w:rsidRDefault="007B386B" w:rsidP="007B386B">
      <w:pPr>
        <w:autoSpaceDE w:val="0"/>
        <w:autoSpaceDN w:val="0"/>
        <w:adjustRightInd w:val="0"/>
        <w:jc w:val="both"/>
      </w:pPr>
      <w:r w:rsidRPr="00996D81">
        <w:t xml:space="preserve">Общата сума на средствата, предоставени за субсидии за системата на здравеопазването, за нефинансови предприятия (вкл. организациите с нестопанска цел) и за финансови институции на консолидирана база през първото полугодие на 2024 г. е 2 </w:t>
      </w:r>
      <w:r w:rsidRPr="00996D81">
        <w:rPr>
          <w:lang w:val="ru-RU"/>
        </w:rPr>
        <w:t>965</w:t>
      </w:r>
      <w:r w:rsidRPr="00996D81">
        <w:t xml:space="preserve">,9 млн. лв., което представлява 46,3 % от планираните за годината. </w:t>
      </w:r>
    </w:p>
    <w:p w14:paraId="3AA73613" w14:textId="77777777" w:rsidR="007B386B" w:rsidRPr="00E56679" w:rsidRDefault="007B386B" w:rsidP="007B386B">
      <w:pPr>
        <w:autoSpaceDE w:val="0"/>
        <w:autoSpaceDN w:val="0"/>
        <w:adjustRightInd w:val="0"/>
        <w:jc w:val="both"/>
        <w:rPr>
          <w:color w:val="0070C0"/>
          <w:sz w:val="8"/>
          <w:szCs w:val="8"/>
        </w:rPr>
      </w:pPr>
    </w:p>
    <w:p w14:paraId="3BD23B3D" w14:textId="77777777" w:rsidR="007B386B" w:rsidRPr="00996D81" w:rsidRDefault="007B386B" w:rsidP="007B386B">
      <w:pPr>
        <w:numPr>
          <w:ilvl w:val="0"/>
          <w:numId w:val="1"/>
        </w:numPr>
        <w:tabs>
          <w:tab w:val="num" w:pos="1260"/>
        </w:tabs>
        <w:autoSpaceDE w:val="0"/>
        <w:autoSpaceDN w:val="0"/>
        <w:adjustRightInd w:val="0"/>
        <w:ind w:left="0" w:firstLine="0"/>
        <w:rPr>
          <w:b/>
          <w:i/>
          <w:u w:val="single"/>
        </w:rPr>
      </w:pPr>
      <w:r w:rsidRPr="00996D81">
        <w:rPr>
          <w:b/>
          <w:i/>
          <w:u w:val="single"/>
        </w:rPr>
        <w:t>Субсидии за нефинансови предприятия, организации с нестопанска цел и финансови институции</w:t>
      </w:r>
    </w:p>
    <w:p w14:paraId="0B375FD1" w14:textId="77777777" w:rsidR="007B386B" w:rsidRPr="00E56679" w:rsidRDefault="007B386B" w:rsidP="007B386B">
      <w:pPr>
        <w:autoSpaceDE w:val="0"/>
        <w:autoSpaceDN w:val="0"/>
        <w:adjustRightInd w:val="0"/>
        <w:jc w:val="both"/>
        <w:rPr>
          <w:color w:val="0070C0"/>
          <w:sz w:val="8"/>
          <w:szCs w:val="8"/>
          <w:u w:val="single"/>
        </w:rPr>
      </w:pPr>
    </w:p>
    <w:p w14:paraId="6663816E" w14:textId="77777777" w:rsidR="007B386B" w:rsidRPr="00E56679" w:rsidRDefault="007B386B" w:rsidP="007B386B">
      <w:pPr>
        <w:jc w:val="both"/>
        <w:rPr>
          <w:color w:val="0070C0"/>
          <w:sz w:val="8"/>
          <w:szCs w:val="8"/>
        </w:rPr>
      </w:pPr>
    </w:p>
    <w:p w14:paraId="1269551F" w14:textId="15289462" w:rsidR="007B386B" w:rsidRPr="00996D81" w:rsidRDefault="007B386B" w:rsidP="007B386B">
      <w:pPr>
        <w:autoSpaceDE w:val="0"/>
        <w:autoSpaceDN w:val="0"/>
        <w:adjustRightInd w:val="0"/>
        <w:jc w:val="both"/>
        <w:rPr>
          <w:rFonts w:ascii="TimesNewRomanPSMT" w:eastAsia="Batang" w:hAnsi="TimesNewRomanPSMT" w:cs="TimesNewRomanPSMT"/>
          <w:lang w:eastAsia="ko-KR"/>
        </w:rPr>
      </w:pPr>
      <w:r w:rsidRPr="00996D81">
        <w:t>Държавното финансово подпомагане на нефинансовите предприятия през 202</w:t>
      </w:r>
      <w:r w:rsidR="00873D96">
        <w:t>4</w:t>
      </w:r>
      <w:r w:rsidRPr="00996D81">
        <w:t xml:space="preserve"> г. отразява взаимоотношенията с реалния сектор. Чрез държавното финансово подпомагане се осъществяват и елементи от социалната правителствена програма, свързани с организирането и изпълнението на задължения за услуги от обществен интерес. Възлагането им от страна на държавата съответства на концепцията за услугите от обществен интерес, както и на политиката в тази област на страните от ЕС и Регламентите на ЕС, в основата на които е поставен интересът на гражданите, техните потребности и покупателната им способност, което макар и непряко, влияе положително върху жизнения стандарт.</w:t>
      </w:r>
    </w:p>
    <w:p w14:paraId="6DF338E9" w14:textId="77777777" w:rsidR="007B386B" w:rsidRPr="00E56679" w:rsidRDefault="007B386B" w:rsidP="007B386B">
      <w:pPr>
        <w:autoSpaceDE w:val="0"/>
        <w:autoSpaceDN w:val="0"/>
        <w:adjustRightInd w:val="0"/>
        <w:jc w:val="both"/>
        <w:rPr>
          <w:color w:val="0070C0"/>
          <w:sz w:val="12"/>
          <w:szCs w:val="12"/>
        </w:rPr>
      </w:pPr>
    </w:p>
    <w:p w14:paraId="26DB3AC2" w14:textId="77777777" w:rsidR="007B386B" w:rsidRPr="004148C4" w:rsidRDefault="007B386B" w:rsidP="007B386B">
      <w:pPr>
        <w:autoSpaceDE w:val="0"/>
        <w:autoSpaceDN w:val="0"/>
        <w:adjustRightInd w:val="0"/>
        <w:jc w:val="both"/>
      </w:pPr>
      <w:r w:rsidRPr="00996D81">
        <w:t xml:space="preserve">Основните приоритетни направления, за които се насочват субсидиите за нефинансови предприятия, са стопански субекти от секторите транспорт, съобщения, земеделие и други. През първите шест месеца на 2024 г. са предоставени субсидии за нефинансови предприятия, организации с нестопанска цел и финансови институции в размер на 2 800,1 млн. лв., </w:t>
      </w:r>
      <w:r w:rsidRPr="004148C4">
        <w:t>което представлява 46,1 % от разчета за годината.</w:t>
      </w:r>
    </w:p>
    <w:p w14:paraId="4369DE8C" w14:textId="77777777" w:rsidR="007B386B" w:rsidRPr="00E56679" w:rsidRDefault="007B386B" w:rsidP="007B386B">
      <w:pPr>
        <w:autoSpaceDE w:val="0"/>
        <w:autoSpaceDN w:val="0"/>
        <w:adjustRightInd w:val="0"/>
        <w:jc w:val="both"/>
        <w:rPr>
          <w:rFonts w:ascii="TimesNewRomanPSMT" w:hAnsi="TimesNewRomanPSMT" w:cs="TimesNewRomanPSMT"/>
          <w:color w:val="0070C0"/>
          <w:sz w:val="8"/>
          <w:szCs w:val="8"/>
        </w:rPr>
      </w:pPr>
    </w:p>
    <w:p w14:paraId="4F8B71EE" w14:textId="77777777" w:rsidR="007B386B" w:rsidRPr="004148C4" w:rsidRDefault="007B386B" w:rsidP="007B386B">
      <w:pPr>
        <w:numPr>
          <w:ilvl w:val="0"/>
          <w:numId w:val="2"/>
        </w:numPr>
        <w:tabs>
          <w:tab w:val="clear" w:pos="900"/>
          <w:tab w:val="left" w:pos="426"/>
        </w:tabs>
        <w:autoSpaceDE w:val="0"/>
        <w:autoSpaceDN w:val="0"/>
        <w:adjustRightInd w:val="0"/>
        <w:ind w:left="0" w:firstLine="142"/>
        <w:jc w:val="both"/>
        <w:rPr>
          <w:b/>
          <w:i/>
        </w:rPr>
      </w:pPr>
      <w:r w:rsidRPr="004148C4">
        <w:rPr>
          <w:b/>
          <w:i/>
        </w:rPr>
        <w:t xml:space="preserve">Транспорт и съобщения </w:t>
      </w:r>
    </w:p>
    <w:p w14:paraId="339EA5D5" w14:textId="77777777" w:rsidR="007B386B" w:rsidRPr="00E56679" w:rsidRDefault="007B386B" w:rsidP="007B386B">
      <w:pPr>
        <w:autoSpaceDE w:val="0"/>
        <w:autoSpaceDN w:val="0"/>
        <w:adjustRightInd w:val="0"/>
        <w:jc w:val="both"/>
        <w:rPr>
          <w:color w:val="0070C0"/>
          <w:sz w:val="8"/>
          <w:szCs w:val="8"/>
        </w:rPr>
      </w:pPr>
    </w:p>
    <w:p w14:paraId="684CA535" w14:textId="77777777" w:rsidR="007B386B" w:rsidRPr="004148C4" w:rsidRDefault="007B386B" w:rsidP="007B386B">
      <w:pPr>
        <w:spacing w:after="120"/>
        <w:jc w:val="both"/>
      </w:pPr>
      <w:r w:rsidRPr="004148C4">
        <w:t xml:space="preserve">Субектите от отраслите транспорт и съобщения са ангажирани в изпълнението на задължения за услуги от обществен интерес, възложени им от държавата с договор при определени параметри, показатели и условия. Средствата в сектора са предназначени за търговски дружества от различните видове транспорт – железопътни пътнически превози, автомобилни пътнически превози (вътрешноградски превози и превози в планински и други райони), както и за текущо поддържане и експлоатация на железопътната инфраструктура. </w:t>
      </w:r>
    </w:p>
    <w:p w14:paraId="5F6AD15F" w14:textId="77777777" w:rsidR="007B386B" w:rsidRPr="004148C4" w:rsidRDefault="007B386B" w:rsidP="007B386B">
      <w:pPr>
        <w:spacing w:after="120"/>
        <w:jc w:val="both"/>
      </w:pPr>
      <w:r w:rsidRPr="004148C4">
        <w:rPr>
          <w:bCs/>
          <w:noProof/>
          <w:lang w:eastAsia="en-US"/>
        </w:rPr>
        <w:t>Поддържането и развитието на железопътната система в страната се извършва основно от  Национална компания „Железопътна инфраструктура” като Управител на железопътната инфраструктура в страната, и на лицензирания основен превозвач - „БДЖ-Пътнически превози” ЕООД, изпълняващ задължение за извършване на обществени превозни услуги, в съответствие със Закона за железопътния транспорт.</w:t>
      </w:r>
    </w:p>
    <w:p w14:paraId="1FEF11AA" w14:textId="2580EEDB" w:rsidR="007B386B" w:rsidRPr="00D772C0" w:rsidRDefault="007B386B" w:rsidP="007B386B">
      <w:pPr>
        <w:spacing w:after="120"/>
        <w:jc w:val="both"/>
      </w:pPr>
      <w:r w:rsidRPr="004148C4">
        <w:t xml:space="preserve">- Средствата за субсидии се предоставят на „БДЖ - Пътнически превози“ ЕООД за осигуряване изпълнението на възложеното </w:t>
      </w:r>
      <w:r w:rsidR="0025576B">
        <w:t>и</w:t>
      </w:r>
      <w:r w:rsidRPr="004148C4">
        <w:t xml:space="preserve">м задължение за извършване на обществени превозни услуги по договор, сключен между министъра на транспорта и съобщенията и дружеството. Субсидиите за „БДЖ – Пътнически превози” ЕООД за 2024 г., предвидени по бюджета на МТС, са в размер на 209,9 млн. лв. За първото полугодие на 2024 г. предоставените </w:t>
      </w:r>
      <w:r w:rsidRPr="00D772C0">
        <w:t>от МТС средства за тази цел са в размер на 104,6 млн. лв. или 49,8 % от годишния разчет.</w:t>
      </w:r>
    </w:p>
    <w:p w14:paraId="31856CAB" w14:textId="77777777" w:rsidR="007B386B" w:rsidRPr="00F0333F" w:rsidRDefault="007B386B" w:rsidP="007B386B">
      <w:pPr>
        <w:spacing w:after="120"/>
        <w:jc w:val="both"/>
        <w:rPr>
          <w:lang w:eastAsia="en-US"/>
        </w:rPr>
      </w:pPr>
      <w:r w:rsidRPr="00F0333F">
        <w:rPr>
          <w:lang w:eastAsia="en-US"/>
        </w:rPr>
        <w:t xml:space="preserve">- Със ЗДБРБ за 2024 г. за Национална компания „Железопътна инфраструктура” са предвидени средства под формата на субсидии, предназначени за финансирането на дейностите по експлоатацията на железопътната инфраструктура, в размер на 301,2 млн. лева. Усвоените средства към полугодието са в размер на </w:t>
      </w:r>
      <w:r w:rsidRPr="00D772C0">
        <w:rPr>
          <w:lang w:val="ru-RU" w:eastAsia="en-US"/>
        </w:rPr>
        <w:t>150</w:t>
      </w:r>
      <w:r w:rsidRPr="00D772C0">
        <w:rPr>
          <w:lang w:eastAsia="en-US"/>
        </w:rPr>
        <w:t xml:space="preserve">,6 млн. лв. или 50,0 на сто от годишния план. </w:t>
      </w:r>
      <w:r w:rsidRPr="00F0333F">
        <w:rPr>
          <w:lang w:eastAsia="en-US"/>
        </w:rPr>
        <w:t xml:space="preserve">Същите са предоставени в съответствие с утвърдения от министъра на транспорта и съобщенията График за превеждане на субсидиите, съобразен с необходимостта от средства за финансиране на текущите дейности на предприятието. </w:t>
      </w:r>
    </w:p>
    <w:p w14:paraId="66A6A1A7" w14:textId="6484B7AF" w:rsidR="007B386B" w:rsidRDefault="007B386B" w:rsidP="007B386B">
      <w:pPr>
        <w:spacing w:after="120"/>
        <w:jc w:val="both"/>
        <w:rPr>
          <w:noProof/>
        </w:rPr>
      </w:pPr>
      <w:r w:rsidRPr="00F0333F">
        <w:t xml:space="preserve">- </w:t>
      </w:r>
      <w:r w:rsidRPr="00F0333F">
        <w:rPr>
          <w:noProof/>
        </w:rPr>
        <w:t xml:space="preserve">Средствата за субсидии за „Български пощи” ЕАД, предвидени по бюджета на МТС за 2024 г., са в размер на 86,5 млн. лв. За първите шест месеца са предоставени средства общо в размер на </w:t>
      </w:r>
      <w:r w:rsidRPr="00D772C0">
        <w:rPr>
          <w:noProof/>
        </w:rPr>
        <w:t>29,9 млн. лв. или 34,6 % от годишния разчет.</w:t>
      </w:r>
    </w:p>
    <w:p w14:paraId="5287AFD5" w14:textId="6934AFCD" w:rsidR="006F0240" w:rsidRPr="00D772C0" w:rsidRDefault="006F0240" w:rsidP="007B386B">
      <w:pPr>
        <w:spacing w:after="120"/>
        <w:jc w:val="both"/>
      </w:pPr>
      <w:r w:rsidRPr="001853DF">
        <w:rPr>
          <w:noProof/>
          <w:lang w:val="ru-RU"/>
        </w:rPr>
        <w:t xml:space="preserve">- </w:t>
      </w:r>
      <w:r w:rsidRPr="00F0333F">
        <w:rPr>
          <w:noProof/>
        </w:rPr>
        <w:t>Средствата за субсидии за „Българ</w:t>
      </w:r>
      <w:r w:rsidRPr="001853DF">
        <w:rPr>
          <w:noProof/>
          <w:lang w:val="ru-RU"/>
        </w:rPr>
        <w:t>ия Хели Мед Сървиз”</w:t>
      </w:r>
      <w:r>
        <w:rPr>
          <w:noProof/>
        </w:rPr>
        <w:t xml:space="preserve"> </w:t>
      </w:r>
      <w:r w:rsidR="008700E1">
        <w:rPr>
          <w:noProof/>
        </w:rPr>
        <w:t>–</w:t>
      </w:r>
      <w:r>
        <w:rPr>
          <w:noProof/>
        </w:rPr>
        <w:t xml:space="preserve"> ЕАД</w:t>
      </w:r>
      <w:r w:rsidR="008700E1">
        <w:rPr>
          <w:noProof/>
        </w:rPr>
        <w:t xml:space="preserve"> (държавното предприятие, осъществяващо спешна помощ по въздуха)</w:t>
      </w:r>
      <w:r w:rsidRPr="00F0333F">
        <w:rPr>
          <w:noProof/>
        </w:rPr>
        <w:t>, предвидени по бюджета на МТС за 2024 г., са в размер на 6,</w:t>
      </w:r>
      <w:r>
        <w:rPr>
          <w:noProof/>
        </w:rPr>
        <w:t>0</w:t>
      </w:r>
      <w:r w:rsidRPr="00F0333F">
        <w:rPr>
          <w:noProof/>
        </w:rPr>
        <w:t xml:space="preserve"> млн. лв. За първите шест месеца са предоставени средства общо в размер на </w:t>
      </w:r>
      <w:r>
        <w:rPr>
          <w:noProof/>
        </w:rPr>
        <w:t>3</w:t>
      </w:r>
      <w:r w:rsidRPr="00D772C0">
        <w:rPr>
          <w:noProof/>
        </w:rPr>
        <w:t>,</w:t>
      </w:r>
      <w:r>
        <w:rPr>
          <w:noProof/>
        </w:rPr>
        <w:t>0</w:t>
      </w:r>
      <w:r w:rsidRPr="00D772C0">
        <w:rPr>
          <w:noProof/>
        </w:rPr>
        <w:t xml:space="preserve"> млн. лв. или </w:t>
      </w:r>
      <w:r w:rsidR="008700E1">
        <w:rPr>
          <w:noProof/>
        </w:rPr>
        <w:t>50</w:t>
      </w:r>
      <w:r w:rsidRPr="00D772C0">
        <w:rPr>
          <w:noProof/>
        </w:rPr>
        <w:t>,</w:t>
      </w:r>
      <w:r w:rsidR="008700E1">
        <w:rPr>
          <w:noProof/>
        </w:rPr>
        <w:t>2</w:t>
      </w:r>
      <w:r w:rsidRPr="00D772C0">
        <w:rPr>
          <w:noProof/>
        </w:rPr>
        <w:t xml:space="preserve"> % от годишния разчет.</w:t>
      </w:r>
    </w:p>
    <w:p w14:paraId="21947317" w14:textId="07654F93" w:rsidR="007B386B" w:rsidRDefault="007B386B" w:rsidP="007B386B">
      <w:pPr>
        <w:spacing w:after="120"/>
        <w:jc w:val="both"/>
      </w:pPr>
      <w:r w:rsidRPr="00F0333F">
        <w:rPr>
          <w:lang w:eastAsia="en-US"/>
        </w:rPr>
        <w:t xml:space="preserve">- Предвидените със ЗДБРБ за 2024 г. средства </w:t>
      </w:r>
      <w:r w:rsidRPr="00F0333F">
        <w:rPr>
          <w:noProof/>
          <w:lang w:eastAsia="en-US"/>
        </w:rPr>
        <w:t xml:space="preserve">за субсидиране на превоза на пътници по нерентабилни автобусни линии във вътрешноградския транспорт и транспорта в планински и други райони, включително и за Столична община – вътрешноградски транспорт, </w:t>
      </w:r>
      <w:r w:rsidRPr="00F0333F">
        <w:rPr>
          <w:lang w:eastAsia="en-US"/>
        </w:rPr>
        <w:t xml:space="preserve">са в размер на 188,0 млн. лева. По своя характер те са обществени превозни услуги от общ икономически интерес и имат предимно социална насоченост – масови превози до и от работните места в рамките на града и превози до малки отдалечени селища, осигуряващи връзка с общинския център. </w:t>
      </w:r>
      <w:r w:rsidRPr="0047731F">
        <w:rPr>
          <w:lang w:eastAsia="en-US"/>
        </w:rPr>
        <w:t>Средствата се разпределят по общини по предложение на Министерството на транспорта и съобщенията, с изключение на тези за Столична община</w:t>
      </w:r>
      <w:r>
        <w:rPr>
          <w:lang w:eastAsia="en-US"/>
        </w:rPr>
        <w:t>.</w:t>
      </w:r>
      <w:r w:rsidRPr="0047731F">
        <w:rPr>
          <w:lang w:eastAsia="en-US"/>
        </w:rPr>
        <w:t xml:space="preserve"> </w:t>
      </w:r>
      <w:r w:rsidRPr="00F0333F">
        <w:rPr>
          <w:noProof/>
          <w:lang w:eastAsia="en-US"/>
        </w:rPr>
        <w:t>Към първото полугодие на 202</w:t>
      </w:r>
      <w:r>
        <w:rPr>
          <w:noProof/>
          <w:lang w:eastAsia="en-US"/>
        </w:rPr>
        <w:t>4</w:t>
      </w:r>
      <w:r w:rsidRPr="00F0333F">
        <w:rPr>
          <w:noProof/>
          <w:lang w:eastAsia="en-US"/>
        </w:rPr>
        <w:t xml:space="preserve"> г. усвоените средства за субсидиране на превоза на пътници по нерентабилни автобусни линии във вътрешноградския транспорт и транспорта в планински и други райони, включително Столична община</w:t>
      </w:r>
      <w:r w:rsidRPr="00E56679">
        <w:rPr>
          <w:noProof/>
          <w:color w:val="0070C0"/>
          <w:lang w:eastAsia="en-US"/>
        </w:rPr>
        <w:t xml:space="preserve">, </w:t>
      </w:r>
      <w:r w:rsidRPr="00A72604">
        <w:rPr>
          <w:noProof/>
          <w:lang w:eastAsia="en-US"/>
        </w:rPr>
        <w:t>са 84,9 млн. лв. Изпълнението спрямо годишния план е 45,2 на сто.</w:t>
      </w:r>
      <w:r w:rsidRPr="00A72604">
        <w:t xml:space="preserve"> </w:t>
      </w:r>
    </w:p>
    <w:p w14:paraId="194843A6" w14:textId="680CB0EE" w:rsidR="008700E1" w:rsidRPr="00272952" w:rsidRDefault="008700E1" w:rsidP="008700E1">
      <w:pPr>
        <w:widowControl w:val="0"/>
        <w:jc w:val="both"/>
        <w:rPr>
          <w:noProof/>
          <w:lang w:eastAsia="en-US"/>
        </w:rPr>
      </w:pPr>
      <w:r>
        <w:t xml:space="preserve">- </w:t>
      </w:r>
      <w:r w:rsidRPr="00272952">
        <w:rPr>
          <w:noProof/>
          <w:lang w:eastAsia="en-US"/>
        </w:rPr>
        <w:t>Предоставените средства за компенсиране на намалените приходи от прилагането на цени за пътуване, предвидени в нормативни актове за определени категории пътници, по вътрешноградския транспорт и междуселищния автомобилен транспорт към 30.06.2024 г.</w:t>
      </w:r>
      <w:r>
        <w:rPr>
          <w:noProof/>
          <w:lang w:eastAsia="en-US"/>
        </w:rPr>
        <w:t xml:space="preserve"> са </w:t>
      </w:r>
      <w:r w:rsidRPr="00272952">
        <w:rPr>
          <w:noProof/>
          <w:lang w:eastAsia="en-US"/>
        </w:rPr>
        <w:t xml:space="preserve">в размер на 110,2 млн. лв. </w:t>
      </w:r>
      <w:r>
        <w:rPr>
          <w:noProof/>
          <w:lang w:eastAsia="en-US"/>
        </w:rPr>
        <w:t>Средствата, д</w:t>
      </w:r>
      <w:r w:rsidRPr="00272952">
        <w:rPr>
          <w:noProof/>
          <w:lang w:eastAsia="en-US"/>
        </w:rPr>
        <w:t>иференцирани по групи правоимащи лица и по размер на намалението спрямо редовната цена, са както следва:</w:t>
      </w:r>
    </w:p>
    <w:p w14:paraId="0457F965" w14:textId="77777777" w:rsidR="008700E1" w:rsidRPr="00272952" w:rsidRDefault="008700E1" w:rsidP="008700E1">
      <w:pPr>
        <w:widowControl w:val="0"/>
        <w:ind w:firstLine="737"/>
        <w:jc w:val="both"/>
        <w:rPr>
          <w:noProof/>
          <w:lang w:eastAsia="en-US"/>
        </w:rPr>
      </w:pPr>
      <w:r w:rsidRPr="00272952">
        <w:rPr>
          <w:noProof/>
          <w:lang w:eastAsia="en-US"/>
        </w:rPr>
        <w:t xml:space="preserve">- 42,4 млн. лв. за транспорт на деца и ученици; </w:t>
      </w:r>
    </w:p>
    <w:p w14:paraId="3A0C3496" w14:textId="191895EA" w:rsidR="008700E1" w:rsidRPr="00272952" w:rsidRDefault="008700E1" w:rsidP="008700E1">
      <w:pPr>
        <w:widowControl w:val="0"/>
        <w:ind w:firstLine="737"/>
        <w:jc w:val="both"/>
        <w:rPr>
          <w:noProof/>
          <w:lang w:eastAsia="en-US"/>
        </w:rPr>
      </w:pPr>
      <w:r w:rsidRPr="00272952">
        <w:rPr>
          <w:noProof/>
          <w:lang w:eastAsia="en-US"/>
        </w:rPr>
        <w:t>- 67,8 млн. лв. за безплатни и по намалени цени пътувания по общини, в това число:</w:t>
      </w:r>
      <w:r>
        <w:rPr>
          <w:noProof/>
          <w:lang w:eastAsia="en-US"/>
        </w:rPr>
        <w:t xml:space="preserve"> </w:t>
      </w:r>
      <w:r w:rsidRPr="00272952">
        <w:rPr>
          <w:noProof/>
          <w:lang w:eastAsia="en-US"/>
        </w:rPr>
        <w:t>59,3 млн. лв. за безплатни пътувания на деца до седемгодишна възраст, ветерани от войните, военноинвалиди и военнопострадали, както и пътувания по намалени цени на деца от 7 до 14 навършени години, учащи се и лица, получаващи пенсия, лица с намалена работоспособност над 70,99 на 100 с вътрешноградския транспорт и между</w:t>
      </w:r>
      <w:r>
        <w:rPr>
          <w:noProof/>
          <w:lang w:eastAsia="en-US"/>
        </w:rPr>
        <w:t>селищния автомобилен транспорт и</w:t>
      </w:r>
    </w:p>
    <w:p w14:paraId="54AA6DBA" w14:textId="2FF04FE1" w:rsidR="008700E1" w:rsidRDefault="008700E1" w:rsidP="008700E1">
      <w:pPr>
        <w:spacing w:after="120"/>
        <w:jc w:val="both"/>
        <w:rPr>
          <w:noProof/>
          <w:lang w:eastAsia="en-US"/>
        </w:rPr>
      </w:pPr>
      <w:r w:rsidRPr="00272952">
        <w:rPr>
          <w:noProof/>
          <w:lang w:eastAsia="en-US"/>
        </w:rPr>
        <w:t>8,5 млн. лв. за превоз на служители, ползващи право на безплатно пътуване при изпълнение на служебните си задължения.</w:t>
      </w:r>
    </w:p>
    <w:p w14:paraId="313536A4" w14:textId="7573EED1" w:rsidR="006E52FB" w:rsidRPr="00E56679" w:rsidRDefault="006E52FB" w:rsidP="008700E1">
      <w:pPr>
        <w:spacing w:after="120"/>
        <w:jc w:val="both"/>
        <w:rPr>
          <w:noProof/>
          <w:color w:val="0070C0"/>
          <w:lang w:eastAsia="en-US"/>
        </w:rPr>
      </w:pPr>
      <w:r>
        <w:rPr>
          <w:noProof/>
          <w:lang w:eastAsia="en-US"/>
        </w:rPr>
        <w:t xml:space="preserve">- </w:t>
      </w:r>
      <w:r w:rsidRPr="00272952">
        <w:rPr>
          <w:noProof/>
          <w:lang w:eastAsia="en-US"/>
        </w:rPr>
        <w:t>Предоставените средства към 30.06.2024 г. за компенсиране на намалените приходи от прилагането на намалени цени за пътувания с железопътния транспорт са в размер на 4,0 млн. лв.</w:t>
      </w:r>
    </w:p>
    <w:p w14:paraId="570FF0A7" w14:textId="77777777" w:rsidR="007B386B" w:rsidRPr="00E56679" w:rsidRDefault="007B386B" w:rsidP="007B386B">
      <w:pPr>
        <w:jc w:val="both"/>
        <w:rPr>
          <w:color w:val="0070C0"/>
          <w:sz w:val="8"/>
          <w:szCs w:val="8"/>
          <w:lang w:eastAsia="en-US"/>
        </w:rPr>
      </w:pPr>
    </w:p>
    <w:p w14:paraId="19901275" w14:textId="77777777" w:rsidR="007B386B" w:rsidRPr="00F0333F" w:rsidRDefault="007B386B" w:rsidP="007B386B">
      <w:pPr>
        <w:numPr>
          <w:ilvl w:val="0"/>
          <w:numId w:val="2"/>
        </w:numPr>
        <w:tabs>
          <w:tab w:val="clear" w:pos="900"/>
          <w:tab w:val="left" w:pos="426"/>
        </w:tabs>
        <w:autoSpaceDE w:val="0"/>
        <w:autoSpaceDN w:val="0"/>
        <w:adjustRightInd w:val="0"/>
        <w:ind w:left="0" w:firstLine="142"/>
        <w:jc w:val="both"/>
        <w:rPr>
          <w:b/>
          <w:i/>
        </w:rPr>
      </w:pPr>
      <w:r w:rsidRPr="00F0333F">
        <w:rPr>
          <w:b/>
          <w:i/>
        </w:rPr>
        <w:t>Земеделие</w:t>
      </w:r>
    </w:p>
    <w:p w14:paraId="4720D989" w14:textId="77777777" w:rsidR="007B386B" w:rsidRPr="00F0333F" w:rsidRDefault="007B386B" w:rsidP="007B386B">
      <w:pPr>
        <w:jc w:val="both"/>
        <w:rPr>
          <w:sz w:val="12"/>
          <w:szCs w:val="12"/>
        </w:rPr>
      </w:pPr>
    </w:p>
    <w:p w14:paraId="52463E1A" w14:textId="77777777" w:rsidR="007B386B" w:rsidRPr="00391E40" w:rsidRDefault="007B386B" w:rsidP="007B386B">
      <w:pPr>
        <w:jc w:val="both"/>
      </w:pPr>
      <w:r w:rsidRPr="00F0333F">
        <w:t xml:space="preserve">Към 30.06.2024 г. чрез бюджета на Държавен фонд „Земеделие” (ДФЗ) и сметката за средства от Европейския съюз на РА към ДФЗ са изплатени субсидии за нефинансови предприятия в размер на </w:t>
      </w:r>
      <w:r w:rsidRPr="00391E40">
        <w:t>602,4 млн. лв., в това число: държавна помощ-субсидия в размер на 369,9 млн. лв., национално съфинансиране към ЕЗФРСР за директни плащания – 111,2 млн. лв., преходна национална помощ за тютюн – 69,5 млн. лв., текущи субсидии за пазарни мерки – 29,0 млн. лв., средства за ДДС по схеми „Училищен плод“ и „Училищно мляко“ – 5,8 млн. лв., средства по Програмата за развитие на селските райони в размер на 4,2 млн. лв. и други. Изплатените субсидии  за първите шест месеца на 2024 г. на организации с нестопанска цел са в размер на 10,5 млн. лева.</w:t>
      </w:r>
    </w:p>
    <w:p w14:paraId="6BC94369" w14:textId="77777777" w:rsidR="007B386B" w:rsidRPr="00E56679" w:rsidRDefault="007B386B" w:rsidP="007B386B">
      <w:pPr>
        <w:jc w:val="both"/>
        <w:rPr>
          <w:color w:val="0070C0"/>
          <w:sz w:val="8"/>
          <w:szCs w:val="8"/>
        </w:rPr>
      </w:pPr>
    </w:p>
    <w:p w14:paraId="232BF66D" w14:textId="77777777" w:rsidR="007B386B" w:rsidRPr="00F0333F" w:rsidRDefault="007B386B" w:rsidP="007B386B">
      <w:pPr>
        <w:numPr>
          <w:ilvl w:val="0"/>
          <w:numId w:val="2"/>
        </w:numPr>
        <w:tabs>
          <w:tab w:val="clear" w:pos="900"/>
          <w:tab w:val="left" w:pos="426"/>
        </w:tabs>
        <w:autoSpaceDE w:val="0"/>
        <w:autoSpaceDN w:val="0"/>
        <w:adjustRightInd w:val="0"/>
        <w:ind w:left="0" w:firstLine="142"/>
        <w:jc w:val="both"/>
        <w:rPr>
          <w:b/>
          <w:i/>
        </w:rPr>
      </w:pPr>
      <w:r w:rsidRPr="00F0333F">
        <w:rPr>
          <w:b/>
          <w:i/>
        </w:rPr>
        <w:t>Програми за заетост</w:t>
      </w:r>
    </w:p>
    <w:p w14:paraId="689980FF" w14:textId="77777777" w:rsidR="007B386B" w:rsidRPr="00E56679" w:rsidRDefault="007B386B" w:rsidP="007B386B">
      <w:pPr>
        <w:tabs>
          <w:tab w:val="num" w:pos="1620"/>
        </w:tabs>
        <w:autoSpaceDE w:val="0"/>
        <w:autoSpaceDN w:val="0"/>
        <w:adjustRightInd w:val="0"/>
        <w:jc w:val="both"/>
        <w:rPr>
          <w:b/>
          <w:i/>
          <w:color w:val="0070C0"/>
          <w:sz w:val="8"/>
          <w:szCs w:val="8"/>
        </w:rPr>
      </w:pPr>
    </w:p>
    <w:p w14:paraId="63F6A8D3" w14:textId="59B72012" w:rsidR="007B386B" w:rsidRPr="00E56679" w:rsidRDefault="007B386B" w:rsidP="007B386B">
      <w:pPr>
        <w:spacing w:after="240"/>
        <w:jc w:val="both"/>
        <w:rPr>
          <w:color w:val="0070C0"/>
        </w:rPr>
      </w:pPr>
      <w:r w:rsidRPr="00F0333F">
        <w:t xml:space="preserve">Предоставяните субсидии и други текущи трансфери за  нефинансови предприятия по програмите за заетост за 2024 г. от МТСП са насочени към осигуряване на трайна заетост и стимулиране  разкриването на нови работни места в реалния сектор. За първите шест месеца на годината са </w:t>
      </w:r>
      <w:r w:rsidRPr="0055447E">
        <w:t xml:space="preserve">изплатени </w:t>
      </w:r>
      <w:r w:rsidR="0055447E" w:rsidRPr="0055447E">
        <w:t xml:space="preserve">23,5 </w:t>
      </w:r>
      <w:r w:rsidRPr="0055447E">
        <w:t>млн. лв. за програми и мерки за заетост.</w:t>
      </w:r>
    </w:p>
    <w:p w14:paraId="08B79FF7" w14:textId="77777777" w:rsidR="007B386B" w:rsidRPr="00F0333F" w:rsidRDefault="007B386B" w:rsidP="007B386B">
      <w:pPr>
        <w:numPr>
          <w:ilvl w:val="0"/>
          <w:numId w:val="1"/>
        </w:numPr>
        <w:tabs>
          <w:tab w:val="num" w:pos="1440"/>
        </w:tabs>
        <w:autoSpaceDE w:val="0"/>
        <w:autoSpaceDN w:val="0"/>
        <w:adjustRightInd w:val="0"/>
        <w:spacing w:after="240"/>
        <w:ind w:left="0" w:firstLine="0"/>
        <w:rPr>
          <w:b/>
          <w:i/>
          <w:u w:val="single"/>
        </w:rPr>
      </w:pPr>
      <w:r w:rsidRPr="00F0333F">
        <w:rPr>
          <w:b/>
          <w:i/>
          <w:u w:val="single"/>
        </w:rPr>
        <w:t>Субсидии за системата на здравеопазването</w:t>
      </w:r>
    </w:p>
    <w:p w14:paraId="07807D22" w14:textId="77777777" w:rsidR="007B386B" w:rsidRPr="00F0333F" w:rsidRDefault="007B386B" w:rsidP="007B386B">
      <w:pPr>
        <w:jc w:val="both"/>
      </w:pPr>
      <w:r w:rsidRPr="00F0333F">
        <w:t xml:space="preserve">Министерство на здравеопазването субсидира лечебните заведения за болнична помощ с държавно и общинско участие въз основа на договор за дейностите, които са определени като държавна отговорност в съответствие с чл. 82 от Закона за здравето и за субсидиране на лечебни заведения за болнична помощ в труднодостъпни и/или отдалечени райони, в съответствие с чл.106 от Закона за лечебните заведения, по критерии и ред, определени от министъра на здравеопазването. </w:t>
      </w:r>
    </w:p>
    <w:p w14:paraId="674D2FE1" w14:textId="77777777" w:rsidR="007B386B" w:rsidRPr="00E56679" w:rsidRDefault="007B386B" w:rsidP="007B386B">
      <w:pPr>
        <w:jc w:val="both"/>
        <w:rPr>
          <w:color w:val="0070C0"/>
          <w:sz w:val="8"/>
          <w:szCs w:val="8"/>
        </w:rPr>
      </w:pPr>
    </w:p>
    <w:p w14:paraId="1732C33A" w14:textId="77777777" w:rsidR="007B386B" w:rsidRPr="00611918" w:rsidRDefault="007B386B" w:rsidP="007B386B">
      <w:pPr>
        <w:jc w:val="both"/>
      </w:pPr>
      <w:r w:rsidRPr="00F0333F">
        <w:t>Общият размер на предвидените в разчетите за годината средства за субсидии за системата на здравеопазването е 325,1 млн. лв. От тях за първото полугодие на 2024 г. са усвоени средства</w:t>
      </w:r>
      <w:r w:rsidRPr="00E56679">
        <w:rPr>
          <w:color w:val="0070C0"/>
        </w:rPr>
        <w:t xml:space="preserve"> </w:t>
      </w:r>
      <w:r w:rsidRPr="00F0333F">
        <w:t xml:space="preserve">в размер на 165,8 млн. лв., от които 157,0 млн. лв. по държавния бюджет и 8,9 млн. лв. – по бюджета на общините. </w:t>
      </w:r>
      <w:r w:rsidRPr="00611918">
        <w:t xml:space="preserve">В рамките на този ресурс на болниците е предоставена изравнителна субсидия за дейностите, изпълнени по договорите до края на 2023 година. </w:t>
      </w:r>
    </w:p>
    <w:p w14:paraId="11783E8C" w14:textId="77777777" w:rsidR="007B386B" w:rsidRPr="00AE4C66" w:rsidRDefault="007B386B" w:rsidP="007B386B">
      <w:pPr>
        <w:pStyle w:val="Heading3"/>
        <w:numPr>
          <w:ilvl w:val="2"/>
          <w:numId w:val="18"/>
        </w:numPr>
        <w:spacing w:after="120"/>
        <w:ind w:left="567" w:hanging="567"/>
        <w:rPr>
          <w:rFonts w:ascii="Times New Roman" w:hAnsi="Times New Roman" w:cs="Times New Roman"/>
          <w:i/>
          <w:sz w:val="24"/>
          <w:szCs w:val="24"/>
        </w:rPr>
      </w:pPr>
      <w:bookmarkStart w:id="157" w:name="_Toc239237824"/>
      <w:bookmarkStart w:id="158" w:name="_Toc333586829"/>
      <w:bookmarkStart w:id="159" w:name="_Toc365897043"/>
      <w:bookmarkStart w:id="160" w:name="_Toc365968826"/>
      <w:bookmarkStart w:id="161" w:name="_Toc521343509"/>
      <w:bookmarkStart w:id="162" w:name="_Toc16758097"/>
      <w:bookmarkStart w:id="163" w:name="_Toc18400771"/>
      <w:bookmarkStart w:id="164" w:name="_Toc48734949"/>
      <w:bookmarkStart w:id="165" w:name="_Toc143018869"/>
      <w:bookmarkStart w:id="166" w:name="_Toc174117338"/>
      <w:bookmarkStart w:id="167" w:name="_Toc176351936"/>
      <w:r w:rsidRPr="00AE4C66">
        <w:rPr>
          <w:rFonts w:ascii="Times New Roman" w:hAnsi="Times New Roman" w:cs="Times New Roman"/>
          <w:i/>
          <w:sz w:val="24"/>
          <w:szCs w:val="24"/>
        </w:rPr>
        <w:t>Социални и здравноосигурителни</w:t>
      </w:r>
      <w:bookmarkEnd w:id="157"/>
      <w:bookmarkEnd w:id="158"/>
      <w:bookmarkEnd w:id="159"/>
      <w:bookmarkEnd w:id="160"/>
      <w:r w:rsidRPr="00AE4C66">
        <w:rPr>
          <w:rFonts w:ascii="Times New Roman" w:hAnsi="Times New Roman" w:cs="Times New Roman"/>
          <w:i/>
          <w:sz w:val="24"/>
          <w:szCs w:val="24"/>
        </w:rPr>
        <w:t xml:space="preserve"> плащания</w:t>
      </w:r>
      <w:bookmarkEnd w:id="161"/>
      <w:bookmarkEnd w:id="162"/>
      <w:bookmarkEnd w:id="163"/>
      <w:bookmarkEnd w:id="164"/>
      <w:bookmarkEnd w:id="165"/>
      <w:bookmarkEnd w:id="166"/>
      <w:bookmarkEnd w:id="167"/>
    </w:p>
    <w:p w14:paraId="4D04365C" w14:textId="77777777" w:rsidR="007B386B" w:rsidRPr="00AE4C66" w:rsidRDefault="007B386B" w:rsidP="007B386B">
      <w:pPr>
        <w:autoSpaceDE w:val="0"/>
        <w:autoSpaceDN w:val="0"/>
        <w:adjustRightInd w:val="0"/>
        <w:spacing w:after="120"/>
        <w:jc w:val="both"/>
        <w:rPr>
          <w:sz w:val="12"/>
          <w:szCs w:val="12"/>
        </w:rPr>
      </w:pPr>
      <w:r w:rsidRPr="00AE4C66">
        <w:t>Общата сума на социално и здравноосигурителните разходи на консолидирана база за  първото полугодие на 2024 г. е 16 340,5 млн. лв., което представлява 46,8 % от разчета за годината. Тук се включват разходите за: пенсии, социални помощи и обезщетения и здравноосигурителни плащания.</w:t>
      </w:r>
      <w:r w:rsidRPr="00AE4C66">
        <w:rPr>
          <w:lang w:val="ru-RU"/>
        </w:rPr>
        <w:t xml:space="preserve"> </w:t>
      </w:r>
      <w:r w:rsidRPr="00AE4C66">
        <w:t>В структурно отношение социалните и здравно</w:t>
      </w:r>
      <w:r w:rsidRPr="00AE4C66">
        <w:rPr>
          <w:lang w:val="ru-RU"/>
        </w:rPr>
        <w:t>-</w:t>
      </w:r>
      <w:r w:rsidRPr="00AE4C66">
        <w:t xml:space="preserve">осигурителни разходи са с най-висок относителен дял (46,6 %) в общите разходи по КФП (вкл. вноската в общия бюджет на ЕС), което се обуславя от тяхната </w:t>
      </w:r>
      <w:proofErr w:type="spellStart"/>
      <w:r w:rsidRPr="00AE4C66">
        <w:t>приоритетност</w:t>
      </w:r>
      <w:proofErr w:type="spellEnd"/>
      <w:r w:rsidRPr="00AE4C66">
        <w:t xml:space="preserve"> и провежданата социална политика, насочена към гарантиране на социална подкрепа на най-уязвимите групи от населението, в условията на неблагоприятна демографска среда. </w:t>
      </w:r>
    </w:p>
    <w:p w14:paraId="35A6356C" w14:textId="77777777" w:rsidR="007B386B" w:rsidRPr="00E56679" w:rsidRDefault="007B386B" w:rsidP="007B386B">
      <w:pPr>
        <w:autoSpaceDE w:val="0"/>
        <w:autoSpaceDN w:val="0"/>
        <w:adjustRightInd w:val="0"/>
        <w:jc w:val="both"/>
        <w:rPr>
          <w:color w:val="0070C0"/>
          <w:sz w:val="8"/>
          <w:szCs w:val="8"/>
        </w:rPr>
      </w:pPr>
    </w:p>
    <w:p w14:paraId="445C4D72" w14:textId="77777777" w:rsidR="007B386B" w:rsidRPr="00D16DB2" w:rsidRDefault="007B386B" w:rsidP="007B386B">
      <w:pPr>
        <w:numPr>
          <w:ilvl w:val="0"/>
          <w:numId w:val="1"/>
        </w:numPr>
        <w:tabs>
          <w:tab w:val="num" w:pos="284"/>
          <w:tab w:val="num" w:pos="1440"/>
        </w:tabs>
        <w:autoSpaceDE w:val="0"/>
        <w:autoSpaceDN w:val="0"/>
        <w:adjustRightInd w:val="0"/>
        <w:ind w:left="0" w:firstLine="0"/>
        <w:jc w:val="both"/>
        <w:rPr>
          <w:b/>
          <w:i/>
        </w:rPr>
      </w:pPr>
      <w:r w:rsidRPr="00D16DB2">
        <w:rPr>
          <w:b/>
          <w:i/>
        </w:rPr>
        <w:t>Разходи за пенсии</w:t>
      </w:r>
    </w:p>
    <w:p w14:paraId="2413E6C2" w14:textId="77777777" w:rsidR="007B386B" w:rsidRPr="00D16DB2" w:rsidRDefault="007B386B" w:rsidP="007B386B">
      <w:pPr>
        <w:autoSpaceDE w:val="0"/>
        <w:autoSpaceDN w:val="0"/>
        <w:adjustRightInd w:val="0"/>
        <w:jc w:val="both"/>
        <w:rPr>
          <w:b/>
          <w:i/>
          <w:sz w:val="4"/>
          <w:szCs w:val="4"/>
        </w:rPr>
      </w:pPr>
    </w:p>
    <w:p w14:paraId="2A8859E0" w14:textId="34B4BDB8" w:rsidR="007B386B" w:rsidRPr="00CA790D" w:rsidRDefault="007B386B" w:rsidP="007B386B">
      <w:pPr>
        <w:spacing w:after="120"/>
        <w:jc w:val="both"/>
        <w:rPr>
          <w:sz w:val="12"/>
          <w:szCs w:val="12"/>
        </w:rPr>
      </w:pPr>
      <w:r w:rsidRPr="00D16DB2">
        <w:t xml:space="preserve">Разходите за пенсии за отчетния период са в размер на </w:t>
      </w:r>
      <w:r>
        <w:t>10</w:t>
      </w:r>
      <w:r w:rsidRPr="00E56679">
        <w:rPr>
          <w:color w:val="0070C0"/>
        </w:rPr>
        <w:t> </w:t>
      </w:r>
      <w:r w:rsidRPr="00776E82">
        <w:t>249,7 млн. лв., което представлява 47,2 % от разчета за годината. В тази сума са включени разходите за пенсии от ДОО и УПФ. Спрямо полугодието на 2023 г. са изплатени 1 173,1 млн. лв. повече</w:t>
      </w:r>
      <w:r>
        <w:t>,</w:t>
      </w:r>
      <w:r w:rsidRPr="00CA790D">
        <w:t xml:space="preserve"> вследствие на изплатените по-високи пенсии, след влезлите в сила увеличения от юли 2023 г. и юли 2024 г.</w:t>
      </w:r>
      <w:r>
        <w:t xml:space="preserve"> </w:t>
      </w:r>
      <w:r w:rsidRPr="00CA790D">
        <w:rPr>
          <w:lang w:eastAsia="en-US"/>
        </w:rPr>
        <w:t>Средният месечен размер на пенсията на един пенсионер за осигурителен стаж и възраст за м. юни 2024</w:t>
      </w:r>
      <w:r w:rsidR="00354888">
        <w:rPr>
          <w:lang w:eastAsia="en-US"/>
        </w:rPr>
        <w:t> </w:t>
      </w:r>
      <w:r w:rsidRPr="00CA790D">
        <w:rPr>
          <w:lang w:eastAsia="en-US"/>
        </w:rPr>
        <w:t xml:space="preserve">г. е </w:t>
      </w:r>
      <w:r w:rsidR="0055621D" w:rsidRPr="0055621D">
        <w:rPr>
          <w:lang w:eastAsia="en-US"/>
        </w:rPr>
        <w:t>910,65 лв.</w:t>
      </w:r>
      <w:r w:rsidRPr="0055621D">
        <w:rPr>
          <w:lang w:eastAsia="en-US"/>
        </w:rPr>
        <w:t xml:space="preserve"> Средната </w:t>
      </w:r>
      <w:r w:rsidRPr="00CA790D">
        <w:rPr>
          <w:lang w:eastAsia="en-US"/>
        </w:rPr>
        <w:t>пенсия на един пенсионер за осигурителен стаж и възраст за м. юни 2023</w:t>
      </w:r>
      <w:r>
        <w:rPr>
          <w:lang w:eastAsia="en-US"/>
        </w:rPr>
        <w:t xml:space="preserve"> е б</w:t>
      </w:r>
      <w:r w:rsidRPr="00CA790D">
        <w:rPr>
          <w:lang w:eastAsia="en-US"/>
        </w:rPr>
        <w:t>ил</w:t>
      </w:r>
      <w:r w:rsidRPr="00E56679">
        <w:rPr>
          <w:color w:val="0070C0"/>
          <w:lang w:eastAsia="en-US"/>
        </w:rPr>
        <w:t xml:space="preserve"> </w:t>
      </w:r>
      <w:r w:rsidRPr="00CA790D">
        <w:rPr>
          <w:lang w:eastAsia="en-US"/>
        </w:rPr>
        <w:t>807,65 лева.</w:t>
      </w:r>
    </w:p>
    <w:p w14:paraId="4BEC9F18" w14:textId="77777777" w:rsidR="007B386B" w:rsidRPr="00D16DB2" w:rsidRDefault="007B386B" w:rsidP="007B386B">
      <w:pPr>
        <w:numPr>
          <w:ilvl w:val="0"/>
          <w:numId w:val="1"/>
        </w:numPr>
        <w:tabs>
          <w:tab w:val="num" w:pos="284"/>
          <w:tab w:val="num" w:pos="1440"/>
        </w:tabs>
        <w:autoSpaceDE w:val="0"/>
        <w:autoSpaceDN w:val="0"/>
        <w:adjustRightInd w:val="0"/>
        <w:spacing w:after="120"/>
        <w:ind w:left="0" w:firstLine="0"/>
        <w:jc w:val="both"/>
        <w:rPr>
          <w:b/>
          <w:i/>
        </w:rPr>
      </w:pPr>
      <w:r w:rsidRPr="00D16DB2">
        <w:rPr>
          <w:b/>
          <w:i/>
        </w:rPr>
        <w:t>Текущи трансфери, обезщетения и помощи за домакинствата</w:t>
      </w:r>
    </w:p>
    <w:p w14:paraId="4FA048D0" w14:textId="77777777" w:rsidR="007B386B" w:rsidRPr="007B6183" w:rsidRDefault="007B386B" w:rsidP="007B386B">
      <w:pPr>
        <w:spacing w:after="120"/>
        <w:jc w:val="both"/>
      </w:pPr>
      <w:r w:rsidRPr="007B6183">
        <w:t xml:space="preserve">Извършените разходи за текущи трансфери, обезщетения и помощи за домакинствата на консолидирана основа през отчетния период са в размер на 2 263,3 млн. лв., което представлява 40,7 % от заложеното в годишните разчети. Разходите са свързани с изплатените обезщетения и помощи на основание на Кодекса за социално осигуряване (КСО), Закона за социално подпомагане, Закона за хората с увреждания и Закона за семейни помощи за деца. В структурно отношение това са разходи, които се извършват основно по държавния бюджет (главно МТСП) и по бюджета на ДОО. </w:t>
      </w:r>
    </w:p>
    <w:p w14:paraId="53163F62" w14:textId="77777777" w:rsidR="007B386B" w:rsidRPr="00E56679" w:rsidRDefault="007B386B" w:rsidP="007B386B">
      <w:pPr>
        <w:jc w:val="both"/>
        <w:rPr>
          <w:color w:val="0070C0"/>
          <w:sz w:val="8"/>
          <w:szCs w:val="8"/>
        </w:rPr>
      </w:pPr>
    </w:p>
    <w:p w14:paraId="178A7B0E" w14:textId="77777777" w:rsidR="007B386B" w:rsidRPr="007B6183" w:rsidRDefault="007B386B" w:rsidP="007B386B">
      <w:pPr>
        <w:jc w:val="both"/>
      </w:pPr>
      <w:r w:rsidRPr="007B6183">
        <w:rPr>
          <w:bCs/>
        </w:rPr>
        <w:t xml:space="preserve">Отчетените разходи за </w:t>
      </w:r>
      <w:r w:rsidRPr="007B6183">
        <w:rPr>
          <w:b/>
          <w:bCs/>
        </w:rPr>
        <w:t>социални помощи и обезщетения по КСО</w:t>
      </w:r>
      <w:r w:rsidRPr="007B6183">
        <w:rPr>
          <w:bCs/>
        </w:rPr>
        <w:t xml:space="preserve"> за първото полугодие на 2024 г. са в размер на 1 276,8 млн. лв. </w:t>
      </w:r>
      <w:r w:rsidRPr="007B6183">
        <w:t xml:space="preserve">От структурна гледна точка с най-голям относителен дял са обезщетенията за временна неработоспособност поради общо заболяване (35,3 %), за бременност/раждане и отглеждане на дете до 2 годишна възраст (33,3 %), и обезщетенията и помощите при безработица (23,3 %). </w:t>
      </w:r>
    </w:p>
    <w:p w14:paraId="369F8381" w14:textId="77777777" w:rsidR="007B386B" w:rsidRPr="00E56679" w:rsidRDefault="007B386B" w:rsidP="007B386B">
      <w:pPr>
        <w:jc w:val="both"/>
        <w:rPr>
          <w:color w:val="0070C0"/>
        </w:rPr>
      </w:pPr>
    </w:p>
    <w:p w14:paraId="2084C747" w14:textId="77777777" w:rsidR="007B386B" w:rsidRPr="00D16DB2" w:rsidRDefault="007B386B" w:rsidP="007B386B">
      <w:pPr>
        <w:numPr>
          <w:ilvl w:val="0"/>
          <w:numId w:val="1"/>
        </w:numPr>
        <w:tabs>
          <w:tab w:val="num" w:pos="284"/>
        </w:tabs>
        <w:autoSpaceDE w:val="0"/>
        <w:autoSpaceDN w:val="0"/>
        <w:adjustRightInd w:val="0"/>
        <w:ind w:left="0" w:firstLine="0"/>
        <w:jc w:val="both"/>
        <w:rPr>
          <w:b/>
          <w:i/>
        </w:rPr>
      </w:pPr>
      <w:r w:rsidRPr="00D16DB2">
        <w:rPr>
          <w:b/>
          <w:i/>
        </w:rPr>
        <w:t>Здравноосигурителни плащания</w:t>
      </w:r>
    </w:p>
    <w:p w14:paraId="20DDB959" w14:textId="77777777" w:rsidR="007B386B" w:rsidRPr="00E56679" w:rsidRDefault="007B386B" w:rsidP="007B386B">
      <w:pPr>
        <w:autoSpaceDE w:val="0"/>
        <w:autoSpaceDN w:val="0"/>
        <w:adjustRightInd w:val="0"/>
        <w:jc w:val="both"/>
        <w:rPr>
          <w:color w:val="0070C0"/>
          <w:sz w:val="8"/>
          <w:szCs w:val="8"/>
        </w:rPr>
      </w:pPr>
    </w:p>
    <w:p w14:paraId="751C5AE7" w14:textId="77777777" w:rsidR="007B386B" w:rsidRPr="00E56679" w:rsidRDefault="007B386B" w:rsidP="007B386B">
      <w:pPr>
        <w:jc w:val="both"/>
        <w:rPr>
          <w:color w:val="0070C0"/>
          <w:sz w:val="2"/>
          <w:szCs w:val="2"/>
        </w:rPr>
      </w:pPr>
    </w:p>
    <w:p w14:paraId="5BD84C5F" w14:textId="77777777" w:rsidR="007B386B" w:rsidRPr="007B6183" w:rsidRDefault="007B386B" w:rsidP="007B386B">
      <w:pPr>
        <w:jc w:val="both"/>
      </w:pPr>
      <w:r w:rsidRPr="007B6183">
        <w:t>Общият размер</w:t>
      </w:r>
      <w:r w:rsidRPr="007B6183">
        <w:rPr>
          <w:bCs/>
        </w:rPr>
        <w:t xml:space="preserve"> на здравноосигурителните плащания за първите шест месеца на 2024 г. е 3 827,5 млн. лв. или 50,2 % от предвидените за 2024 г. здравноосигурителни плащания в размер на 7 630,9 млн. лева. </w:t>
      </w:r>
      <w:r w:rsidRPr="007B6183">
        <w:t>В отделните направления на здравноосигурителните плащания изпълнението на бюджета е следното:</w:t>
      </w:r>
    </w:p>
    <w:p w14:paraId="13F6CD7A" w14:textId="77777777" w:rsidR="007B386B" w:rsidRPr="00E56679" w:rsidRDefault="007B386B" w:rsidP="007B386B">
      <w:pPr>
        <w:jc w:val="both"/>
        <w:rPr>
          <w:color w:val="0070C0"/>
          <w:sz w:val="8"/>
          <w:szCs w:val="8"/>
        </w:rPr>
      </w:pPr>
    </w:p>
    <w:p w14:paraId="7E35898C" w14:textId="77777777" w:rsidR="007B386B" w:rsidRPr="00587467" w:rsidRDefault="007B386B" w:rsidP="007B386B">
      <w:pPr>
        <w:numPr>
          <w:ilvl w:val="0"/>
          <w:numId w:val="35"/>
        </w:numPr>
        <w:tabs>
          <w:tab w:val="left" w:pos="720"/>
        </w:tabs>
        <w:ind w:left="357" w:hanging="357"/>
        <w:jc w:val="both"/>
        <w:rPr>
          <w:i/>
          <w:szCs w:val="20"/>
          <w:lang w:eastAsia="en-US"/>
        </w:rPr>
      </w:pPr>
      <w:r w:rsidRPr="00587467">
        <w:rPr>
          <w:i/>
          <w:szCs w:val="20"/>
          <w:lang w:eastAsia="en-US"/>
        </w:rPr>
        <w:t xml:space="preserve">Първична </w:t>
      </w:r>
      <w:proofErr w:type="spellStart"/>
      <w:r w:rsidRPr="00587467">
        <w:rPr>
          <w:i/>
          <w:szCs w:val="20"/>
          <w:lang w:eastAsia="en-US"/>
        </w:rPr>
        <w:t>извънболнична</w:t>
      </w:r>
      <w:proofErr w:type="spellEnd"/>
      <w:r w:rsidRPr="00587467">
        <w:rPr>
          <w:i/>
          <w:szCs w:val="20"/>
          <w:lang w:eastAsia="en-US"/>
        </w:rPr>
        <w:t xml:space="preserve"> медицинска помощ – 266,1 млн. лева; </w:t>
      </w:r>
    </w:p>
    <w:p w14:paraId="66EAC3F5" w14:textId="77777777" w:rsidR="007B386B" w:rsidRPr="00587467" w:rsidRDefault="007B386B" w:rsidP="007B386B">
      <w:pPr>
        <w:numPr>
          <w:ilvl w:val="0"/>
          <w:numId w:val="35"/>
        </w:numPr>
        <w:tabs>
          <w:tab w:val="left" w:pos="720"/>
        </w:tabs>
        <w:ind w:left="357" w:hanging="357"/>
        <w:jc w:val="both"/>
        <w:rPr>
          <w:i/>
          <w:szCs w:val="20"/>
          <w:lang w:eastAsia="en-US"/>
        </w:rPr>
      </w:pPr>
      <w:r w:rsidRPr="00587467">
        <w:rPr>
          <w:i/>
          <w:szCs w:val="20"/>
          <w:lang w:eastAsia="en-US"/>
        </w:rPr>
        <w:t xml:space="preserve">Специализирана </w:t>
      </w:r>
      <w:proofErr w:type="spellStart"/>
      <w:r w:rsidRPr="00587467">
        <w:rPr>
          <w:i/>
          <w:szCs w:val="20"/>
          <w:lang w:eastAsia="en-US"/>
        </w:rPr>
        <w:t>извънболнична</w:t>
      </w:r>
      <w:proofErr w:type="spellEnd"/>
      <w:r w:rsidRPr="00587467">
        <w:rPr>
          <w:i/>
          <w:szCs w:val="20"/>
          <w:lang w:eastAsia="en-US"/>
        </w:rPr>
        <w:t xml:space="preserve"> медицинска помощ  – 283,1 млн. лева;</w:t>
      </w:r>
    </w:p>
    <w:p w14:paraId="576C70D5" w14:textId="77777777" w:rsidR="007B386B" w:rsidRPr="00587467" w:rsidRDefault="007B386B" w:rsidP="007B386B">
      <w:pPr>
        <w:numPr>
          <w:ilvl w:val="0"/>
          <w:numId w:val="35"/>
        </w:numPr>
        <w:tabs>
          <w:tab w:val="left" w:pos="720"/>
        </w:tabs>
        <w:ind w:left="357" w:hanging="357"/>
        <w:jc w:val="both"/>
        <w:rPr>
          <w:i/>
          <w:szCs w:val="20"/>
          <w:lang w:eastAsia="en-US"/>
        </w:rPr>
      </w:pPr>
      <w:r w:rsidRPr="00587467">
        <w:rPr>
          <w:i/>
          <w:szCs w:val="20"/>
          <w:lang w:eastAsia="en-US"/>
        </w:rPr>
        <w:t>Дентална помощ – 200,</w:t>
      </w:r>
      <w:r w:rsidRPr="00587467">
        <w:rPr>
          <w:i/>
          <w:szCs w:val="20"/>
          <w:lang w:val="en-US" w:eastAsia="en-US"/>
        </w:rPr>
        <w:t>2</w:t>
      </w:r>
      <w:r w:rsidRPr="00587467">
        <w:rPr>
          <w:i/>
          <w:szCs w:val="20"/>
          <w:lang w:eastAsia="en-US"/>
        </w:rPr>
        <w:t xml:space="preserve"> млн. лева;</w:t>
      </w:r>
    </w:p>
    <w:p w14:paraId="76318B9E" w14:textId="77777777" w:rsidR="007B386B" w:rsidRPr="00587467" w:rsidRDefault="007B386B" w:rsidP="007B386B">
      <w:pPr>
        <w:numPr>
          <w:ilvl w:val="0"/>
          <w:numId w:val="35"/>
        </w:numPr>
        <w:tabs>
          <w:tab w:val="left" w:pos="720"/>
        </w:tabs>
        <w:ind w:left="357" w:hanging="357"/>
        <w:jc w:val="both"/>
        <w:rPr>
          <w:i/>
          <w:szCs w:val="20"/>
          <w:lang w:eastAsia="en-US"/>
        </w:rPr>
      </w:pPr>
      <w:r w:rsidRPr="00587467">
        <w:rPr>
          <w:i/>
          <w:szCs w:val="20"/>
          <w:lang w:eastAsia="en-US"/>
        </w:rPr>
        <w:t xml:space="preserve">Медико-диагностична дейност – 99,3 млн. лева; </w:t>
      </w:r>
    </w:p>
    <w:p w14:paraId="65C63058" w14:textId="77777777" w:rsidR="007B386B" w:rsidRPr="00587467" w:rsidRDefault="007B386B" w:rsidP="007B386B">
      <w:pPr>
        <w:numPr>
          <w:ilvl w:val="0"/>
          <w:numId w:val="35"/>
        </w:numPr>
        <w:tabs>
          <w:tab w:val="left" w:pos="720"/>
        </w:tabs>
        <w:ind w:left="357" w:hanging="357"/>
        <w:jc w:val="both"/>
        <w:rPr>
          <w:i/>
          <w:szCs w:val="20"/>
          <w:lang w:eastAsia="en-US"/>
        </w:rPr>
      </w:pPr>
      <w:r w:rsidRPr="00587467">
        <w:rPr>
          <w:i/>
          <w:szCs w:val="20"/>
          <w:lang w:eastAsia="en-US"/>
        </w:rPr>
        <w:t>Лекарствени продукти, медицински изделия и диетични храни за домашно лечение на територията на страната – 547,5 млн. лева;</w:t>
      </w:r>
    </w:p>
    <w:p w14:paraId="7F399B39" w14:textId="77777777" w:rsidR="007B386B" w:rsidRPr="00587467" w:rsidRDefault="007B386B" w:rsidP="007B386B">
      <w:pPr>
        <w:numPr>
          <w:ilvl w:val="0"/>
          <w:numId w:val="35"/>
        </w:numPr>
        <w:tabs>
          <w:tab w:val="left" w:pos="720"/>
        </w:tabs>
        <w:ind w:left="357" w:hanging="357"/>
        <w:jc w:val="both"/>
        <w:rPr>
          <w:i/>
          <w:szCs w:val="20"/>
          <w:lang w:eastAsia="en-US"/>
        </w:rPr>
      </w:pPr>
      <w:r w:rsidRPr="00587467">
        <w:rPr>
          <w:i/>
          <w:szCs w:val="20"/>
          <w:lang w:eastAsia="en-US"/>
        </w:rPr>
        <w:t xml:space="preserve"> Лекарствени продукти за лечение на злокачествени заболявания в условията на болнична медицинска помощ  – 501,</w:t>
      </w:r>
      <w:r w:rsidRPr="00587467">
        <w:rPr>
          <w:i/>
          <w:szCs w:val="20"/>
          <w:lang w:val="ru-RU" w:eastAsia="en-US"/>
        </w:rPr>
        <w:t>3</w:t>
      </w:r>
      <w:r w:rsidRPr="00587467">
        <w:rPr>
          <w:i/>
          <w:szCs w:val="20"/>
          <w:lang w:eastAsia="en-US"/>
        </w:rPr>
        <w:t xml:space="preserve"> млн. лева;</w:t>
      </w:r>
    </w:p>
    <w:p w14:paraId="6004D231" w14:textId="77777777" w:rsidR="007B386B" w:rsidRPr="00587467" w:rsidRDefault="007B386B" w:rsidP="007B386B">
      <w:pPr>
        <w:numPr>
          <w:ilvl w:val="0"/>
          <w:numId w:val="35"/>
        </w:numPr>
        <w:tabs>
          <w:tab w:val="left" w:pos="720"/>
        </w:tabs>
        <w:ind w:left="357" w:hanging="357"/>
        <w:jc w:val="both"/>
        <w:rPr>
          <w:i/>
          <w:szCs w:val="20"/>
          <w:lang w:eastAsia="en-US"/>
        </w:rPr>
      </w:pPr>
      <w:r w:rsidRPr="00587467">
        <w:rPr>
          <w:i/>
          <w:szCs w:val="20"/>
          <w:lang w:eastAsia="en-US"/>
        </w:rPr>
        <w:t>Медицински изделия, прилагани в болничната помощ – 75,9 млн. лева;</w:t>
      </w:r>
    </w:p>
    <w:p w14:paraId="34007EA3" w14:textId="77777777" w:rsidR="007B386B" w:rsidRPr="00587467" w:rsidRDefault="007B386B" w:rsidP="007B386B">
      <w:pPr>
        <w:numPr>
          <w:ilvl w:val="0"/>
          <w:numId w:val="35"/>
        </w:numPr>
        <w:tabs>
          <w:tab w:val="left" w:pos="720"/>
        </w:tabs>
        <w:ind w:left="357" w:hanging="357"/>
        <w:jc w:val="both"/>
        <w:rPr>
          <w:i/>
          <w:szCs w:val="20"/>
          <w:lang w:eastAsia="en-US"/>
        </w:rPr>
      </w:pPr>
      <w:r w:rsidRPr="00587467">
        <w:rPr>
          <w:i/>
          <w:szCs w:val="20"/>
          <w:lang w:eastAsia="en-US"/>
        </w:rPr>
        <w:t>Болнична медицинска помощ – 1 827,</w:t>
      </w:r>
      <w:r w:rsidRPr="00587467">
        <w:rPr>
          <w:i/>
          <w:szCs w:val="20"/>
          <w:lang w:val="ru-RU" w:eastAsia="en-US"/>
        </w:rPr>
        <w:t>2</w:t>
      </w:r>
      <w:r w:rsidRPr="00587467">
        <w:rPr>
          <w:i/>
          <w:szCs w:val="20"/>
          <w:lang w:eastAsia="en-US"/>
        </w:rPr>
        <w:t xml:space="preserve"> млн. лева;</w:t>
      </w:r>
      <w:r w:rsidRPr="00587467">
        <w:rPr>
          <w:i/>
          <w:szCs w:val="20"/>
          <w:lang w:eastAsia="en-US"/>
        </w:rPr>
        <w:tab/>
        <w:t xml:space="preserve"> </w:t>
      </w:r>
    </w:p>
    <w:p w14:paraId="12070F14" w14:textId="77777777" w:rsidR="007B386B" w:rsidRPr="00587467" w:rsidRDefault="007B386B" w:rsidP="007B386B">
      <w:pPr>
        <w:numPr>
          <w:ilvl w:val="0"/>
          <w:numId w:val="35"/>
        </w:numPr>
        <w:tabs>
          <w:tab w:val="left" w:pos="720"/>
        </w:tabs>
        <w:spacing w:after="120"/>
        <w:ind w:left="357" w:hanging="357"/>
        <w:jc w:val="both"/>
        <w:rPr>
          <w:i/>
          <w:szCs w:val="20"/>
          <w:lang w:eastAsia="en-US"/>
        </w:rPr>
      </w:pPr>
      <w:r w:rsidRPr="00587467">
        <w:rPr>
          <w:i/>
          <w:szCs w:val="20"/>
          <w:lang w:eastAsia="en-US"/>
        </w:rPr>
        <w:t xml:space="preserve">Други здравноосигурителни плащания – </w:t>
      </w:r>
      <w:r w:rsidRPr="00587467">
        <w:rPr>
          <w:i/>
          <w:szCs w:val="20"/>
          <w:lang w:val="ru-RU" w:eastAsia="en-US"/>
        </w:rPr>
        <w:t>26</w:t>
      </w:r>
      <w:r w:rsidRPr="00587467">
        <w:rPr>
          <w:i/>
          <w:szCs w:val="20"/>
          <w:lang w:eastAsia="en-US"/>
        </w:rPr>
        <w:t>,9 млн. лева.</w:t>
      </w:r>
    </w:p>
    <w:p w14:paraId="33DA4044" w14:textId="77777777" w:rsidR="007B386B" w:rsidRPr="00587467" w:rsidRDefault="007B386B" w:rsidP="007B386B">
      <w:pPr>
        <w:tabs>
          <w:tab w:val="left" w:pos="720"/>
        </w:tabs>
        <w:spacing w:after="120"/>
        <w:jc w:val="both"/>
        <w:rPr>
          <w:szCs w:val="20"/>
          <w:lang w:eastAsia="en-US"/>
        </w:rPr>
      </w:pPr>
      <w:r w:rsidRPr="00587467">
        <w:rPr>
          <w:szCs w:val="20"/>
          <w:lang w:eastAsia="en-US"/>
        </w:rPr>
        <w:t xml:space="preserve">Като здравноосигурителни плащания следва да се третират и преведените </w:t>
      </w:r>
      <w:r w:rsidRPr="00587467">
        <w:rPr>
          <w:szCs w:val="20"/>
          <w:lang w:val="ru-RU" w:eastAsia="en-US"/>
        </w:rPr>
        <w:t>93</w:t>
      </w:r>
      <w:r w:rsidRPr="00587467">
        <w:rPr>
          <w:szCs w:val="20"/>
          <w:lang w:eastAsia="en-US"/>
        </w:rPr>
        <w:t>,6 млн. лв. трансфери по договори за извършване на медицински услуги към бюджетни организации, в структурата на които има лечебни заведения по чл. 5 от Закона за лечебните заведения. Заедно с преведените трансфери усвоените средства за здравноосигурителни плащания възлизат на 3</w:t>
      </w:r>
      <w:r w:rsidRPr="00587467">
        <w:rPr>
          <w:szCs w:val="20"/>
          <w:lang w:val="en-US" w:eastAsia="en-US"/>
        </w:rPr>
        <w:t> </w:t>
      </w:r>
      <w:r w:rsidRPr="00587467">
        <w:rPr>
          <w:szCs w:val="20"/>
          <w:lang w:eastAsia="en-US"/>
        </w:rPr>
        <w:t>921,0 млн. лева.</w:t>
      </w:r>
    </w:p>
    <w:p w14:paraId="56E04DEA" w14:textId="77777777" w:rsidR="007B386B" w:rsidRPr="00D16DB2" w:rsidRDefault="007B386B" w:rsidP="007B386B">
      <w:pPr>
        <w:pStyle w:val="Heading3"/>
        <w:numPr>
          <w:ilvl w:val="1"/>
          <w:numId w:val="36"/>
        </w:numPr>
        <w:ind w:left="567" w:hanging="567"/>
        <w:rPr>
          <w:rFonts w:ascii="Times New Roman" w:hAnsi="Times New Roman" w:cs="Times New Roman"/>
          <w:sz w:val="24"/>
          <w:szCs w:val="24"/>
        </w:rPr>
      </w:pPr>
      <w:bookmarkStart w:id="168" w:name="_Toc111640975"/>
      <w:bookmarkStart w:id="169" w:name="_Toc48734950"/>
      <w:bookmarkStart w:id="170" w:name="_Toc18400772"/>
      <w:bookmarkStart w:id="171" w:name="_Toc16758098"/>
      <w:bookmarkStart w:id="172" w:name="_Toc521343510"/>
      <w:bookmarkStart w:id="173" w:name="_Toc365968827"/>
      <w:bookmarkStart w:id="174" w:name="_Toc365897044"/>
      <w:bookmarkStart w:id="175" w:name="_Toc333586830"/>
      <w:bookmarkStart w:id="176" w:name="_Toc239237825"/>
      <w:bookmarkStart w:id="177" w:name="_Toc143018870"/>
      <w:bookmarkStart w:id="178" w:name="_Toc174117339"/>
      <w:bookmarkStart w:id="179" w:name="_Toc176351937"/>
      <w:r w:rsidRPr="00D16DB2">
        <w:rPr>
          <w:rFonts w:ascii="Times New Roman" w:hAnsi="Times New Roman" w:cs="Times New Roman"/>
          <w:sz w:val="24"/>
          <w:szCs w:val="24"/>
        </w:rPr>
        <w:t>Капиталови разходи</w:t>
      </w:r>
      <w:bookmarkEnd w:id="168"/>
      <w:bookmarkEnd w:id="169"/>
      <w:bookmarkEnd w:id="170"/>
      <w:bookmarkEnd w:id="171"/>
      <w:bookmarkEnd w:id="172"/>
      <w:bookmarkEnd w:id="173"/>
      <w:bookmarkEnd w:id="174"/>
      <w:bookmarkEnd w:id="175"/>
      <w:bookmarkEnd w:id="176"/>
      <w:bookmarkEnd w:id="177"/>
      <w:bookmarkEnd w:id="178"/>
      <w:bookmarkEnd w:id="179"/>
    </w:p>
    <w:p w14:paraId="7619E258" w14:textId="10CD431E" w:rsidR="007B386B" w:rsidRPr="00334BF1" w:rsidRDefault="007B386B" w:rsidP="007B386B">
      <w:pPr>
        <w:spacing w:after="120"/>
        <w:jc w:val="both"/>
      </w:pPr>
      <w:r w:rsidRPr="00E85072">
        <w:t>Капиталовите разходи (вкл. нетния прираст на държавния резерв) за първото полугодие на 2024 г. възлизат на 1 880,0 млн. лева. Изпълнението на разчетите към ЗДБРБ за 2024 г. за първото полугодие при капиталовите разходи е 18,8 %.</w:t>
      </w:r>
      <w:r w:rsidRPr="00E85072">
        <w:rPr>
          <w:bCs/>
          <w:color w:val="0070C0"/>
          <w:lang w:eastAsia="en-US"/>
        </w:rPr>
        <w:t xml:space="preserve"> </w:t>
      </w:r>
      <w:r w:rsidRPr="00334BF1">
        <w:rPr>
          <w:bCs/>
          <w:lang w:eastAsia="en-US"/>
        </w:rPr>
        <w:t xml:space="preserve">През месец февруари 2024 г. в изпълнение на чл. 71, ал.1 от Постановление № 13 на Министерския съвет от 2024 г. от сметката за чужди средства по бюджета на Министерството на регионалното развитие и благоустройството (МРРБ) бяха възстановени средства в общ размер на 1 200,0 млн. лв. </w:t>
      </w:r>
      <w:r w:rsidR="00644480" w:rsidRPr="00644480">
        <w:rPr>
          <w:bCs/>
          <w:lang w:eastAsia="en-US"/>
        </w:rPr>
        <w:t>В хода на изпълнението на бюджета за 2024 г. тези средства се предоставят с акт на Министерския съвет на базата на подписани споразумения с МРРБ като трансфери за общините за финансиране на Инвестиционната програма по реда на чл. 107 от ЗДБРБ за 2024 г., по реда на чл. 106 от ЗДБРБ за 2024 г. и други.</w:t>
      </w:r>
      <w:r w:rsidRPr="00334BF1">
        <w:rPr>
          <w:bCs/>
          <w:lang w:eastAsia="en-US"/>
        </w:rPr>
        <w:t xml:space="preserve"> При елиминирането на тази трансакция, с оглед съпоставимост с предходната година, капиталовите разходи към края на юни 2024 г. са 3 080,0 млн. лв. или 30,</w:t>
      </w:r>
      <w:r w:rsidR="00A22435" w:rsidRPr="001853DF">
        <w:rPr>
          <w:bCs/>
          <w:lang w:val="ru-RU" w:eastAsia="en-US"/>
        </w:rPr>
        <w:t>7</w:t>
      </w:r>
      <w:r w:rsidRPr="00334BF1">
        <w:rPr>
          <w:bCs/>
          <w:lang w:eastAsia="en-US"/>
        </w:rPr>
        <w:t xml:space="preserve"> % изпълнение на годишните разчети</w:t>
      </w:r>
      <w:r>
        <w:rPr>
          <w:bCs/>
          <w:lang w:eastAsia="en-US"/>
        </w:rPr>
        <w:t xml:space="preserve"> при 2 180,8 млн. лв., отчетени за същия период на миналата година.</w:t>
      </w:r>
      <w:r w:rsidRPr="00334BF1">
        <w:rPr>
          <w:bCs/>
          <w:lang w:eastAsia="en-US"/>
        </w:rPr>
        <w:t xml:space="preserve"> Следва да се отбележи, че усвояването на капиталовите разходи през първите месеци на годината е традиционно ниско, поради </w:t>
      </w:r>
      <w:r w:rsidRPr="00334BF1">
        <w:t xml:space="preserve">технологични и процедурни фактори при голяма </w:t>
      </w:r>
      <w:r w:rsidRPr="00334BF1">
        <w:rPr>
          <w:bCs/>
          <w:lang w:eastAsia="en-US"/>
        </w:rPr>
        <w:t xml:space="preserve">част от инфраструктурните и инвестиционни проекти, което води до изместване на разходите във втората половина на годината и по-специално в последното тримесечие. </w:t>
      </w:r>
    </w:p>
    <w:p w14:paraId="5A0D5017" w14:textId="77777777" w:rsidR="007B386B" w:rsidRPr="00E12241" w:rsidRDefault="007B386B" w:rsidP="007B386B">
      <w:pPr>
        <w:jc w:val="both"/>
      </w:pPr>
      <w:r w:rsidRPr="00E12241">
        <w:t xml:space="preserve">В обхвата на КФП с най-голям относителен дял в инвестиционните разходи </w:t>
      </w:r>
      <w:r w:rsidRPr="00E12241">
        <w:rPr>
          <w:lang w:val="ru-RU"/>
        </w:rPr>
        <w:t>(</w:t>
      </w:r>
      <w:r w:rsidRPr="00E12241">
        <w:t>без нетния прираст на държавния резерв</w:t>
      </w:r>
      <w:r w:rsidRPr="00E12241">
        <w:rPr>
          <w:lang w:val="ru-RU"/>
        </w:rPr>
        <w:t>) на съпоставима база</w:t>
      </w:r>
      <w:r w:rsidRPr="00E12241">
        <w:t xml:space="preserve"> са капиталовите разходи по държавния бюджет – 42,7 %, по общинските бюджети – 24,0 %, след които се нареждат капиталовите разходи по сметките за средства от ЕС на Националния фонд и на бенефициентите по оперативните програми на ЕС – 19,9 %, по сметката за средства от ЕС, администрирана от Разплащателната агенция към ДФ „Земеделие“ и на бенефициентите по Програмата за развитие на селските райони и Програмата за развитие на сектор рибарство – 6,0 % и др. </w:t>
      </w:r>
    </w:p>
    <w:p w14:paraId="4BC66197" w14:textId="77777777" w:rsidR="007B386B" w:rsidRPr="00E12241" w:rsidRDefault="007B386B" w:rsidP="007B386B">
      <w:pPr>
        <w:jc w:val="both"/>
        <w:rPr>
          <w:sz w:val="8"/>
          <w:szCs w:val="8"/>
        </w:rPr>
      </w:pPr>
    </w:p>
    <w:p w14:paraId="149AB287" w14:textId="77777777" w:rsidR="007B386B" w:rsidRPr="00852D9B" w:rsidRDefault="007B386B" w:rsidP="007B386B">
      <w:pPr>
        <w:jc w:val="both"/>
        <w:rPr>
          <w:noProof/>
        </w:rPr>
      </w:pPr>
      <w:r w:rsidRPr="00E12241">
        <w:t xml:space="preserve">Общата сума на извършените капиталови разходи по държавния бюджет за </w:t>
      </w:r>
      <w:r w:rsidRPr="00E12241">
        <w:rPr>
          <w:lang w:eastAsia="en-US"/>
        </w:rPr>
        <w:t xml:space="preserve">първото </w:t>
      </w:r>
      <w:r w:rsidRPr="00E12241">
        <w:t xml:space="preserve">полугодие на 2024 г. е 138,5 млн. лв., в т.ч. възстановените през м. февруари 2024 г. от сметката за чужди средства на МРРБ 1 200,0 млн. лв. по бюджета на министерството. При елиминиране на тази трансакция изпълнението на капиталовите разходи за първите шест месеца на годината е 39,6 % на предвидените в ЗДБРБ за 2024 година. </w:t>
      </w:r>
      <w:r w:rsidRPr="00852D9B">
        <w:t>Нетният прираст на държавния резерв към 30.06.2024 г. е отрицателен в размер на 52,8 млн. лева. Капиталовите трансфери, предоставени от държавния бюджет за реалния сектор, са насочени главно към изграждане и развитие на железопътната инфраструктура, пристанищната инфраструктура и други дейности. През първото полугодие на 2024 г. усвоените средства са в размер на 180,9 млн. лв., от които 108,5 млн. лв. за НК „Железопътна инфраструктура“, 49,1 млн. лв. - за БДЖ „Пътнически превози” ЕООД и 9,4 млн. лв. за ДП „Пристанищна инфраструктура“.</w:t>
      </w:r>
    </w:p>
    <w:p w14:paraId="0DBFA243" w14:textId="77777777" w:rsidR="007B386B" w:rsidRPr="00E56679" w:rsidRDefault="007B386B" w:rsidP="007B386B">
      <w:pPr>
        <w:jc w:val="both"/>
        <w:rPr>
          <w:color w:val="0070C0"/>
          <w:sz w:val="6"/>
          <w:szCs w:val="6"/>
        </w:rPr>
      </w:pPr>
    </w:p>
    <w:p w14:paraId="0BC0A72E" w14:textId="77777777" w:rsidR="007B386B" w:rsidRPr="00B5464A" w:rsidRDefault="007B386B" w:rsidP="007B386B">
      <w:pPr>
        <w:tabs>
          <w:tab w:val="center" w:pos="4536"/>
          <w:tab w:val="right" w:pos="9072"/>
        </w:tabs>
        <w:jc w:val="both"/>
      </w:pPr>
      <w:r w:rsidRPr="00B5464A">
        <w:t xml:space="preserve">През 2024 г. продължава действието на </w:t>
      </w:r>
      <w:r w:rsidRPr="00B5464A">
        <w:rPr>
          <w:i/>
        </w:rPr>
        <w:t>програми за отстраняване на нанесените щети върху околната среда, настъпили от минали действия или бездействия, при приватизация.</w:t>
      </w:r>
      <w:r w:rsidRPr="00B5464A">
        <w:rPr>
          <w:b/>
          <w:i/>
        </w:rPr>
        <w:t xml:space="preserve"> </w:t>
      </w:r>
      <w:r w:rsidRPr="00B5464A">
        <w:t xml:space="preserve">За отчетния период м. януари – м. юни 2024 г. не са извършвани капиталови разходи за изпълнение на програми за отстраняване на нанесените щети върху околната среда, настъпили от минали действия или бездействия, при приватизация. </w:t>
      </w:r>
    </w:p>
    <w:p w14:paraId="78DA4415" w14:textId="77777777" w:rsidR="007B386B" w:rsidRPr="00E56679" w:rsidRDefault="007B386B" w:rsidP="007B386B">
      <w:pPr>
        <w:jc w:val="both"/>
        <w:rPr>
          <w:color w:val="0070C0"/>
          <w:sz w:val="6"/>
          <w:szCs w:val="6"/>
        </w:rPr>
      </w:pPr>
    </w:p>
    <w:p w14:paraId="6872D88E" w14:textId="77777777" w:rsidR="007B386B" w:rsidRPr="00B5464A" w:rsidRDefault="007B386B" w:rsidP="007B386B">
      <w:pPr>
        <w:jc w:val="both"/>
      </w:pPr>
      <w:r w:rsidRPr="00B5464A">
        <w:t>Капиталовите разходи по бюджетите на общините са в размер на 753,3 млн. лв.</w:t>
      </w:r>
      <w:r w:rsidRPr="00B5464A">
        <w:rPr>
          <w:lang w:eastAsia="en-US"/>
        </w:rPr>
        <w:t xml:space="preserve"> </w:t>
      </w:r>
      <w:r w:rsidRPr="00B5464A">
        <w:t>и в сравнение със същия период на 2023 г. са се увеличили със 155,1 млн. л</w:t>
      </w:r>
      <w:r>
        <w:t>е</w:t>
      </w:r>
      <w:r w:rsidRPr="00B5464A">
        <w:t>в</w:t>
      </w:r>
      <w:r>
        <w:t>а</w:t>
      </w:r>
      <w:r w:rsidRPr="00B5464A">
        <w:t>.</w:t>
      </w:r>
    </w:p>
    <w:p w14:paraId="18EAB467" w14:textId="77777777" w:rsidR="007B386B" w:rsidRPr="00D16DB2" w:rsidRDefault="007B386B" w:rsidP="007B386B">
      <w:pPr>
        <w:pStyle w:val="Heading3"/>
        <w:numPr>
          <w:ilvl w:val="1"/>
          <w:numId w:val="36"/>
        </w:numPr>
        <w:ind w:left="567" w:hanging="567"/>
        <w:rPr>
          <w:rFonts w:ascii="Times New Roman" w:hAnsi="Times New Roman" w:cs="Times New Roman"/>
          <w:sz w:val="24"/>
          <w:szCs w:val="24"/>
        </w:rPr>
      </w:pPr>
      <w:bookmarkStart w:id="180" w:name="_Toc111640976"/>
      <w:bookmarkStart w:id="181" w:name="_Toc48734951"/>
      <w:bookmarkStart w:id="182" w:name="_Toc18400773"/>
      <w:bookmarkStart w:id="183" w:name="_Toc16758099"/>
      <w:bookmarkStart w:id="184" w:name="_Toc521343511"/>
      <w:bookmarkStart w:id="185" w:name="_Toc518057957"/>
      <w:bookmarkStart w:id="186" w:name="_Toc143018871"/>
      <w:bookmarkStart w:id="187" w:name="_Toc174117340"/>
      <w:bookmarkStart w:id="188" w:name="_Toc176351938"/>
      <w:r w:rsidRPr="00D16DB2">
        <w:rPr>
          <w:rFonts w:ascii="Times New Roman" w:hAnsi="Times New Roman" w:cs="Times New Roman"/>
          <w:sz w:val="24"/>
          <w:szCs w:val="24"/>
        </w:rPr>
        <w:t>Предоставени текущи и капиталови трансфери за чужбина</w:t>
      </w:r>
      <w:bookmarkEnd w:id="180"/>
      <w:bookmarkEnd w:id="181"/>
      <w:bookmarkEnd w:id="182"/>
      <w:bookmarkEnd w:id="183"/>
      <w:bookmarkEnd w:id="184"/>
      <w:bookmarkEnd w:id="185"/>
      <w:bookmarkEnd w:id="186"/>
      <w:bookmarkEnd w:id="187"/>
      <w:bookmarkEnd w:id="188"/>
    </w:p>
    <w:p w14:paraId="7F178DB5" w14:textId="77777777" w:rsidR="007B386B" w:rsidRPr="00E56679" w:rsidRDefault="007B386B" w:rsidP="007B386B">
      <w:pPr>
        <w:jc w:val="both"/>
        <w:rPr>
          <w:color w:val="0070C0"/>
        </w:rPr>
      </w:pPr>
      <w:r w:rsidRPr="00D16DB2">
        <w:t xml:space="preserve">Предоставените текущи и капиталови трансфери за чужбина са в размер на 19,2 млн. лв. Основна част от  средствата са предоставени чрез сметките за средства от Европейския съюз. </w:t>
      </w:r>
    </w:p>
    <w:p w14:paraId="45A46518" w14:textId="77777777" w:rsidR="007B386B" w:rsidRPr="00D16DB2" w:rsidRDefault="007B386B" w:rsidP="007B386B">
      <w:pPr>
        <w:pStyle w:val="Heading3"/>
        <w:numPr>
          <w:ilvl w:val="1"/>
          <w:numId w:val="36"/>
        </w:numPr>
        <w:ind w:left="567" w:hanging="567"/>
        <w:rPr>
          <w:rFonts w:ascii="Times New Roman" w:hAnsi="Times New Roman" w:cs="Times New Roman"/>
          <w:sz w:val="24"/>
          <w:szCs w:val="24"/>
        </w:rPr>
      </w:pPr>
      <w:bookmarkStart w:id="189" w:name="_Toc111640977"/>
      <w:bookmarkStart w:id="190" w:name="_Toc48734952"/>
      <w:bookmarkStart w:id="191" w:name="_Toc18400774"/>
      <w:bookmarkStart w:id="192" w:name="_Toc16758100"/>
      <w:bookmarkStart w:id="193" w:name="_Toc521343512"/>
      <w:bookmarkStart w:id="194" w:name="_Toc365968828"/>
      <w:bookmarkStart w:id="195" w:name="_Toc365897045"/>
      <w:bookmarkStart w:id="196" w:name="_Toc333586831"/>
      <w:bookmarkStart w:id="197" w:name="_Toc239237826"/>
      <w:bookmarkStart w:id="198" w:name="_Toc143018872"/>
      <w:bookmarkStart w:id="199" w:name="_Toc174117341"/>
      <w:bookmarkStart w:id="200" w:name="_Toc176351939"/>
      <w:r w:rsidRPr="00D16DB2">
        <w:rPr>
          <w:rFonts w:ascii="Times New Roman" w:hAnsi="Times New Roman" w:cs="Times New Roman"/>
          <w:sz w:val="24"/>
          <w:szCs w:val="24"/>
        </w:rPr>
        <w:t>Лихвени разходи</w:t>
      </w:r>
      <w:bookmarkEnd w:id="189"/>
      <w:bookmarkEnd w:id="190"/>
      <w:bookmarkEnd w:id="191"/>
      <w:bookmarkEnd w:id="192"/>
      <w:bookmarkEnd w:id="193"/>
      <w:bookmarkEnd w:id="194"/>
      <w:bookmarkEnd w:id="195"/>
      <w:bookmarkEnd w:id="196"/>
      <w:bookmarkEnd w:id="197"/>
      <w:bookmarkEnd w:id="198"/>
      <w:bookmarkEnd w:id="199"/>
      <w:bookmarkEnd w:id="200"/>
    </w:p>
    <w:p w14:paraId="4EC72BCD" w14:textId="77777777" w:rsidR="007B386B" w:rsidRPr="00D16DB2" w:rsidRDefault="007B386B" w:rsidP="007B386B">
      <w:pPr>
        <w:jc w:val="both"/>
      </w:pPr>
      <w:r w:rsidRPr="00D16DB2">
        <w:t>Лихвените плащания на консолидирана база за полугодието на 2024 г. са в размер на 497,2 млн.</w:t>
      </w:r>
      <w:r w:rsidRPr="00D16DB2">
        <w:rPr>
          <w:lang w:val="en-US"/>
        </w:rPr>
        <w:t> </w:t>
      </w:r>
      <w:r w:rsidRPr="00D16DB2">
        <w:t>лв., което представлява 49,2 % от предвидените с разчетите към ЗДБРБ за 2024 година. Размерът на лихвените разходи през годината зависи от календара на лихвените плащания.</w:t>
      </w:r>
    </w:p>
    <w:p w14:paraId="49E82865" w14:textId="77777777" w:rsidR="007B386B" w:rsidRPr="00E56679" w:rsidRDefault="007B386B" w:rsidP="007B386B">
      <w:pPr>
        <w:jc w:val="both"/>
        <w:rPr>
          <w:color w:val="0070C0"/>
          <w:sz w:val="8"/>
          <w:szCs w:val="8"/>
        </w:rPr>
      </w:pPr>
    </w:p>
    <w:p w14:paraId="6A628B1F" w14:textId="77777777" w:rsidR="007B386B" w:rsidRPr="003C7EF6" w:rsidRDefault="007B386B" w:rsidP="007B386B">
      <w:pPr>
        <w:jc w:val="both"/>
      </w:pPr>
      <w:r w:rsidRPr="00C5672A">
        <w:t xml:space="preserve">Разгледани по бюджетни системи лихвени разходи се извършват основно по държавния бюджет (467,6 млн. лв.) и по общинските бюджети (28,4 млн. лв.). Размерът на разходите за лихви по външни заеми за полугодието е 428,0 млн. лв., а на вътрешните лихви – 69,2 млн. лева. Изпълнението им спрямо разчетите за годината е съответно </w:t>
      </w:r>
      <w:r w:rsidRPr="003C7EF6">
        <w:t>50,2 % и 43,8 процента.</w:t>
      </w:r>
    </w:p>
    <w:p w14:paraId="61801BB2" w14:textId="77777777" w:rsidR="007B386B" w:rsidRPr="003C7EF6" w:rsidRDefault="007B386B" w:rsidP="007B386B">
      <w:pPr>
        <w:pStyle w:val="Heading3"/>
        <w:numPr>
          <w:ilvl w:val="1"/>
          <w:numId w:val="36"/>
        </w:numPr>
        <w:ind w:left="567" w:hanging="567"/>
        <w:rPr>
          <w:rFonts w:ascii="Times New Roman" w:hAnsi="Times New Roman" w:cs="Times New Roman"/>
          <w:sz w:val="24"/>
          <w:szCs w:val="24"/>
        </w:rPr>
      </w:pPr>
      <w:bookmarkStart w:id="201" w:name="_Toc111640978"/>
      <w:bookmarkStart w:id="202" w:name="_Toc48734953"/>
      <w:bookmarkStart w:id="203" w:name="_Toc18400775"/>
      <w:bookmarkStart w:id="204" w:name="_Toc16758101"/>
      <w:bookmarkStart w:id="205" w:name="_Toc521343513"/>
      <w:bookmarkStart w:id="206" w:name="_Toc143018873"/>
      <w:bookmarkStart w:id="207" w:name="_Toc174117342"/>
      <w:bookmarkStart w:id="208" w:name="_Toc176351940"/>
      <w:r w:rsidRPr="003C7EF6">
        <w:rPr>
          <w:rFonts w:ascii="Times New Roman" w:hAnsi="Times New Roman" w:cs="Times New Roman"/>
          <w:sz w:val="24"/>
          <w:szCs w:val="24"/>
        </w:rPr>
        <w:t>Вноска на България в бюджета на Европейския съюз</w:t>
      </w:r>
      <w:bookmarkEnd w:id="201"/>
      <w:bookmarkEnd w:id="202"/>
      <w:bookmarkEnd w:id="203"/>
      <w:bookmarkEnd w:id="204"/>
      <w:bookmarkEnd w:id="205"/>
      <w:bookmarkEnd w:id="206"/>
      <w:bookmarkEnd w:id="207"/>
      <w:bookmarkEnd w:id="208"/>
    </w:p>
    <w:p w14:paraId="0AB36A09" w14:textId="77777777" w:rsidR="007B386B" w:rsidRPr="00B34A68" w:rsidRDefault="007B386B" w:rsidP="007B386B">
      <w:pPr>
        <w:spacing w:after="120"/>
        <w:jc w:val="both"/>
      </w:pPr>
      <w:r w:rsidRPr="00B34A68">
        <w:t xml:space="preserve">България регулярно и в срок превежда вноската си в общия бюджет на Европейския съюз в изпълнение на действащото към момента законодателство в областта на собствените ресурси на ЕС. Вноската на България в общия бюджет на ЕС се формира от следните компоненти – традиционни собствени ресурси (75 % от събраните мита), ресурс на база приходите от ДДС, ресурс на база брутен национален доход, ресурс на база </w:t>
      </w:r>
      <w:proofErr w:type="spellStart"/>
      <w:r w:rsidRPr="00B34A68">
        <w:t>нерециклирани</w:t>
      </w:r>
      <w:proofErr w:type="spellEnd"/>
      <w:r w:rsidRPr="00B34A68">
        <w:t xml:space="preserve"> отпадъци от опаковки от пластмаса и участие във финансиране на брутното намаление за Австрия, Дания, Германия, Нидерландия и Швеция и вноска за корекция за неучастие на съответни държави членки в някои политики за свобода, сигурност и правосъдие.</w:t>
      </w:r>
    </w:p>
    <w:p w14:paraId="337B86AE" w14:textId="139E71EE" w:rsidR="007B386B" w:rsidRPr="006761EF" w:rsidRDefault="007B386B" w:rsidP="00090C3E">
      <w:pPr>
        <w:spacing w:after="120"/>
        <w:jc w:val="center"/>
        <w:rPr>
          <w:b/>
          <w:i/>
        </w:rPr>
      </w:pPr>
      <w:r w:rsidRPr="006761EF">
        <w:rPr>
          <w:b/>
          <w:i/>
        </w:rPr>
        <w:t xml:space="preserve">Касови плащания от централния бюджет към </w:t>
      </w:r>
      <w:r w:rsidRPr="006761EF">
        <w:rPr>
          <w:b/>
          <w:i/>
          <w:lang w:eastAsia="en-US"/>
        </w:rPr>
        <w:t xml:space="preserve">първото </w:t>
      </w:r>
      <w:r w:rsidRPr="006761EF">
        <w:rPr>
          <w:b/>
          <w:i/>
        </w:rPr>
        <w:t>полугодие на 2024 година.</w:t>
      </w:r>
    </w:p>
    <w:tbl>
      <w:tblPr>
        <w:tblW w:w="12117" w:type="dxa"/>
        <w:tblInd w:w="288" w:type="dxa"/>
        <w:tblLook w:val="04A0" w:firstRow="1" w:lastRow="0" w:firstColumn="1" w:lastColumn="0" w:noHBand="0" w:noVBand="1"/>
      </w:tblPr>
      <w:tblGrid>
        <w:gridCol w:w="11222"/>
        <w:gridCol w:w="1007"/>
      </w:tblGrid>
      <w:tr w:rsidR="007B386B" w:rsidRPr="00E56679" w14:paraId="0654E419" w14:textId="77777777" w:rsidTr="00654A69">
        <w:trPr>
          <w:trHeight w:val="2975"/>
        </w:trPr>
        <w:tc>
          <w:tcPr>
            <w:tcW w:w="11110" w:type="dxa"/>
            <w:noWrap/>
          </w:tcPr>
          <w:tbl>
            <w:tblPr>
              <w:tblW w:w="11006" w:type="dxa"/>
              <w:tblLook w:val="04A0" w:firstRow="1" w:lastRow="0" w:firstColumn="1" w:lastColumn="0" w:noHBand="0" w:noVBand="1"/>
            </w:tblPr>
            <w:tblGrid>
              <w:gridCol w:w="879"/>
              <w:gridCol w:w="6627"/>
              <w:gridCol w:w="1007"/>
              <w:gridCol w:w="1486"/>
              <w:gridCol w:w="1007"/>
            </w:tblGrid>
            <w:tr w:rsidR="007B386B" w:rsidRPr="00D16DB2" w14:paraId="3D96AFF2" w14:textId="77777777" w:rsidTr="00654A69">
              <w:trPr>
                <w:gridBefore w:val="1"/>
                <w:wBefore w:w="879" w:type="dxa"/>
                <w:trHeight w:val="60"/>
              </w:trPr>
              <w:tc>
                <w:tcPr>
                  <w:tcW w:w="9120" w:type="dxa"/>
                  <w:gridSpan w:val="3"/>
                  <w:noWrap/>
                  <w:hideMark/>
                </w:tcPr>
                <w:p w14:paraId="24EA8745" w14:textId="3CB48818" w:rsidR="007B386B" w:rsidRPr="00D16DB2" w:rsidRDefault="007B386B" w:rsidP="00654A69">
                  <w:pPr>
                    <w:jc w:val="center"/>
                    <w:rPr>
                      <w:rFonts w:eastAsia="Batang"/>
                      <w:b/>
                      <w:bCs/>
                      <w:sz w:val="20"/>
                      <w:szCs w:val="20"/>
                      <w:lang w:eastAsia="ko-KR"/>
                    </w:rPr>
                  </w:pPr>
                  <w:r w:rsidRPr="00D16DB2">
                    <w:rPr>
                      <w:b/>
                    </w:rPr>
                    <w:t xml:space="preserve">                                                                                 </w:t>
                  </w:r>
                  <w:r w:rsidRPr="00090C3E">
                    <w:rPr>
                      <w:b/>
                      <w:sz w:val="20"/>
                    </w:rPr>
                    <w:t>(млн. лв.)</w:t>
                  </w:r>
                </w:p>
              </w:tc>
              <w:tc>
                <w:tcPr>
                  <w:tcW w:w="1007" w:type="dxa"/>
                  <w:noWrap/>
                </w:tcPr>
                <w:p w14:paraId="54543589" w14:textId="77777777" w:rsidR="007B386B" w:rsidRPr="00D16DB2" w:rsidRDefault="007B386B" w:rsidP="00654A69">
                  <w:pPr>
                    <w:jc w:val="right"/>
                    <w:rPr>
                      <w:rFonts w:eastAsia="Batang"/>
                      <w:b/>
                      <w:bCs/>
                      <w:sz w:val="20"/>
                      <w:szCs w:val="20"/>
                      <w:lang w:eastAsia="ko-KR"/>
                    </w:rPr>
                  </w:pPr>
                </w:p>
              </w:tc>
            </w:tr>
            <w:tr w:rsidR="007B386B" w:rsidRPr="00D16DB2" w14:paraId="611193E3" w14:textId="77777777" w:rsidTr="00654A69">
              <w:trPr>
                <w:gridAfter w:val="2"/>
                <w:wAfter w:w="2493" w:type="dxa"/>
                <w:trHeight w:val="500"/>
              </w:trPr>
              <w:tc>
                <w:tcPr>
                  <w:tcW w:w="7506" w:type="dxa"/>
                  <w:gridSpan w:val="2"/>
                  <w:tcBorders>
                    <w:top w:val="double" w:sz="6" w:space="0" w:color="800000"/>
                    <w:left w:val="double" w:sz="6" w:space="0" w:color="800000"/>
                    <w:bottom w:val="double" w:sz="6" w:space="0" w:color="800000"/>
                    <w:right w:val="single" w:sz="8" w:space="0" w:color="FFFFFF"/>
                  </w:tcBorders>
                  <w:shd w:val="clear" w:color="auto" w:fill="800000"/>
                  <w:noWrap/>
                  <w:tcMar>
                    <w:top w:w="0" w:type="dxa"/>
                    <w:left w:w="70" w:type="dxa"/>
                    <w:bottom w:w="0" w:type="dxa"/>
                    <w:right w:w="70" w:type="dxa"/>
                  </w:tcMar>
                  <w:vAlign w:val="center"/>
                  <w:hideMark/>
                </w:tcPr>
                <w:p w14:paraId="58E8B553" w14:textId="77777777" w:rsidR="007B386B" w:rsidRPr="00D16DB2" w:rsidRDefault="007B386B" w:rsidP="00654A69">
                  <w:pPr>
                    <w:jc w:val="center"/>
                    <w:rPr>
                      <w:rFonts w:eastAsia="Batang"/>
                      <w:b/>
                      <w:bCs/>
                      <w:sz w:val="20"/>
                      <w:szCs w:val="20"/>
                      <w:lang w:eastAsia="ko-KR"/>
                    </w:rPr>
                  </w:pPr>
                  <w:r w:rsidRPr="00D16DB2">
                    <w:rPr>
                      <w:rFonts w:eastAsia="Batang"/>
                      <w:b/>
                      <w:bCs/>
                      <w:sz w:val="20"/>
                      <w:szCs w:val="20"/>
                      <w:lang w:eastAsia="ko-KR"/>
                    </w:rPr>
                    <w:t>ВНОСКА В ОБЩИЯ БЮДЖЕТ НА ЕС</w:t>
                  </w:r>
                </w:p>
              </w:tc>
              <w:tc>
                <w:tcPr>
                  <w:tcW w:w="1007" w:type="dxa"/>
                  <w:tcBorders>
                    <w:top w:val="double" w:sz="6" w:space="0" w:color="800000"/>
                    <w:left w:val="nil"/>
                    <w:bottom w:val="double" w:sz="6" w:space="0" w:color="800000"/>
                    <w:right w:val="double" w:sz="6" w:space="0" w:color="800000"/>
                  </w:tcBorders>
                  <w:shd w:val="clear" w:color="auto" w:fill="800000"/>
                  <w:tcMar>
                    <w:top w:w="0" w:type="dxa"/>
                    <w:left w:w="70" w:type="dxa"/>
                    <w:bottom w:w="0" w:type="dxa"/>
                    <w:right w:w="70" w:type="dxa"/>
                  </w:tcMar>
                  <w:vAlign w:val="center"/>
                  <w:hideMark/>
                </w:tcPr>
                <w:p w14:paraId="728105E5" w14:textId="77777777" w:rsidR="007B386B" w:rsidRPr="00D16DB2" w:rsidRDefault="007B386B" w:rsidP="00654A69">
                  <w:pPr>
                    <w:jc w:val="center"/>
                    <w:rPr>
                      <w:rFonts w:eastAsia="Batang"/>
                      <w:b/>
                      <w:bCs/>
                      <w:sz w:val="20"/>
                      <w:szCs w:val="20"/>
                      <w:lang w:eastAsia="ko-KR"/>
                    </w:rPr>
                  </w:pPr>
                  <w:r w:rsidRPr="00D16DB2">
                    <w:rPr>
                      <w:rFonts w:eastAsia="Batang"/>
                      <w:b/>
                      <w:bCs/>
                      <w:sz w:val="20"/>
                      <w:szCs w:val="20"/>
                      <w:lang w:eastAsia="ko-KR"/>
                    </w:rPr>
                    <w:t xml:space="preserve">Отчет </w:t>
                  </w:r>
                </w:p>
                <w:p w14:paraId="5ACC0CBD" w14:textId="77777777" w:rsidR="007B386B" w:rsidRPr="00D16DB2" w:rsidRDefault="007B386B" w:rsidP="00654A69">
                  <w:pPr>
                    <w:jc w:val="center"/>
                    <w:rPr>
                      <w:rFonts w:eastAsia="Batang"/>
                      <w:b/>
                      <w:bCs/>
                      <w:sz w:val="20"/>
                      <w:szCs w:val="20"/>
                      <w:lang w:val="en-US" w:eastAsia="ko-KR"/>
                    </w:rPr>
                  </w:pPr>
                  <w:r w:rsidRPr="00D16DB2">
                    <w:rPr>
                      <w:rFonts w:eastAsia="Batang"/>
                      <w:b/>
                      <w:bCs/>
                      <w:sz w:val="20"/>
                      <w:szCs w:val="20"/>
                      <w:lang w:eastAsia="ko-KR"/>
                    </w:rPr>
                    <w:t>Н1 2024</w:t>
                  </w:r>
                </w:p>
              </w:tc>
            </w:tr>
            <w:tr w:rsidR="007B386B" w:rsidRPr="00D16DB2" w14:paraId="64F884FE" w14:textId="77777777" w:rsidTr="00654A69">
              <w:trPr>
                <w:gridAfter w:val="2"/>
                <w:wAfter w:w="2493" w:type="dxa"/>
                <w:trHeight w:val="121"/>
              </w:trPr>
              <w:tc>
                <w:tcPr>
                  <w:tcW w:w="7506" w:type="dxa"/>
                  <w:gridSpan w:val="2"/>
                  <w:tcBorders>
                    <w:top w:val="nil"/>
                    <w:left w:val="double" w:sz="6" w:space="0" w:color="800000"/>
                    <w:bottom w:val="nil"/>
                    <w:right w:val="single" w:sz="8" w:space="0" w:color="800000"/>
                  </w:tcBorders>
                  <w:shd w:val="clear" w:color="auto" w:fill="FFFFCC"/>
                  <w:noWrap/>
                  <w:tcMar>
                    <w:top w:w="0" w:type="dxa"/>
                    <w:left w:w="70" w:type="dxa"/>
                    <w:bottom w:w="0" w:type="dxa"/>
                    <w:right w:w="70" w:type="dxa"/>
                  </w:tcMar>
                  <w:vAlign w:val="bottom"/>
                  <w:hideMark/>
                </w:tcPr>
                <w:p w14:paraId="7A635483" w14:textId="77777777" w:rsidR="007B386B" w:rsidRPr="00D16DB2" w:rsidRDefault="007B386B" w:rsidP="00654A69">
                  <w:pPr>
                    <w:rPr>
                      <w:rFonts w:eastAsia="Batang"/>
                      <w:sz w:val="20"/>
                      <w:szCs w:val="20"/>
                      <w:lang w:eastAsia="ko-KR"/>
                    </w:rPr>
                  </w:pPr>
                  <w:r w:rsidRPr="00D16DB2">
                    <w:rPr>
                      <w:rFonts w:eastAsia="Batang"/>
                      <w:sz w:val="20"/>
                      <w:szCs w:val="20"/>
                      <w:lang w:eastAsia="ko-KR"/>
                    </w:rPr>
                    <w:t>Вноска на база брутен национален доход</w:t>
                  </w:r>
                </w:p>
              </w:tc>
              <w:tc>
                <w:tcPr>
                  <w:tcW w:w="1007" w:type="dxa"/>
                  <w:tcBorders>
                    <w:top w:val="double" w:sz="6" w:space="0" w:color="800000"/>
                    <w:left w:val="nil"/>
                    <w:bottom w:val="nil"/>
                    <w:right w:val="double" w:sz="6" w:space="0" w:color="800000"/>
                  </w:tcBorders>
                  <w:shd w:val="clear" w:color="auto" w:fill="FFFFCC"/>
                  <w:noWrap/>
                  <w:tcMar>
                    <w:top w:w="0" w:type="dxa"/>
                    <w:left w:w="70" w:type="dxa"/>
                    <w:bottom w:w="0" w:type="dxa"/>
                    <w:right w:w="70" w:type="dxa"/>
                  </w:tcMar>
                  <w:vAlign w:val="bottom"/>
                  <w:hideMark/>
                </w:tcPr>
                <w:p w14:paraId="4FAE18C1" w14:textId="77777777" w:rsidR="007B386B" w:rsidRPr="00D16DB2" w:rsidRDefault="007B386B" w:rsidP="00654A69">
                  <w:pPr>
                    <w:jc w:val="right"/>
                    <w:rPr>
                      <w:rFonts w:eastAsia="Batang"/>
                      <w:sz w:val="20"/>
                      <w:szCs w:val="20"/>
                      <w:lang w:eastAsia="ko-KR"/>
                    </w:rPr>
                  </w:pPr>
                  <w:r w:rsidRPr="00D16DB2">
                    <w:rPr>
                      <w:rFonts w:eastAsia="Batang"/>
                      <w:sz w:val="20"/>
                      <w:szCs w:val="20"/>
                      <w:lang w:eastAsia="ko-KR"/>
                    </w:rPr>
                    <w:t>400,4</w:t>
                  </w:r>
                </w:p>
              </w:tc>
            </w:tr>
            <w:tr w:rsidR="007B386B" w:rsidRPr="00D16DB2" w14:paraId="678FC46C" w14:textId="77777777" w:rsidTr="00654A69">
              <w:trPr>
                <w:gridAfter w:val="2"/>
                <w:wAfter w:w="2493" w:type="dxa"/>
                <w:trHeight w:val="109"/>
              </w:trPr>
              <w:tc>
                <w:tcPr>
                  <w:tcW w:w="7506" w:type="dxa"/>
                  <w:gridSpan w:val="2"/>
                  <w:tcBorders>
                    <w:top w:val="nil"/>
                    <w:left w:val="double" w:sz="6" w:space="0" w:color="800000"/>
                    <w:bottom w:val="nil"/>
                    <w:right w:val="single" w:sz="8" w:space="0" w:color="800000"/>
                  </w:tcBorders>
                  <w:shd w:val="clear" w:color="auto" w:fill="FFFFCC"/>
                  <w:noWrap/>
                  <w:tcMar>
                    <w:top w:w="0" w:type="dxa"/>
                    <w:left w:w="70" w:type="dxa"/>
                    <w:bottom w:w="0" w:type="dxa"/>
                    <w:right w:w="70" w:type="dxa"/>
                  </w:tcMar>
                  <w:vAlign w:val="bottom"/>
                  <w:hideMark/>
                </w:tcPr>
                <w:p w14:paraId="2D12FF28" w14:textId="77777777" w:rsidR="007B386B" w:rsidRPr="00D16DB2" w:rsidRDefault="007B386B" w:rsidP="00654A69">
                  <w:pPr>
                    <w:rPr>
                      <w:rFonts w:eastAsia="Batang"/>
                      <w:sz w:val="20"/>
                      <w:szCs w:val="20"/>
                      <w:lang w:eastAsia="ko-KR"/>
                    </w:rPr>
                  </w:pPr>
                  <w:r w:rsidRPr="00D16DB2">
                    <w:rPr>
                      <w:rFonts w:eastAsia="Batang"/>
                      <w:sz w:val="20"/>
                      <w:szCs w:val="20"/>
                      <w:lang w:eastAsia="ko-KR"/>
                    </w:rPr>
                    <w:t>Вноска на база данък добавена стойност</w:t>
                  </w:r>
                </w:p>
              </w:tc>
              <w:tc>
                <w:tcPr>
                  <w:tcW w:w="1007" w:type="dxa"/>
                  <w:tcBorders>
                    <w:top w:val="nil"/>
                    <w:left w:val="nil"/>
                    <w:bottom w:val="nil"/>
                    <w:right w:val="double" w:sz="6" w:space="0" w:color="800000"/>
                  </w:tcBorders>
                  <w:shd w:val="clear" w:color="auto" w:fill="FFFFCC"/>
                  <w:noWrap/>
                  <w:tcMar>
                    <w:top w:w="0" w:type="dxa"/>
                    <w:left w:w="70" w:type="dxa"/>
                    <w:bottom w:w="0" w:type="dxa"/>
                    <w:right w:w="70" w:type="dxa"/>
                  </w:tcMar>
                  <w:vAlign w:val="bottom"/>
                  <w:hideMark/>
                </w:tcPr>
                <w:p w14:paraId="4CD3772D" w14:textId="77777777" w:rsidR="007B386B" w:rsidRPr="00D16DB2" w:rsidRDefault="007B386B" w:rsidP="00654A69">
                  <w:pPr>
                    <w:jc w:val="right"/>
                    <w:rPr>
                      <w:rFonts w:eastAsia="Batang"/>
                      <w:sz w:val="20"/>
                      <w:szCs w:val="20"/>
                      <w:lang w:val="en-US" w:eastAsia="ko-KR"/>
                    </w:rPr>
                  </w:pPr>
                  <w:r w:rsidRPr="00D16DB2">
                    <w:rPr>
                      <w:rFonts w:eastAsia="Batang"/>
                      <w:sz w:val="20"/>
                      <w:szCs w:val="20"/>
                      <w:lang w:eastAsia="ko-KR"/>
                    </w:rPr>
                    <w:t>132,8</w:t>
                  </w:r>
                </w:p>
              </w:tc>
            </w:tr>
            <w:tr w:rsidR="007B386B" w:rsidRPr="00D16DB2" w14:paraId="7FD02397" w14:textId="77777777" w:rsidTr="00654A69">
              <w:trPr>
                <w:gridAfter w:val="2"/>
                <w:wAfter w:w="2493" w:type="dxa"/>
                <w:trHeight w:val="80"/>
              </w:trPr>
              <w:tc>
                <w:tcPr>
                  <w:tcW w:w="7506" w:type="dxa"/>
                  <w:gridSpan w:val="2"/>
                  <w:tcBorders>
                    <w:top w:val="nil"/>
                    <w:left w:val="double" w:sz="6" w:space="0" w:color="800000"/>
                    <w:bottom w:val="nil"/>
                    <w:right w:val="single" w:sz="8" w:space="0" w:color="800000"/>
                  </w:tcBorders>
                  <w:shd w:val="clear" w:color="auto" w:fill="FFFFCC"/>
                  <w:noWrap/>
                  <w:tcMar>
                    <w:top w:w="0" w:type="dxa"/>
                    <w:left w:w="70" w:type="dxa"/>
                    <w:bottom w:w="0" w:type="dxa"/>
                    <w:right w:w="70" w:type="dxa"/>
                  </w:tcMar>
                  <w:vAlign w:val="bottom"/>
                  <w:hideMark/>
                </w:tcPr>
                <w:p w14:paraId="116F6397" w14:textId="77777777" w:rsidR="007B386B" w:rsidRPr="00D16DB2" w:rsidRDefault="007B386B" w:rsidP="00654A69">
                  <w:pPr>
                    <w:rPr>
                      <w:rFonts w:eastAsia="Batang"/>
                      <w:sz w:val="20"/>
                      <w:szCs w:val="20"/>
                      <w:lang w:eastAsia="ko-KR"/>
                    </w:rPr>
                  </w:pPr>
                  <w:r w:rsidRPr="00D16DB2">
                    <w:rPr>
                      <w:rFonts w:eastAsia="Batang"/>
                      <w:sz w:val="20"/>
                      <w:szCs w:val="20"/>
                      <w:lang w:eastAsia="ko-KR"/>
                    </w:rPr>
                    <w:t xml:space="preserve">Ресурс на база </w:t>
                  </w:r>
                  <w:proofErr w:type="spellStart"/>
                  <w:r w:rsidRPr="00D16DB2">
                    <w:rPr>
                      <w:rFonts w:eastAsia="Batang"/>
                      <w:sz w:val="20"/>
                      <w:szCs w:val="20"/>
                      <w:lang w:eastAsia="ko-KR"/>
                    </w:rPr>
                    <w:t>нерециклирани</w:t>
                  </w:r>
                  <w:proofErr w:type="spellEnd"/>
                  <w:r w:rsidRPr="00D16DB2">
                    <w:rPr>
                      <w:rFonts w:eastAsia="Batang"/>
                      <w:sz w:val="20"/>
                      <w:szCs w:val="20"/>
                      <w:lang w:eastAsia="ko-KR"/>
                    </w:rPr>
                    <w:t xml:space="preserve"> отпадъци от опаковки от пластмаса</w:t>
                  </w:r>
                </w:p>
              </w:tc>
              <w:tc>
                <w:tcPr>
                  <w:tcW w:w="1007" w:type="dxa"/>
                  <w:tcBorders>
                    <w:top w:val="nil"/>
                    <w:left w:val="nil"/>
                    <w:bottom w:val="nil"/>
                    <w:right w:val="double" w:sz="6" w:space="0" w:color="800000"/>
                  </w:tcBorders>
                  <w:shd w:val="clear" w:color="auto" w:fill="FFFFCC"/>
                  <w:noWrap/>
                  <w:tcMar>
                    <w:top w:w="0" w:type="dxa"/>
                    <w:left w:w="70" w:type="dxa"/>
                    <w:bottom w:w="0" w:type="dxa"/>
                    <w:right w:w="70" w:type="dxa"/>
                  </w:tcMar>
                  <w:hideMark/>
                </w:tcPr>
                <w:p w14:paraId="794C5119" w14:textId="77777777" w:rsidR="007B386B" w:rsidRPr="00D16DB2" w:rsidRDefault="007B386B" w:rsidP="00654A69">
                  <w:pPr>
                    <w:jc w:val="right"/>
                    <w:rPr>
                      <w:rFonts w:eastAsia="Batang"/>
                      <w:sz w:val="20"/>
                      <w:szCs w:val="20"/>
                      <w:lang w:val="en-US" w:eastAsia="ko-KR"/>
                    </w:rPr>
                  </w:pPr>
                  <w:r w:rsidRPr="00D16DB2">
                    <w:rPr>
                      <w:rFonts w:eastAsia="Batang"/>
                      <w:sz w:val="20"/>
                      <w:szCs w:val="20"/>
                      <w:lang w:eastAsia="ko-KR"/>
                    </w:rPr>
                    <w:t>33,1</w:t>
                  </w:r>
                </w:p>
              </w:tc>
            </w:tr>
            <w:tr w:rsidR="007B386B" w:rsidRPr="00D16DB2" w14:paraId="53B71357" w14:textId="77777777" w:rsidTr="00654A69">
              <w:trPr>
                <w:gridAfter w:val="2"/>
                <w:wAfter w:w="2493" w:type="dxa"/>
                <w:trHeight w:val="80"/>
              </w:trPr>
              <w:tc>
                <w:tcPr>
                  <w:tcW w:w="7506" w:type="dxa"/>
                  <w:gridSpan w:val="2"/>
                  <w:tcBorders>
                    <w:top w:val="nil"/>
                    <w:left w:val="double" w:sz="6" w:space="0" w:color="800000"/>
                    <w:bottom w:val="nil"/>
                    <w:right w:val="single" w:sz="8" w:space="0" w:color="800000"/>
                  </w:tcBorders>
                  <w:shd w:val="clear" w:color="auto" w:fill="FFFFCC"/>
                  <w:noWrap/>
                  <w:tcMar>
                    <w:top w:w="0" w:type="dxa"/>
                    <w:left w:w="70" w:type="dxa"/>
                    <w:bottom w:w="0" w:type="dxa"/>
                    <w:right w:w="70" w:type="dxa"/>
                  </w:tcMar>
                  <w:vAlign w:val="bottom"/>
                  <w:hideMark/>
                </w:tcPr>
                <w:p w14:paraId="6EF24D44" w14:textId="77777777" w:rsidR="007B386B" w:rsidRPr="00D16DB2" w:rsidRDefault="007B386B" w:rsidP="00654A69">
                  <w:pPr>
                    <w:rPr>
                      <w:rFonts w:eastAsia="Batang"/>
                      <w:sz w:val="20"/>
                      <w:szCs w:val="20"/>
                      <w:lang w:eastAsia="ko-KR"/>
                    </w:rPr>
                  </w:pPr>
                  <w:r w:rsidRPr="00D16DB2">
                    <w:rPr>
                      <w:rFonts w:eastAsia="Batang"/>
                      <w:sz w:val="20"/>
                      <w:szCs w:val="20"/>
                      <w:lang w:eastAsia="ko-KR"/>
                    </w:rPr>
                    <w:t>участие във финансирането на брутното намаление за  Австрия, Дания, Германия, Нидерландия и Швеция и вноска за корекция за неучастие на съответни държави членки в някои политики за свобода, сигурност и правосъдие</w:t>
                  </w:r>
                </w:p>
              </w:tc>
              <w:tc>
                <w:tcPr>
                  <w:tcW w:w="1007" w:type="dxa"/>
                  <w:tcBorders>
                    <w:top w:val="nil"/>
                    <w:left w:val="nil"/>
                    <w:bottom w:val="nil"/>
                    <w:right w:val="double" w:sz="6" w:space="0" w:color="800000"/>
                  </w:tcBorders>
                  <w:shd w:val="clear" w:color="auto" w:fill="FFFFCC"/>
                  <w:noWrap/>
                  <w:tcMar>
                    <w:top w:w="0" w:type="dxa"/>
                    <w:left w:w="70" w:type="dxa"/>
                    <w:bottom w:w="0" w:type="dxa"/>
                    <w:right w:w="70" w:type="dxa"/>
                  </w:tcMar>
                  <w:vAlign w:val="bottom"/>
                  <w:hideMark/>
                </w:tcPr>
                <w:p w14:paraId="608B1BD1" w14:textId="77777777" w:rsidR="007B386B" w:rsidRPr="00D16DB2" w:rsidRDefault="007B386B" w:rsidP="00654A69">
                  <w:pPr>
                    <w:jc w:val="right"/>
                    <w:rPr>
                      <w:rFonts w:eastAsia="Batang"/>
                      <w:sz w:val="20"/>
                      <w:szCs w:val="20"/>
                      <w:lang w:val="en-US" w:eastAsia="ko-KR"/>
                    </w:rPr>
                  </w:pPr>
                  <w:r w:rsidRPr="00D16DB2">
                    <w:rPr>
                      <w:rFonts w:eastAsia="Batang"/>
                      <w:sz w:val="20"/>
                      <w:szCs w:val="20"/>
                      <w:lang w:eastAsia="ko-KR"/>
                    </w:rPr>
                    <w:t>40,5</w:t>
                  </w:r>
                </w:p>
              </w:tc>
            </w:tr>
            <w:tr w:rsidR="007B386B" w:rsidRPr="00D16DB2" w14:paraId="05FC03F1" w14:textId="77777777" w:rsidTr="00654A69">
              <w:trPr>
                <w:gridAfter w:val="2"/>
                <w:wAfter w:w="2493" w:type="dxa"/>
                <w:trHeight w:val="80"/>
              </w:trPr>
              <w:tc>
                <w:tcPr>
                  <w:tcW w:w="7506" w:type="dxa"/>
                  <w:gridSpan w:val="2"/>
                  <w:tcBorders>
                    <w:top w:val="nil"/>
                    <w:left w:val="double" w:sz="6" w:space="0" w:color="800000"/>
                    <w:bottom w:val="nil"/>
                    <w:right w:val="single" w:sz="8" w:space="0" w:color="800000"/>
                  </w:tcBorders>
                  <w:shd w:val="clear" w:color="auto" w:fill="FFFFCC"/>
                  <w:noWrap/>
                  <w:tcMar>
                    <w:top w:w="0" w:type="dxa"/>
                    <w:left w:w="70" w:type="dxa"/>
                    <w:bottom w:w="0" w:type="dxa"/>
                    <w:right w:w="70" w:type="dxa"/>
                  </w:tcMar>
                  <w:vAlign w:val="bottom"/>
                  <w:hideMark/>
                </w:tcPr>
                <w:p w14:paraId="316DD875" w14:textId="77777777" w:rsidR="007B386B" w:rsidRPr="00D16DB2" w:rsidRDefault="007B386B" w:rsidP="00654A69">
                  <w:pPr>
                    <w:rPr>
                      <w:rFonts w:eastAsia="Batang"/>
                      <w:sz w:val="20"/>
                      <w:szCs w:val="20"/>
                      <w:lang w:eastAsia="ko-KR"/>
                    </w:rPr>
                  </w:pPr>
                  <w:r w:rsidRPr="00D16DB2">
                    <w:rPr>
                      <w:rFonts w:eastAsia="Batang"/>
                      <w:sz w:val="20"/>
                      <w:szCs w:val="20"/>
                      <w:lang w:eastAsia="ko-KR"/>
                    </w:rPr>
                    <w:t>Вноска на традиционни собствени ресурси (мита)</w:t>
                  </w:r>
                </w:p>
              </w:tc>
              <w:tc>
                <w:tcPr>
                  <w:tcW w:w="1007" w:type="dxa"/>
                  <w:tcBorders>
                    <w:top w:val="nil"/>
                    <w:left w:val="nil"/>
                    <w:bottom w:val="nil"/>
                    <w:right w:val="double" w:sz="6" w:space="0" w:color="800000"/>
                  </w:tcBorders>
                  <w:shd w:val="clear" w:color="auto" w:fill="FFFFCC"/>
                  <w:noWrap/>
                  <w:tcMar>
                    <w:top w:w="0" w:type="dxa"/>
                    <w:left w:w="70" w:type="dxa"/>
                    <w:bottom w:w="0" w:type="dxa"/>
                    <w:right w:w="70" w:type="dxa"/>
                  </w:tcMar>
                  <w:vAlign w:val="bottom"/>
                  <w:hideMark/>
                </w:tcPr>
                <w:p w14:paraId="5E15D0E7" w14:textId="77777777" w:rsidR="007B386B" w:rsidRPr="00D16DB2" w:rsidRDefault="007B386B" w:rsidP="00654A69">
                  <w:pPr>
                    <w:jc w:val="right"/>
                    <w:rPr>
                      <w:rFonts w:eastAsia="Batang"/>
                      <w:sz w:val="20"/>
                      <w:szCs w:val="20"/>
                      <w:lang w:val="en-US" w:eastAsia="ko-KR"/>
                    </w:rPr>
                  </w:pPr>
                  <w:r w:rsidRPr="00D16DB2">
                    <w:rPr>
                      <w:rFonts w:eastAsia="Batang"/>
                      <w:sz w:val="20"/>
                      <w:szCs w:val="20"/>
                      <w:lang w:eastAsia="ko-KR"/>
                    </w:rPr>
                    <w:t>106,8</w:t>
                  </w:r>
                </w:p>
              </w:tc>
            </w:tr>
            <w:tr w:rsidR="007B386B" w:rsidRPr="00D16DB2" w14:paraId="2EDAF80D" w14:textId="77777777" w:rsidTr="00654A69">
              <w:trPr>
                <w:gridAfter w:val="2"/>
                <w:wAfter w:w="2493" w:type="dxa"/>
                <w:trHeight w:val="80"/>
              </w:trPr>
              <w:tc>
                <w:tcPr>
                  <w:tcW w:w="7506" w:type="dxa"/>
                  <w:gridSpan w:val="2"/>
                  <w:tcBorders>
                    <w:top w:val="nil"/>
                    <w:left w:val="double" w:sz="6" w:space="0" w:color="800000"/>
                    <w:bottom w:val="double" w:sz="6" w:space="0" w:color="800000"/>
                    <w:right w:val="single" w:sz="8" w:space="0" w:color="800000"/>
                  </w:tcBorders>
                  <w:shd w:val="clear" w:color="auto" w:fill="FFFFCC"/>
                  <w:noWrap/>
                  <w:tcMar>
                    <w:top w:w="0" w:type="dxa"/>
                    <w:left w:w="70" w:type="dxa"/>
                    <w:bottom w:w="0" w:type="dxa"/>
                    <w:right w:w="70" w:type="dxa"/>
                  </w:tcMar>
                  <w:vAlign w:val="bottom"/>
                  <w:hideMark/>
                </w:tcPr>
                <w:p w14:paraId="302FD5BF" w14:textId="77777777" w:rsidR="007B386B" w:rsidRPr="00D16DB2" w:rsidRDefault="007B386B" w:rsidP="00654A69">
                  <w:pPr>
                    <w:rPr>
                      <w:rFonts w:eastAsia="Batang"/>
                      <w:b/>
                      <w:bCs/>
                      <w:sz w:val="20"/>
                      <w:szCs w:val="20"/>
                      <w:lang w:eastAsia="ko-KR"/>
                    </w:rPr>
                  </w:pPr>
                  <w:r w:rsidRPr="00D16DB2">
                    <w:rPr>
                      <w:rFonts w:eastAsia="Batang"/>
                      <w:b/>
                      <w:bCs/>
                      <w:sz w:val="20"/>
                      <w:szCs w:val="20"/>
                      <w:lang w:eastAsia="ko-KR"/>
                    </w:rPr>
                    <w:t>ВНОСКА В ОБЩИЯ БЮДЖЕТ НА ЕС</w:t>
                  </w:r>
                </w:p>
              </w:tc>
              <w:tc>
                <w:tcPr>
                  <w:tcW w:w="1007" w:type="dxa"/>
                  <w:tcBorders>
                    <w:top w:val="nil"/>
                    <w:left w:val="nil"/>
                    <w:bottom w:val="double" w:sz="6" w:space="0" w:color="800000"/>
                    <w:right w:val="double" w:sz="6" w:space="0" w:color="800000"/>
                  </w:tcBorders>
                  <w:shd w:val="clear" w:color="auto" w:fill="FFFFCC"/>
                  <w:noWrap/>
                  <w:tcMar>
                    <w:top w:w="0" w:type="dxa"/>
                    <w:left w:w="70" w:type="dxa"/>
                    <w:bottom w:w="0" w:type="dxa"/>
                    <w:right w:w="70" w:type="dxa"/>
                  </w:tcMar>
                  <w:vAlign w:val="bottom"/>
                  <w:hideMark/>
                </w:tcPr>
                <w:p w14:paraId="3627C5C5" w14:textId="77777777" w:rsidR="007B386B" w:rsidRPr="00D16DB2" w:rsidRDefault="007B386B" w:rsidP="00654A69">
                  <w:pPr>
                    <w:jc w:val="right"/>
                    <w:rPr>
                      <w:rFonts w:eastAsia="Batang"/>
                      <w:b/>
                      <w:bCs/>
                      <w:sz w:val="20"/>
                      <w:szCs w:val="20"/>
                      <w:lang w:eastAsia="ko-KR"/>
                    </w:rPr>
                  </w:pPr>
                  <w:r w:rsidRPr="00D16DB2">
                    <w:rPr>
                      <w:rFonts w:eastAsia="Batang"/>
                      <w:b/>
                      <w:bCs/>
                      <w:sz w:val="20"/>
                      <w:szCs w:val="20"/>
                      <w:lang w:eastAsia="ko-KR"/>
                    </w:rPr>
                    <w:t>713,5</w:t>
                  </w:r>
                </w:p>
              </w:tc>
            </w:tr>
          </w:tbl>
          <w:p w14:paraId="2E078DBF" w14:textId="77777777" w:rsidR="007B386B" w:rsidRPr="00E56679" w:rsidRDefault="007B386B" w:rsidP="00654A69">
            <w:pPr>
              <w:rPr>
                <w:rFonts w:eastAsia="Batang"/>
                <w:b/>
                <w:bCs/>
                <w:color w:val="0070C0"/>
                <w:sz w:val="20"/>
                <w:szCs w:val="20"/>
                <w:lang w:eastAsia="ko-KR"/>
              </w:rPr>
            </w:pPr>
          </w:p>
        </w:tc>
        <w:tc>
          <w:tcPr>
            <w:tcW w:w="1007" w:type="dxa"/>
            <w:noWrap/>
          </w:tcPr>
          <w:p w14:paraId="72D59227" w14:textId="77777777" w:rsidR="007B386B" w:rsidRPr="00E56679" w:rsidRDefault="007B386B" w:rsidP="00654A69">
            <w:pPr>
              <w:jc w:val="right"/>
              <w:rPr>
                <w:rFonts w:eastAsia="Batang"/>
                <w:b/>
                <w:bCs/>
                <w:color w:val="0070C0"/>
                <w:sz w:val="20"/>
                <w:szCs w:val="20"/>
                <w:lang w:eastAsia="ko-KR"/>
              </w:rPr>
            </w:pPr>
          </w:p>
        </w:tc>
      </w:tr>
    </w:tbl>
    <w:p w14:paraId="134E49CD" w14:textId="5A9CCE66" w:rsidR="001F099D" w:rsidRPr="007E1DF8" w:rsidRDefault="001F099D" w:rsidP="001F099D">
      <w:pPr>
        <w:pStyle w:val="Heading2"/>
        <w:numPr>
          <w:ilvl w:val="0"/>
          <w:numId w:val="3"/>
        </w:numPr>
        <w:tabs>
          <w:tab w:val="clear" w:pos="720"/>
          <w:tab w:val="center" w:pos="426"/>
        </w:tabs>
        <w:spacing w:before="0" w:after="120"/>
        <w:ind w:left="0" w:firstLine="0"/>
        <w:rPr>
          <w:rFonts w:ascii="Times New Roman" w:hAnsi="Times New Roman" w:cs="Times New Roman"/>
          <w:sz w:val="24"/>
          <w:szCs w:val="24"/>
        </w:rPr>
      </w:pPr>
      <w:bookmarkStart w:id="209" w:name="_Toc176351941"/>
      <w:r w:rsidRPr="007E1DF8">
        <w:rPr>
          <w:rFonts w:ascii="Times New Roman" w:hAnsi="Times New Roman" w:cs="Times New Roman"/>
          <w:sz w:val="24"/>
          <w:szCs w:val="24"/>
        </w:rPr>
        <w:t>Просрочени задължения и вземания към 30.06.202</w:t>
      </w:r>
      <w:r w:rsidR="007E1DF8" w:rsidRPr="007E1DF8">
        <w:rPr>
          <w:rFonts w:ascii="Times New Roman" w:hAnsi="Times New Roman" w:cs="Times New Roman"/>
          <w:sz w:val="24"/>
          <w:szCs w:val="24"/>
        </w:rPr>
        <w:t>4</w:t>
      </w:r>
      <w:r w:rsidRPr="007E1DF8">
        <w:rPr>
          <w:rFonts w:ascii="Times New Roman" w:hAnsi="Times New Roman" w:cs="Times New Roman"/>
          <w:sz w:val="24"/>
          <w:szCs w:val="24"/>
        </w:rPr>
        <w:t xml:space="preserve"> г.</w:t>
      </w:r>
      <w:bookmarkEnd w:id="107"/>
      <w:bookmarkEnd w:id="209"/>
    </w:p>
    <w:p w14:paraId="3D71EDCD" w14:textId="77777777" w:rsidR="001F099D" w:rsidRPr="00E56679" w:rsidRDefault="001F099D" w:rsidP="001F099D">
      <w:pPr>
        <w:tabs>
          <w:tab w:val="left" w:pos="720"/>
          <w:tab w:val="left" w:pos="969"/>
          <w:tab w:val="center" w:pos="4536"/>
          <w:tab w:val="right" w:pos="9072"/>
        </w:tabs>
        <w:ind w:right="57"/>
        <w:jc w:val="both"/>
        <w:rPr>
          <w:color w:val="0070C0"/>
          <w:sz w:val="2"/>
          <w:szCs w:val="2"/>
        </w:rPr>
      </w:pPr>
    </w:p>
    <w:p w14:paraId="40229637" w14:textId="77777777" w:rsidR="007E1DF8" w:rsidRPr="00503275" w:rsidRDefault="007E1DF8" w:rsidP="007E1DF8">
      <w:pPr>
        <w:pStyle w:val="Heading3"/>
        <w:numPr>
          <w:ilvl w:val="1"/>
          <w:numId w:val="19"/>
        </w:numPr>
        <w:spacing w:before="120"/>
        <w:ind w:left="567" w:hanging="567"/>
        <w:rPr>
          <w:rFonts w:ascii="Times New Roman" w:hAnsi="Times New Roman" w:cs="Times New Roman"/>
          <w:sz w:val="24"/>
          <w:szCs w:val="24"/>
        </w:rPr>
      </w:pPr>
      <w:bookmarkStart w:id="210" w:name="_Toc365649311"/>
      <w:bookmarkStart w:id="211" w:name="_Toc365897048"/>
      <w:bookmarkStart w:id="212" w:name="_Toc16509340"/>
      <w:bookmarkStart w:id="213" w:name="_Toc143018875"/>
      <w:bookmarkStart w:id="214" w:name="_Toc174117344"/>
      <w:bookmarkStart w:id="215" w:name="_Toc176351942"/>
      <w:r w:rsidRPr="00503275">
        <w:rPr>
          <w:rFonts w:ascii="Times New Roman" w:hAnsi="Times New Roman" w:cs="Times New Roman"/>
          <w:sz w:val="24"/>
          <w:szCs w:val="24"/>
        </w:rPr>
        <w:t>Просрочени задължения</w:t>
      </w:r>
      <w:bookmarkEnd w:id="210"/>
      <w:bookmarkEnd w:id="211"/>
      <w:bookmarkEnd w:id="212"/>
      <w:bookmarkEnd w:id="213"/>
      <w:bookmarkEnd w:id="214"/>
      <w:bookmarkEnd w:id="215"/>
    </w:p>
    <w:p w14:paraId="09E99526" w14:textId="77777777" w:rsidR="007E1DF8" w:rsidRPr="00E56679" w:rsidRDefault="007E1DF8" w:rsidP="007E1DF8">
      <w:pPr>
        <w:tabs>
          <w:tab w:val="left" w:pos="720"/>
          <w:tab w:val="left" w:pos="969"/>
          <w:tab w:val="center" w:pos="4536"/>
          <w:tab w:val="right" w:pos="9072"/>
        </w:tabs>
        <w:ind w:right="57"/>
        <w:jc w:val="both"/>
        <w:rPr>
          <w:color w:val="0070C0"/>
          <w:sz w:val="8"/>
          <w:szCs w:val="8"/>
          <w:highlight w:val="lightGray"/>
        </w:rPr>
      </w:pPr>
    </w:p>
    <w:p w14:paraId="610B8C20" w14:textId="77777777" w:rsidR="007E1DF8" w:rsidRPr="00793C4E" w:rsidRDefault="007E1DF8" w:rsidP="007E1DF8">
      <w:pPr>
        <w:spacing w:after="120"/>
        <w:jc w:val="both"/>
        <w:rPr>
          <w:color w:val="0070C0"/>
        </w:rPr>
      </w:pPr>
      <w:bookmarkStart w:id="216" w:name="_Toc301864759"/>
      <w:bookmarkStart w:id="217" w:name="_Toc365649312"/>
      <w:bookmarkStart w:id="218" w:name="_Toc365897049"/>
      <w:bookmarkStart w:id="219" w:name="_Toc521343516"/>
      <w:bookmarkStart w:id="220" w:name="_Toc16509341"/>
      <w:bookmarkStart w:id="221" w:name="_Toc143018876"/>
      <w:bookmarkStart w:id="222" w:name="_Toc174117345"/>
      <w:r w:rsidRPr="009D16F1">
        <w:t xml:space="preserve">Към </w:t>
      </w:r>
      <w:r w:rsidRPr="00153C68">
        <w:rPr>
          <w:lang w:val="ru-RU"/>
        </w:rPr>
        <w:t>30</w:t>
      </w:r>
      <w:r w:rsidRPr="009D16F1">
        <w:t>.</w:t>
      </w:r>
      <w:r w:rsidRPr="00153C68">
        <w:rPr>
          <w:lang w:val="ru-RU"/>
        </w:rPr>
        <w:t>06</w:t>
      </w:r>
      <w:r w:rsidRPr="009D16F1">
        <w:t xml:space="preserve">.2024 г. просрочените задължения на централно и местно правителство са в размер на </w:t>
      </w:r>
      <w:r w:rsidRPr="00F82A15">
        <w:rPr>
          <w:b/>
        </w:rPr>
        <w:t>320,6 млн. лева.</w:t>
      </w:r>
      <w:r w:rsidRPr="00F82A15">
        <w:t xml:space="preserve"> </w:t>
      </w:r>
    </w:p>
    <w:p w14:paraId="130B7FBE" w14:textId="77777777" w:rsidR="007E1DF8" w:rsidRPr="00793C4E" w:rsidRDefault="007E1DF8" w:rsidP="007E1DF8">
      <w:pPr>
        <w:spacing w:before="120"/>
        <w:jc w:val="both"/>
        <w:rPr>
          <w:noProof/>
          <w:color w:val="0070C0"/>
        </w:rPr>
      </w:pPr>
      <w:r w:rsidRPr="009D16F1">
        <w:t xml:space="preserve">Размерът на просрочените задължения на </w:t>
      </w:r>
      <w:r w:rsidRPr="009D16F1">
        <w:rPr>
          <w:b/>
        </w:rPr>
        <w:t>централното правителство</w:t>
      </w:r>
      <w:r w:rsidRPr="009D16F1">
        <w:t xml:space="preserve"> (министерства, ведомства и </w:t>
      </w:r>
      <w:r w:rsidRPr="00A80093">
        <w:t>разпоредителите с бюджет по чл. 13, ал. 3 и ал. 4 на ЗПФ) е</w:t>
      </w:r>
      <w:r w:rsidRPr="00A80093">
        <w:rPr>
          <w:b/>
        </w:rPr>
        <w:t xml:space="preserve"> 214,5 млн. лева. </w:t>
      </w:r>
      <w:r w:rsidRPr="00A80093">
        <w:t xml:space="preserve">Спрямо отчетените в края на 2023 г. те намаляват с 16,0 </w:t>
      </w:r>
      <w:r w:rsidRPr="002F6141">
        <w:t>млн. лева</w:t>
      </w:r>
      <w:r w:rsidRPr="00544E9E">
        <w:t xml:space="preserve">. В обхвата на държавния бюджет по-значими проблеми с наличие на просрочени задължения има </w:t>
      </w:r>
      <w:r w:rsidRPr="00544E9E">
        <w:rPr>
          <w:bCs/>
        </w:rPr>
        <w:t>при следните министерства</w:t>
      </w:r>
      <w:r w:rsidRPr="00544E9E">
        <w:t xml:space="preserve">: </w:t>
      </w:r>
      <w:r w:rsidRPr="00544E9E">
        <w:rPr>
          <w:bCs/>
        </w:rPr>
        <w:t xml:space="preserve">Министерството на регионалното развитие и благоустройството – 167,7 млн. лв. </w:t>
      </w:r>
      <w:r w:rsidRPr="00544E9E">
        <w:rPr>
          <w:noProof/>
        </w:rPr>
        <w:t>(намаление с 12,9 млн. лв.</w:t>
      </w:r>
      <w:r w:rsidRPr="00544E9E">
        <w:t xml:space="preserve"> спрямо просрочията в края на </w:t>
      </w:r>
      <w:r w:rsidRPr="00871F9E">
        <w:t>2023 г</w:t>
      </w:r>
      <w:r>
        <w:t>.</w:t>
      </w:r>
      <w:r w:rsidRPr="0044006F">
        <w:t xml:space="preserve"> </w:t>
      </w:r>
      <w:r w:rsidRPr="002F6141">
        <w:t xml:space="preserve">във връзка с обезпечени със средства </w:t>
      </w:r>
      <w:r w:rsidRPr="002F6141">
        <w:rPr>
          <w:noProof/>
        </w:rPr>
        <w:t xml:space="preserve">договори за текущ ремонт и поддържане на републиканските </w:t>
      </w:r>
      <w:r w:rsidRPr="00544E9E">
        <w:rPr>
          <w:noProof/>
        </w:rPr>
        <w:t>пътища, вкл. и зимно поддържане</w:t>
      </w:r>
      <w:r w:rsidRPr="00871F9E">
        <w:t>)</w:t>
      </w:r>
      <w:r w:rsidRPr="00871F9E">
        <w:rPr>
          <w:lang w:val="ru-RU"/>
        </w:rPr>
        <w:t xml:space="preserve">; </w:t>
      </w:r>
      <w:r w:rsidRPr="00871F9E">
        <w:rPr>
          <w:noProof/>
        </w:rPr>
        <w:t xml:space="preserve">Министерството на земеделието и храните – 16,6 млн. лв. (намаление с 6,4 млн. лв. </w:t>
      </w:r>
      <w:r w:rsidRPr="00871F9E">
        <w:t xml:space="preserve">спрямо </w:t>
      </w:r>
      <w:r w:rsidRPr="000932A6">
        <w:t>просрочията в края на 2023 г.</w:t>
      </w:r>
      <w:r w:rsidRPr="000932A6">
        <w:rPr>
          <w:noProof/>
        </w:rPr>
        <w:t xml:space="preserve">); Министерството на отбраната – </w:t>
      </w:r>
      <w:r w:rsidRPr="00C64E0D">
        <w:rPr>
          <w:noProof/>
        </w:rPr>
        <w:t xml:space="preserve">3,4 млн. лв. (увеличение с 0,3 млн. лв. спрямо отчетените в края на 2023 г.), в т.ч. 3,3 млн. лв. на ВМА. От разпоредителите с бюджет по чл. 13, ал. 3 на Закона за публичните финанси проблеми </w:t>
      </w:r>
      <w:r w:rsidRPr="00747FEA">
        <w:rPr>
          <w:noProof/>
        </w:rPr>
        <w:t xml:space="preserve">с наличието на просрочени задължения има основно при държавните висши училища – 6,5 млн. лв. (увеличение с 1,1 млн. лв. </w:t>
      </w:r>
      <w:r w:rsidRPr="00747FEA">
        <w:t xml:space="preserve">спрямо отчетените в края на 2023 г. и представляват задължения за комунални услуги, неплатени данък сгради и такса смет на общините от Софийския университет „Св. Климент Охридски“, надвнесени такси от студенти и специализанти на Медицинския университет - София и просрочени задължения към МБАЛ "Света Марина" - Варна от </w:t>
      </w:r>
      <w:r w:rsidRPr="00083CA9">
        <w:t>Техническия университет Варна</w:t>
      </w:r>
      <w:r w:rsidRPr="00083CA9">
        <w:rPr>
          <w:noProof/>
        </w:rPr>
        <w:t xml:space="preserve">), Българската национална телевизия – 10,2 млн. лв. (увеличение с 4,5 млн. лв. </w:t>
      </w:r>
      <w:r w:rsidRPr="00083CA9">
        <w:t>спрямо отчетените в края на 2023 г.</w:t>
      </w:r>
      <w:r w:rsidRPr="00083CA9">
        <w:rPr>
          <w:noProof/>
        </w:rPr>
        <w:t xml:space="preserve">, като това са основно </w:t>
      </w:r>
      <w:r w:rsidRPr="00083CA9">
        <w:t xml:space="preserve">просрочени задължения към </w:t>
      </w:r>
      <w:r w:rsidRPr="00AA7240">
        <w:t xml:space="preserve">доставчици в страната) и </w:t>
      </w:r>
      <w:r w:rsidRPr="00AA7240">
        <w:rPr>
          <w:noProof/>
        </w:rPr>
        <w:t xml:space="preserve">Българското национало радио – 2,9 млн. лв. (увеличение с </w:t>
      </w:r>
      <w:r w:rsidRPr="00AA7240">
        <w:rPr>
          <w:noProof/>
          <w:lang w:val="ru-RU"/>
        </w:rPr>
        <w:t>0</w:t>
      </w:r>
      <w:r w:rsidRPr="00AA7240">
        <w:rPr>
          <w:noProof/>
        </w:rPr>
        <w:t>,</w:t>
      </w:r>
      <w:r>
        <w:rPr>
          <w:noProof/>
        </w:rPr>
        <w:t>3</w:t>
      </w:r>
      <w:r w:rsidRPr="00AA7240">
        <w:rPr>
          <w:noProof/>
        </w:rPr>
        <w:t xml:space="preserve"> млн. лв. спрямо просрочията в края на 2023 г.</w:t>
      </w:r>
      <w:r w:rsidRPr="00AA7240">
        <w:t xml:space="preserve">, като това са основно </w:t>
      </w:r>
      <w:r w:rsidRPr="00AA7240">
        <w:rPr>
          <w:szCs w:val="20"/>
        </w:rPr>
        <w:t xml:space="preserve">просрочени задължения за данъци, вноски, такси и административни санкции към Столична община за такса битови отпадъци за </w:t>
      </w:r>
      <w:r w:rsidRPr="00960614">
        <w:rPr>
          <w:szCs w:val="20"/>
        </w:rPr>
        <w:t xml:space="preserve">минали периоди, в т.ч. </w:t>
      </w:r>
      <w:r w:rsidRPr="00960614">
        <w:rPr>
          <w:szCs w:val="20"/>
          <w:lang w:val="ru-RU"/>
        </w:rPr>
        <w:t>1</w:t>
      </w:r>
      <w:r w:rsidRPr="00960614">
        <w:rPr>
          <w:szCs w:val="20"/>
        </w:rPr>
        <w:t>,3 млн. лв. за лихви</w:t>
      </w:r>
      <w:r w:rsidRPr="00960614">
        <w:t>)</w:t>
      </w:r>
      <w:r w:rsidRPr="00960614">
        <w:rPr>
          <w:noProof/>
        </w:rPr>
        <w:t xml:space="preserve">. От разпоредителите с бюджет по чл. 13, ал. 4 на Закона за публичните финанси проблеми наличие на просрочени задължения има при Държавно предприятие „Научно-производствен център“ – 2,1 млн. лв. (увеличение с 0,1 млн. лв. </w:t>
      </w:r>
      <w:r w:rsidRPr="00960614">
        <w:t>спрямо отчетените в края на 2023 г.</w:t>
      </w:r>
      <w:r w:rsidRPr="00960614">
        <w:rPr>
          <w:lang w:val="ru-RU"/>
        </w:rPr>
        <w:t>)</w:t>
      </w:r>
      <w:r w:rsidRPr="00960614">
        <w:t>.</w:t>
      </w:r>
    </w:p>
    <w:p w14:paraId="3B3066E1" w14:textId="77777777" w:rsidR="007E1DF8" w:rsidRPr="00793C4E" w:rsidRDefault="007E1DF8" w:rsidP="007E1DF8">
      <w:pPr>
        <w:spacing w:before="120" w:after="120"/>
        <w:jc w:val="both"/>
        <w:rPr>
          <w:noProof/>
          <w:color w:val="0070C0"/>
        </w:rPr>
      </w:pPr>
      <w:r w:rsidRPr="00054ECC">
        <w:rPr>
          <w:noProof/>
        </w:rPr>
        <w:t xml:space="preserve">Просрочените задължения по </w:t>
      </w:r>
      <w:r w:rsidRPr="00054ECC">
        <w:rPr>
          <w:b/>
          <w:noProof/>
        </w:rPr>
        <w:t>бюджетите на общините</w:t>
      </w:r>
      <w:r w:rsidRPr="00054ECC">
        <w:rPr>
          <w:noProof/>
        </w:rPr>
        <w:t xml:space="preserve"> към </w:t>
      </w:r>
      <w:r w:rsidRPr="00153C68">
        <w:rPr>
          <w:lang w:val="ru-RU"/>
        </w:rPr>
        <w:t>30</w:t>
      </w:r>
      <w:r w:rsidRPr="00054ECC">
        <w:t>.</w:t>
      </w:r>
      <w:r w:rsidRPr="00153C68">
        <w:rPr>
          <w:lang w:val="ru-RU"/>
        </w:rPr>
        <w:t>06</w:t>
      </w:r>
      <w:r w:rsidRPr="00054ECC">
        <w:t xml:space="preserve">.2024 г. </w:t>
      </w:r>
      <w:r w:rsidRPr="00054ECC">
        <w:rPr>
          <w:noProof/>
        </w:rPr>
        <w:t xml:space="preserve">са в размер на </w:t>
      </w:r>
      <w:r w:rsidRPr="00153C68">
        <w:rPr>
          <w:b/>
          <w:noProof/>
          <w:lang w:val="ru-RU"/>
        </w:rPr>
        <w:t>106</w:t>
      </w:r>
      <w:r w:rsidRPr="00A66CED">
        <w:rPr>
          <w:b/>
          <w:noProof/>
        </w:rPr>
        <w:t>,1 млн. лв.,</w:t>
      </w:r>
      <w:r w:rsidRPr="00A66CED">
        <w:rPr>
          <w:noProof/>
        </w:rPr>
        <w:t xml:space="preserve"> като спрямо </w:t>
      </w:r>
      <w:r w:rsidRPr="00A66CED">
        <w:t xml:space="preserve">края на 2023 г. </w:t>
      </w:r>
      <w:r w:rsidRPr="00A66CED">
        <w:rPr>
          <w:noProof/>
        </w:rPr>
        <w:t xml:space="preserve">се отчита намаление с 52,1 млн. лева. С най-голям относителен дял в просрочените задължения по бюджетите на общините към края на месец юни </w:t>
      </w:r>
      <w:r w:rsidRPr="00390663">
        <w:rPr>
          <w:noProof/>
        </w:rPr>
        <w:t>2024 г. са просрочените задължения към доставчици, които са в размер на 94,8 млн. лева. В делегираните от държавата дейности просрочените задължения са в размер на 6,8 млн. лева.</w:t>
      </w:r>
    </w:p>
    <w:p w14:paraId="4AE78AD2" w14:textId="77777777" w:rsidR="007E1DF8" w:rsidRPr="004B47E6" w:rsidRDefault="007E1DF8" w:rsidP="007E1DF8">
      <w:pPr>
        <w:spacing w:after="120"/>
        <w:jc w:val="both"/>
        <w:rPr>
          <w:lang w:val="en-US"/>
        </w:rPr>
      </w:pPr>
      <w:r w:rsidRPr="003D5EE9">
        <w:rPr>
          <w:noProof/>
        </w:rPr>
        <w:t xml:space="preserve">Извън обхвата на консолидираната фискална програма, продължава да има проблем с просрочията на лечебните заведения за болнична помощ (държавни и общински болници – </w:t>
      </w:r>
      <w:r w:rsidRPr="004B47E6">
        <w:rPr>
          <w:noProof/>
        </w:rPr>
        <w:t>търговски дружества). Към 30.06.2024 г. размерът на просрочените задължения е 60,3</w:t>
      </w:r>
      <w:r w:rsidRPr="004B47E6">
        <w:rPr>
          <w:noProof/>
          <w:lang w:val="ru-RU"/>
        </w:rPr>
        <w:t xml:space="preserve"> </w:t>
      </w:r>
      <w:r w:rsidRPr="004B47E6">
        <w:rPr>
          <w:noProof/>
        </w:rPr>
        <w:t>млн. лв., от които 46,0</w:t>
      </w:r>
      <w:r w:rsidRPr="004B47E6">
        <w:rPr>
          <w:noProof/>
          <w:lang w:val="ru-RU"/>
        </w:rPr>
        <w:t xml:space="preserve"> </w:t>
      </w:r>
      <w:r w:rsidRPr="004B47E6">
        <w:rPr>
          <w:noProof/>
        </w:rPr>
        <w:t>млн. лв. са на държавните болници и 14,3</w:t>
      </w:r>
      <w:r w:rsidRPr="004B47E6">
        <w:rPr>
          <w:noProof/>
          <w:lang w:val="ru-RU"/>
        </w:rPr>
        <w:t xml:space="preserve">  </w:t>
      </w:r>
      <w:r w:rsidRPr="004B47E6">
        <w:rPr>
          <w:noProof/>
        </w:rPr>
        <w:t>млн. лв. са на общинските болници. Спрямо отчетените просрочени задължения към 31.12.2023 г. се отчита увеличение с 4,0 млн. лв. (със 7</w:t>
      </w:r>
      <w:r w:rsidRPr="004B47E6">
        <w:rPr>
          <w:noProof/>
          <w:lang w:val="en-US"/>
        </w:rPr>
        <w:t>,1</w:t>
      </w:r>
      <w:r w:rsidRPr="004B47E6">
        <w:rPr>
          <w:noProof/>
        </w:rPr>
        <w:t xml:space="preserve"> на сто)</w:t>
      </w:r>
      <w:r w:rsidRPr="004B47E6">
        <w:t>.</w:t>
      </w:r>
    </w:p>
    <w:p w14:paraId="2FC58643" w14:textId="77777777" w:rsidR="007E1DF8" w:rsidRPr="006F57F3" w:rsidRDefault="007E1DF8" w:rsidP="007E1DF8">
      <w:pPr>
        <w:pStyle w:val="Heading3"/>
        <w:numPr>
          <w:ilvl w:val="1"/>
          <w:numId w:val="19"/>
        </w:numPr>
        <w:ind w:left="567" w:hanging="567"/>
        <w:rPr>
          <w:rFonts w:ascii="Times New Roman" w:hAnsi="Times New Roman" w:cs="Times New Roman"/>
          <w:sz w:val="24"/>
          <w:szCs w:val="24"/>
        </w:rPr>
      </w:pPr>
      <w:bookmarkStart w:id="223" w:name="_Toc176351943"/>
      <w:r w:rsidRPr="006F57F3">
        <w:rPr>
          <w:rFonts w:ascii="Times New Roman" w:hAnsi="Times New Roman" w:cs="Times New Roman"/>
          <w:sz w:val="24"/>
          <w:szCs w:val="24"/>
        </w:rPr>
        <w:t>Просрочени вземания</w:t>
      </w:r>
      <w:bookmarkEnd w:id="216"/>
      <w:bookmarkEnd w:id="217"/>
      <w:bookmarkEnd w:id="218"/>
      <w:bookmarkEnd w:id="219"/>
      <w:bookmarkEnd w:id="220"/>
      <w:bookmarkEnd w:id="221"/>
      <w:bookmarkEnd w:id="222"/>
      <w:bookmarkEnd w:id="223"/>
    </w:p>
    <w:p w14:paraId="47BC885D" w14:textId="77777777" w:rsidR="007E1DF8" w:rsidRPr="00E56679" w:rsidRDefault="007E1DF8" w:rsidP="007E1DF8">
      <w:pPr>
        <w:tabs>
          <w:tab w:val="num" w:pos="1596"/>
        </w:tabs>
        <w:jc w:val="both"/>
        <w:rPr>
          <w:color w:val="0070C0"/>
          <w:sz w:val="8"/>
          <w:szCs w:val="8"/>
          <w:highlight w:val="yellow"/>
          <w:lang w:eastAsia="en-US"/>
        </w:rPr>
      </w:pPr>
    </w:p>
    <w:p w14:paraId="26C83154" w14:textId="77777777" w:rsidR="007E1DF8" w:rsidRPr="00E23452" w:rsidRDefault="007E1DF8" w:rsidP="007E1DF8">
      <w:pPr>
        <w:tabs>
          <w:tab w:val="num" w:pos="1596"/>
        </w:tabs>
        <w:jc w:val="both"/>
        <w:rPr>
          <w:lang w:eastAsia="en-US"/>
        </w:rPr>
      </w:pPr>
      <w:r w:rsidRPr="00E23452">
        <w:rPr>
          <w:lang w:eastAsia="en-US"/>
        </w:rPr>
        <w:t>Към 30.06.202</w:t>
      </w:r>
      <w:r w:rsidRPr="00772219">
        <w:rPr>
          <w:lang w:val="ru-RU" w:eastAsia="en-US"/>
        </w:rPr>
        <w:t>4</w:t>
      </w:r>
      <w:r w:rsidRPr="00E23452">
        <w:rPr>
          <w:lang w:eastAsia="en-US"/>
        </w:rPr>
        <w:t xml:space="preserve"> г. в системите на редица министерства и ведомства са налице и просрочени вземания. По-значимите от тях в обхвата на държавния бюджет са при следните разпоредители с бюджет: </w:t>
      </w:r>
    </w:p>
    <w:p w14:paraId="69191950" w14:textId="77777777" w:rsidR="007E1DF8" w:rsidRPr="007F36BE" w:rsidRDefault="007E1DF8" w:rsidP="007E1DF8">
      <w:pPr>
        <w:numPr>
          <w:ilvl w:val="0"/>
          <w:numId w:val="8"/>
        </w:numPr>
        <w:tabs>
          <w:tab w:val="clear" w:pos="717"/>
          <w:tab w:val="num" w:pos="357"/>
          <w:tab w:val="left" w:pos="540"/>
          <w:tab w:val="left" w:pos="900"/>
        </w:tabs>
        <w:ind w:left="0" w:firstLine="0"/>
        <w:jc w:val="both"/>
      </w:pPr>
      <w:r w:rsidRPr="005A7892">
        <w:t>Министерство на икономиката и индустрията</w:t>
      </w:r>
      <w:r w:rsidRPr="005A7892">
        <w:rPr>
          <w:lang w:val="ru-RU"/>
        </w:rPr>
        <w:t xml:space="preserve"> (МИИ)</w:t>
      </w:r>
      <w:r w:rsidRPr="005A7892">
        <w:t xml:space="preserve"> – размерът на просрочените вземания в края на първото </w:t>
      </w:r>
      <w:r w:rsidRPr="0062532F">
        <w:t xml:space="preserve">полугодие на 2024 г. е </w:t>
      </w:r>
      <w:r w:rsidRPr="0062532F">
        <w:rPr>
          <w:b/>
        </w:rPr>
        <w:t>700,7 млн. лв</w:t>
      </w:r>
      <w:r w:rsidRPr="0062532F">
        <w:t>. Това са основно просрочени публични държавни вземания, от които на</w:t>
      </w:r>
      <w:r w:rsidRPr="0062532F">
        <w:rPr>
          <w:rFonts w:eastAsia="Calibri"/>
        </w:rPr>
        <w:t xml:space="preserve">: </w:t>
      </w:r>
      <w:r w:rsidRPr="0062532F">
        <w:rPr>
          <w:lang w:eastAsia="en-US"/>
        </w:rPr>
        <w:t xml:space="preserve">Централното управление на </w:t>
      </w:r>
      <w:r w:rsidRPr="0062532F">
        <w:t xml:space="preserve">МИИ – </w:t>
      </w:r>
      <w:r w:rsidRPr="0062532F">
        <w:rPr>
          <w:rFonts w:eastAsia="Calibri"/>
        </w:rPr>
        <w:t>68</w:t>
      </w:r>
      <w:r w:rsidRPr="0062532F">
        <w:rPr>
          <w:rFonts w:eastAsia="Calibri"/>
          <w:lang w:val="ru-RU"/>
        </w:rPr>
        <w:t>3</w:t>
      </w:r>
      <w:r w:rsidRPr="0062532F">
        <w:rPr>
          <w:rFonts w:eastAsia="Calibri"/>
        </w:rPr>
        <w:t>,</w:t>
      </w:r>
      <w:r w:rsidRPr="0062532F">
        <w:rPr>
          <w:rFonts w:eastAsia="Calibri"/>
          <w:lang w:val="ru-RU"/>
        </w:rPr>
        <w:t>8</w:t>
      </w:r>
      <w:r w:rsidRPr="0062532F">
        <w:rPr>
          <w:rFonts w:eastAsia="Calibri"/>
        </w:rPr>
        <w:t xml:space="preserve"> млн. лв. начислено публично държавно вземане, </w:t>
      </w:r>
      <w:r w:rsidRPr="0062532F">
        <w:rPr>
          <w:rFonts w:eastAsiaTheme="minorHAnsi"/>
          <w:lang w:eastAsia="en-US"/>
        </w:rPr>
        <w:t xml:space="preserve">установено с Акт № АПДВ - 1/04.08.2008 г., издаден от министъра на икономиката и енергетиката срещу "Кремиковци" АД. Сумата е начислена въз основа на влязло в сила решение № 3456 от 12.03.2014 г. по адм. дело № 10631/2013 г. на ВАС, </w:t>
      </w:r>
      <w:r w:rsidRPr="007F36BE">
        <w:rPr>
          <w:rFonts w:eastAsiaTheme="minorHAnsi"/>
          <w:lang w:eastAsia="en-US"/>
        </w:rPr>
        <w:t xml:space="preserve">решението е окончателно и държавата официално е включена в списъка с кредиторите на "Кремиковци" АД. Вземането е </w:t>
      </w:r>
      <w:proofErr w:type="spellStart"/>
      <w:r w:rsidRPr="007F36BE">
        <w:rPr>
          <w:rFonts w:eastAsiaTheme="minorHAnsi"/>
          <w:lang w:eastAsia="en-US"/>
        </w:rPr>
        <w:t>провизирано</w:t>
      </w:r>
      <w:proofErr w:type="spellEnd"/>
      <w:r w:rsidRPr="007F36BE">
        <w:rPr>
          <w:rFonts w:eastAsiaTheme="minorHAnsi"/>
          <w:lang w:eastAsia="en-US"/>
        </w:rPr>
        <w:t xml:space="preserve"> като несъбираемо;</w:t>
      </w:r>
      <w:r w:rsidRPr="007F36BE">
        <w:t xml:space="preserve"> Комисия за защита на потребителите – просрочените вземания са в размер на 7,2 млн. лв.</w:t>
      </w:r>
      <w:r w:rsidRPr="007F36BE">
        <w:rPr>
          <w:rFonts w:eastAsiaTheme="minorHAnsi"/>
          <w:lang w:eastAsia="en-US"/>
        </w:rPr>
        <w:t>;</w:t>
      </w:r>
      <w:r w:rsidRPr="007F36BE">
        <w:t xml:space="preserve"> </w:t>
      </w:r>
      <w:r w:rsidRPr="007F36BE">
        <w:rPr>
          <w:rFonts w:eastAsia="Calibri"/>
        </w:rPr>
        <w:t xml:space="preserve">Държавна агенция за метрологичен и технически надзор – </w:t>
      </w:r>
      <w:r w:rsidRPr="007F36BE">
        <w:t>просрочените вземания са в размер на 7,5</w:t>
      </w:r>
      <w:r w:rsidRPr="007F36BE">
        <w:rPr>
          <w:rFonts w:eastAsia="Calibri"/>
        </w:rPr>
        <w:t xml:space="preserve"> млн. лв. </w:t>
      </w:r>
    </w:p>
    <w:p w14:paraId="02ECFBF1" w14:textId="77777777" w:rsidR="007E1DF8" w:rsidRPr="00E56679" w:rsidRDefault="007E1DF8" w:rsidP="007E1DF8">
      <w:pPr>
        <w:numPr>
          <w:ilvl w:val="0"/>
          <w:numId w:val="8"/>
        </w:numPr>
        <w:tabs>
          <w:tab w:val="clear" w:pos="717"/>
          <w:tab w:val="num" w:pos="426"/>
        </w:tabs>
        <w:ind w:left="0" w:firstLine="142"/>
        <w:jc w:val="both"/>
        <w:rPr>
          <w:color w:val="0070C0"/>
        </w:rPr>
      </w:pPr>
      <w:r w:rsidRPr="0049244C">
        <w:t xml:space="preserve">Висш съдебен съвет - </w:t>
      </w:r>
      <w:r w:rsidRPr="0049244C">
        <w:rPr>
          <w:bCs/>
          <w:lang w:eastAsia="en-US"/>
        </w:rPr>
        <w:t xml:space="preserve">общо просрочени вземания: </w:t>
      </w:r>
      <w:r w:rsidRPr="0049244C">
        <w:rPr>
          <w:b/>
          <w:bCs/>
          <w:lang w:eastAsia="en-US"/>
        </w:rPr>
        <w:t>484,2 млн. лв.</w:t>
      </w:r>
      <w:r w:rsidRPr="0049244C">
        <w:rPr>
          <w:bCs/>
          <w:lang w:eastAsia="en-US"/>
        </w:rPr>
        <w:t xml:space="preserve"> </w:t>
      </w:r>
      <w:r w:rsidRPr="0049244C">
        <w:t xml:space="preserve">Основната част от тях са </w:t>
      </w:r>
      <w:r w:rsidRPr="005D7049">
        <w:t>просрочени публични държавни вземания</w:t>
      </w:r>
      <w:r w:rsidRPr="005D7049">
        <w:rPr>
          <w:b/>
          <w:i/>
        </w:rPr>
        <w:t xml:space="preserve"> –</w:t>
      </w:r>
      <w:r w:rsidRPr="005D7049">
        <w:t xml:space="preserve"> 473,7 млн. лв. по актове издадени в полза на съдебната власт към 30.06.2024 г. и възложени за събиране от Националната агенция за приходите, Камарата на частните съдебни изпълнители и държавните съдебни изпълнители към органите на съдебната власт. Вземанията от аванси по сключени договори за СМР и вземания по изпълнителни листове, както и </w:t>
      </w:r>
      <w:proofErr w:type="spellStart"/>
      <w:r w:rsidRPr="005D7049">
        <w:t>невъзстановените</w:t>
      </w:r>
      <w:proofErr w:type="spellEnd"/>
      <w:r w:rsidRPr="005D7049">
        <w:t xml:space="preserve"> разходи за консумативи от органи на други първостепенни разпоредители, настанени в сгради на органи на съдебната власт, и др. са в размер на 10,1 млн. лева.</w:t>
      </w:r>
    </w:p>
    <w:p w14:paraId="5889F2EA" w14:textId="77777777" w:rsidR="007E1DF8" w:rsidRPr="00F74608" w:rsidRDefault="007E1DF8" w:rsidP="007E1DF8">
      <w:pPr>
        <w:numPr>
          <w:ilvl w:val="0"/>
          <w:numId w:val="8"/>
        </w:numPr>
        <w:tabs>
          <w:tab w:val="clear" w:pos="717"/>
          <w:tab w:val="left" w:pos="0"/>
          <w:tab w:val="num" w:pos="357"/>
          <w:tab w:val="left" w:pos="426"/>
        </w:tabs>
        <w:ind w:left="0" w:firstLine="0"/>
        <w:jc w:val="both"/>
      </w:pPr>
      <w:r w:rsidRPr="00F74608">
        <w:t xml:space="preserve">Държавна агенция „Държавен резерв и военновременни запаси”- към 30.06.2024 г. има просрочени вземания в размер на </w:t>
      </w:r>
      <w:r w:rsidRPr="00F74608">
        <w:rPr>
          <w:b/>
        </w:rPr>
        <w:t>302,0 млн. лв.</w:t>
      </w:r>
      <w:r w:rsidRPr="00F74608">
        <w:t xml:space="preserve"> Балансово са начислени провизии за трудно събираемите и несъбираеми вземания, като коректив на отчетната им стойност. Предприети са всички мерки за събиране на вземанията на агенцията, като се образуват изпълнителни производства пред държавен и частен съдебен изпълнител и НАП.</w:t>
      </w:r>
    </w:p>
    <w:p w14:paraId="3F38D4D9" w14:textId="77777777" w:rsidR="007E1DF8" w:rsidRPr="00E56679" w:rsidRDefault="007E1DF8" w:rsidP="007E1DF8">
      <w:pPr>
        <w:numPr>
          <w:ilvl w:val="0"/>
          <w:numId w:val="8"/>
        </w:numPr>
        <w:tabs>
          <w:tab w:val="clear" w:pos="717"/>
          <w:tab w:val="num" w:pos="0"/>
          <w:tab w:val="num" w:pos="357"/>
          <w:tab w:val="left" w:pos="426"/>
        </w:tabs>
        <w:ind w:left="0" w:firstLine="0"/>
        <w:jc w:val="both"/>
        <w:rPr>
          <w:color w:val="0070C0"/>
        </w:rPr>
      </w:pPr>
      <w:r w:rsidRPr="007B5A3F">
        <w:t xml:space="preserve">Министерство на труда и социалната политика - общият размер на просрочените вземания към 30.06.2024 г. възлиза на </w:t>
      </w:r>
      <w:r w:rsidRPr="007B5A3F">
        <w:rPr>
          <w:b/>
        </w:rPr>
        <w:t>193,4 млн. лв.</w:t>
      </w:r>
      <w:r w:rsidRPr="007B5A3F">
        <w:t xml:space="preserve">, основно на Изпълнителна агенция „Главна инспекция по труда“ (ИА ГИТ). В отчета на ИА „Главна инспекция по труда” са осчетоводени установените вземания просрочени повече от 90 дни от крайния срок за погасяване в размер на 188,9 млн. лв., в т.ч. 81,3 млн. лв. - начислени просрочени вземания по влезли в сила наказателни постановления (НП) неплатени от 01.01.2011 г. до 31.03.2024 г. и </w:t>
      </w:r>
      <w:r>
        <w:t>107,6</w:t>
      </w:r>
      <w:r w:rsidRPr="007B5A3F">
        <w:t xml:space="preserve"> млн. лв. - начислени просрочени вземания, изчислени наказателни лихви по неплатени НП от 01.01.2011 г. до 31.03.2024 г.</w:t>
      </w:r>
    </w:p>
    <w:p w14:paraId="024A7183" w14:textId="6BF0FCDF" w:rsidR="007E1DF8" w:rsidRPr="00BA33B6" w:rsidRDefault="007E1DF8" w:rsidP="007E1DF8">
      <w:pPr>
        <w:numPr>
          <w:ilvl w:val="0"/>
          <w:numId w:val="8"/>
        </w:numPr>
        <w:tabs>
          <w:tab w:val="clear" w:pos="717"/>
          <w:tab w:val="left" w:pos="0"/>
          <w:tab w:val="num" w:pos="357"/>
          <w:tab w:val="left" w:pos="426"/>
        </w:tabs>
        <w:ind w:left="0" w:firstLine="0"/>
        <w:jc w:val="both"/>
      </w:pPr>
      <w:r w:rsidRPr="00BA33B6">
        <w:t xml:space="preserve">Държавен фонд „Земеделие“ - към 30.06.2024 г. ДФЗ има просрочени вземания в размер на </w:t>
      </w:r>
      <w:r w:rsidR="00561B0C">
        <w:rPr>
          <w:b/>
        </w:rPr>
        <w:t>162,0</w:t>
      </w:r>
      <w:r w:rsidRPr="00BA33B6">
        <w:rPr>
          <w:b/>
        </w:rPr>
        <w:t xml:space="preserve"> млн. лв.</w:t>
      </w:r>
      <w:r w:rsidRPr="00BA33B6">
        <w:t>, които представляват предимно просрочени вземания от заеми – 128,</w:t>
      </w:r>
      <w:r w:rsidR="00BD1194">
        <w:t>5</w:t>
      </w:r>
      <w:r w:rsidRPr="00BA33B6">
        <w:t xml:space="preserve"> млн. лв., следвани от други просрочени вземания – 30,5 млн. лв. и просрочени вземания от клиенти – 2,9 млн. лв. </w:t>
      </w:r>
    </w:p>
    <w:p w14:paraId="7CF1588C" w14:textId="77777777" w:rsidR="007E1DF8" w:rsidRPr="00E102D6" w:rsidRDefault="007E1DF8" w:rsidP="007E1DF8">
      <w:pPr>
        <w:numPr>
          <w:ilvl w:val="0"/>
          <w:numId w:val="8"/>
        </w:numPr>
        <w:tabs>
          <w:tab w:val="clear" w:pos="717"/>
          <w:tab w:val="left" w:pos="0"/>
          <w:tab w:val="num" w:pos="357"/>
          <w:tab w:val="left" w:pos="426"/>
        </w:tabs>
        <w:ind w:left="0" w:firstLine="0"/>
        <w:jc w:val="both"/>
      </w:pPr>
      <w:r w:rsidRPr="00651E73">
        <w:t xml:space="preserve">Министерство на вътрешните работи - размерът на просрочените вземания в края на първото полугодие на 2024 г. е </w:t>
      </w:r>
      <w:r w:rsidRPr="00651E73">
        <w:rPr>
          <w:b/>
        </w:rPr>
        <w:t>81,9 млн. лв</w:t>
      </w:r>
      <w:r w:rsidRPr="00651E73">
        <w:t xml:space="preserve">. Просрочените публични държавни вземания са в размер 56,3 млн. лв. </w:t>
      </w:r>
      <w:r w:rsidRPr="00E102D6">
        <w:t xml:space="preserve">Просрочените вземанията включват и такива за неполучени суми по фактури за сключени договори за извършени услуги, от изпълнителни листове и съдебни решения, присъдени в полза на МВР. </w:t>
      </w:r>
    </w:p>
    <w:p w14:paraId="51DEE846" w14:textId="77777777" w:rsidR="007E1DF8" w:rsidRPr="00E56679" w:rsidRDefault="007E1DF8" w:rsidP="007E1DF8">
      <w:pPr>
        <w:numPr>
          <w:ilvl w:val="0"/>
          <w:numId w:val="8"/>
        </w:numPr>
        <w:tabs>
          <w:tab w:val="clear" w:pos="717"/>
          <w:tab w:val="left" w:pos="0"/>
          <w:tab w:val="num" w:pos="357"/>
          <w:tab w:val="left" w:pos="426"/>
        </w:tabs>
        <w:ind w:left="0" w:firstLine="0"/>
        <w:jc w:val="both"/>
        <w:rPr>
          <w:color w:val="0070C0"/>
        </w:rPr>
      </w:pPr>
      <w:r w:rsidRPr="00C17357">
        <w:t xml:space="preserve">Министерство на земеделието и храните - към края на месец юни 2024 г. по бюджета на </w:t>
      </w:r>
      <w:r w:rsidRPr="003E521D">
        <w:t xml:space="preserve">министерството са отчетени просрочени вземания в размер на </w:t>
      </w:r>
      <w:r w:rsidRPr="003E521D">
        <w:rPr>
          <w:b/>
        </w:rPr>
        <w:t>74,3 млн. лв.</w:t>
      </w:r>
      <w:r w:rsidRPr="003E521D">
        <w:t>, които са основно</w:t>
      </w:r>
      <w:r w:rsidRPr="003E521D">
        <w:rPr>
          <w:lang w:val="ru-RU"/>
        </w:rPr>
        <w:t>:</w:t>
      </w:r>
      <w:r w:rsidRPr="003E521D">
        <w:t xml:space="preserve"> вземания </w:t>
      </w:r>
      <w:r w:rsidRPr="003E521D">
        <w:rPr>
          <w:rFonts w:eastAsia="PMingLiU"/>
        </w:rPr>
        <w:t xml:space="preserve">от издадени актове за установяване на публични държавни вземания във връзка с Решение на Европейската комисия С(2014)_6207 </w:t>
      </w:r>
      <w:proofErr w:type="spellStart"/>
      <w:r w:rsidRPr="003E521D">
        <w:rPr>
          <w:rFonts w:eastAsia="PMingLiU"/>
        </w:rPr>
        <w:t>final</w:t>
      </w:r>
      <w:proofErr w:type="spellEnd"/>
      <w:r w:rsidRPr="003E521D">
        <w:rPr>
          <w:rFonts w:eastAsia="PMingLiU"/>
        </w:rPr>
        <w:t xml:space="preserve"> от 05.09.2014 г. относно схема за помощ, приведена в </w:t>
      </w:r>
      <w:r w:rsidRPr="00075265">
        <w:rPr>
          <w:rFonts w:eastAsia="PMingLiU"/>
        </w:rPr>
        <w:t>действие от Република България при замените на горска земя</w:t>
      </w:r>
      <w:r w:rsidRPr="00075265">
        <w:rPr>
          <w:lang w:val="ru-RU"/>
        </w:rPr>
        <w:t>;</w:t>
      </w:r>
      <w:r w:rsidRPr="00075265">
        <w:t xml:space="preserve"> вземания по неиздължени суми по сключени договори за наеми на земеделска земя от държавен поземлен </w:t>
      </w:r>
      <w:r w:rsidRPr="00A17357">
        <w:t xml:space="preserve">фонд и за оземляване на безимотни граждани и лица, отстранени от ползване или неправомерно ползване на имоти от държавния поземлен фонд, на основание чл. 34 от Закона за собствеността и ползване на земеделските земи, както и </w:t>
      </w:r>
      <w:r w:rsidRPr="00A17357">
        <w:rPr>
          <w:rFonts w:eastAsia="PMingLiU"/>
        </w:rPr>
        <w:t xml:space="preserve">просрочените вземания, които са неиздължени суми от клиенти, свързани с осъществяване дейността на Българска агенция по безопасност на храните </w:t>
      </w:r>
      <w:r w:rsidRPr="00A17357">
        <w:rPr>
          <w:rFonts w:eastAsia="PMingLiU"/>
          <w:lang w:val="ru-RU"/>
        </w:rPr>
        <w:t>(</w:t>
      </w:r>
      <w:r w:rsidRPr="00A17357">
        <w:rPr>
          <w:rFonts w:eastAsia="PMingLiU"/>
        </w:rPr>
        <w:t xml:space="preserve">представляващи основно фактурирани </w:t>
      </w:r>
      <w:r w:rsidRPr="00A17357">
        <w:t>по действащите нормативни уредби такси</w:t>
      </w:r>
      <w:r w:rsidRPr="00A17357">
        <w:rPr>
          <w:rFonts w:eastAsia="PMingLiU"/>
          <w:lang w:val="ru-RU"/>
        </w:rPr>
        <w:t>)</w:t>
      </w:r>
      <w:r w:rsidRPr="00A17357">
        <w:rPr>
          <w:rFonts w:eastAsia="PMingLiU"/>
        </w:rPr>
        <w:t>.</w:t>
      </w:r>
    </w:p>
    <w:p w14:paraId="6F81A81C" w14:textId="77777777" w:rsidR="007E1DF8" w:rsidRPr="00016DBB" w:rsidRDefault="007E1DF8" w:rsidP="007E1DF8">
      <w:pPr>
        <w:numPr>
          <w:ilvl w:val="0"/>
          <w:numId w:val="8"/>
        </w:numPr>
        <w:tabs>
          <w:tab w:val="clear" w:pos="717"/>
          <w:tab w:val="left" w:pos="0"/>
          <w:tab w:val="num" w:pos="357"/>
          <w:tab w:val="left" w:pos="426"/>
        </w:tabs>
        <w:ind w:left="0" w:firstLine="0"/>
        <w:jc w:val="both"/>
        <w:rPr>
          <w:color w:val="0070C0"/>
        </w:rPr>
      </w:pPr>
      <w:r w:rsidRPr="00C17357">
        <w:t xml:space="preserve">Министерство </w:t>
      </w:r>
      <w:r w:rsidRPr="003C3463">
        <w:t xml:space="preserve">на финансите - размерът на просрочените вземания в края на първото полугодие на 2024 г. е </w:t>
      </w:r>
      <w:r w:rsidRPr="003C3463">
        <w:rPr>
          <w:b/>
        </w:rPr>
        <w:t>56,9 млн. лв</w:t>
      </w:r>
      <w:r w:rsidRPr="003C3463">
        <w:t xml:space="preserve">. (основно просрочените вземания са на Националната агенция за приходите – 53,1 млн. лв.), от които: 28,6 млн. лв. </w:t>
      </w:r>
      <w:r w:rsidRPr="003F1C7D">
        <w:t>представляват</w:t>
      </w:r>
      <w:r w:rsidRPr="003C3463">
        <w:rPr>
          <w:b/>
        </w:rPr>
        <w:t xml:space="preserve"> </w:t>
      </w:r>
      <w:r w:rsidRPr="003C3463">
        <w:rPr>
          <w:bCs/>
        </w:rPr>
        <w:t xml:space="preserve">вземания от </w:t>
      </w:r>
      <w:r w:rsidRPr="009E6752">
        <w:rPr>
          <w:bCs/>
        </w:rPr>
        <w:t xml:space="preserve">служители, които следва да възстановят надплатени работни заплати в резултат на представени болнични листи след 20-то число на месеца, както и вземания по изпълнителни листове за присъдени в полза на НАП </w:t>
      </w:r>
      <w:proofErr w:type="spellStart"/>
      <w:r w:rsidRPr="009E6752">
        <w:rPr>
          <w:bCs/>
        </w:rPr>
        <w:t>юрисконсултски</w:t>
      </w:r>
      <w:proofErr w:type="spellEnd"/>
      <w:r w:rsidRPr="009E6752">
        <w:rPr>
          <w:bCs/>
        </w:rPr>
        <w:t xml:space="preserve"> възнаграждения и съдебни разноски, </w:t>
      </w:r>
      <w:r w:rsidRPr="00781DBF">
        <w:rPr>
          <w:bCs/>
        </w:rPr>
        <w:t>неплатени в срока за доброволно изпълнение и други</w:t>
      </w:r>
      <w:r w:rsidRPr="00781DBF">
        <w:t>; 8,5 млн.</w:t>
      </w:r>
      <w:r w:rsidRPr="00781DBF">
        <w:rPr>
          <w:b/>
          <w:bCs/>
        </w:rPr>
        <w:t xml:space="preserve"> </w:t>
      </w:r>
      <w:r w:rsidRPr="00781DBF">
        <w:t xml:space="preserve">лв. представляващи дължимо вземане, съгласно чл. 30 от Закона за хазарта (ЗХ) - между НАП и длъжника се водят съдебни дела; </w:t>
      </w:r>
      <w:r w:rsidRPr="00ED590E">
        <w:t>2,2 млн. лв.</w:t>
      </w:r>
      <w:r w:rsidRPr="009E6752">
        <w:t xml:space="preserve"> дължимо вземане съгласно чл. 10а от ЗХ, между НАП и длъжника се водят </w:t>
      </w:r>
      <w:r w:rsidRPr="009C68FA">
        <w:t xml:space="preserve">съдебни дела; 3,8 млн. лв. начислени вземания, представляващи просрочени вземания с характер на имуществена санкция, от неиздължено изцяло наказателно постановление, съгласно чл. 104, ал. 3 от ЗХ; 1,3 млн. лв. </w:t>
      </w:r>
      <w:r w:rsidRPr="009C68FA">
        <w:rPr>
          <w:bCs/>
        </w:rPr>
        <w:t>просрочени публични вземания, дължими на основание ЗХ и други.</w:t>
      </w:r>
    </w:p>
    <w:p w14:paraId="5C1B1C7A" w14:textId="5AD2F3B4" w:rsidR="007E1DF8" w:rsidRPr="00E56679" w:rsidRDefault="007E1DF8" w:rsidP="007E1DF8">
      <w:pPr>
        <w:numPr>
          <w:ilvl w:val="0"/>
          <w:numId w:val="8"/>
        </w:numPr>
        <w:tabs>
          <w:tab w:val="clear" w:pos="717"/>
          <w:tab w:val="left" w:pos="0"/>
          <w:tab w:val="num" w:pos="357"/>
          <w:tab w:val="left" w:pos="426"/>
        </w:tabs>
        <w:ind w:left="0" w:firstLine="0"/>
        <w:jc w:val="both"/>
        <w:rPr>
          <w:color w:val="0070C0"/>
        </w:rPr>
      </w:pPr>
      <w:r w:rsidRPr="00C17357">
        <w:t xml:space="preserve">Министерство </w:t>
      </w:r>
      <w:r w:rsidRPr="003C3463">
        <w:t xml:space="preserve">на </w:t>
      </w:r>
      <w:r>
        <w:t>енергетиката</w:t>
      </w:r>
      <w:r w:rsidRPr="003C3463">
        <w:t xml:space="preserve"> - размерът на просрочените вземания в края на първото полугодие на 2024 г. е </w:t>
      </w:r>
      <w:r>
        <w:rPr>
          <w:b/>
        </w:rPr>
        <w:t>42,5</w:t>
      </w:r>
      <w:r w:rsidRPr="003C3463">
        <w:rPr>
          <w:b/>
        </w:rPr>
        <w:t xml:space="preserve"> млн. лв</w:t>
      </w:r>
      <w:r w:rsidRPr="003C3463">
        <w:t>.</w:t>
      </w:r>
      <w:r>
        <w:t xml:space="preserve"> Това са основно </w:t>
      </w:r>
      <w:r w:rsidRPr="009D4FE5">
        <w:rPr>
          <w:szCs w:val="20"/>
          <w:lang w:eastAsia="en-US"/>
        </w:rPr>
        <w:t>концесионни задължения</w:t>
      </w:r>
      <w:r>
        <w:rPr>
          <w:szCs w:val="20"/>
          <w:lang w:eastAsia="en-US"/>
        </w:rPr>
        <w:t xml:space="preserve"> </w:t>
      </w:r>
      <w:r w:rsidRPr="00772219">
        <w:rPr>
          <w:szCs w:val="20"/>
          <w:lang w:val="ru-RU" w:eastAsia="en-US"/>
        </w:rPr>
        <w:t>(</w:t>
      </w:r>
      <w:r>
        <w:rPr>
          <w:szCs w:val="20"/>
          <w:lang w:eastAsia="en-US"/>
        </w:rPr>
        <w:t>40,5 млн. лв.</w:t>
      </w:r>
      <w:r w:rsidRPr="00772219">
        <w:rPr>
          <w:szCs w:val="20"/>
          <w:lang w:val="ru-RU" w:eastAsia="en-US"/>
        </w:rPr>
        <w:t>)</w:t>
      </w:r>
      <w:r w:rsidRPr="009D4FE5">
        <w:rPr>
          <w:szCs w:val="20"/>
          <w:lang w:eastAsia="en-US"/>
        </w:rPr>
        <w:t>, в т.ч. просрочени вземания от концесии, неустойки, присъдени вземания, издадени наказателни постановления, заведени искови молби и др., в т.</w:t>
      </w:r>
      <w:r w:rsidR="00532660">
        <w:rPr>
          <w:szCs w:val="20"/>
          <w:lang w:eastAsia="en-US"/>
        </w:rPr>
        <w:t xml:space="preserve"> </w:t>
      </w:r>
      <w:r w:rsidRPr="009D4FE5">
        <w:rPr>
          <w:szCs w:val="20"/>
          <w:lang w:eastAsia="en-US"/>
        </w:rPr>
        <w:t xml:space="preserve">ч. дължима вноска от </w:t>
      </w:r>
      <w:proofErr w:type="spellStart"/>
      <w:r w:rsidRPr="009D4FE5">
        <w:rPr>
          <w:szCs w:val="20"/>
          <w:lang w:eastAsia="en-US"/>
        </w:rPr>
        <w:t>Радиоизотоп</w:t>
      </w:r>
      <w:proofErr w:type="spellEnd"/>
      <w:r w:rsidRPr="009D4FE5">
        <w:rPr>
          <w:szCs w:val="20"/>
          <w:lang w:eastAsia="en-US"/>
        </w:rPr>
        <w:t xml:space="preserve"> ЕООД във фонд „Радиоактивни отпадъци“</w:t>
      </w:r>
      <w:r>
        <w:rPr>
          <w:szCs w:val="20"/>
          <w:lang w:eastAsia="en-US"/>
        </w:rPr>
        <w:t>.</w:t>
      </w:r>
    </w:p>
    <w:p w14:paraId="17205A27" w14:textId="2209876F" w:rsidR="007E1DF8" w:rsidRPr="00F004C8" w:rsidRDefault="007E1DF8" w:rsidP="007E1DF8">
      <w:pPr>
        <w:tabs>
          <w:tab w:val="left" w:pos="540"/>
          <w:tab w:val="left" w:pos="900"/>
        </w:tabs>
        <w:spacing w:before="120" w:after="120"/>
        <w:jc w:val="both"/>
      </w:pPr>
      <w:r w:rsidRPr="007E4FB1">
        <w:t xml:space="preserve">Извън обхвата на държавния бюджет, съществуват </w:t>
      </w:r>
      <w:r w:rsidRPr="007E4FB1">
        <w:rPr>
          <w:b/>
        </w:rPr>
        <w:t>просрочени вземания</w:t>
      </w:r>
      <w:r w:rsidRPr="007E4FB1">
        <w:t xml:space="preserve"> основно в </w:t>
      </w:r>
      <w:r w:rsidRPr="007E4FB1">
        <w:rPr>
          <w:b/>
        </w:rPr>
        <w:t xml:space="preserve">НОИ </w:t>
      </w:r>
      <w:r w:rsidRPr="007E4FB1">
        <w:t>(</w:t>
      </w:r>
      <w:r w:rsidRPr="007E4FB1">
        <w:rPr>
          <w:b/>
        </w:rPr>
        <w:t>53,9 млн</w:t>
      </w:r>
      <w:r w:rsidRPr="00882CCB">
        <w:rPr>
          <w:b/>
        </w:rPr>
        <w:t xml:space="preserve">. лв. - </w:t>
      </w:r>
      <w:r w:rsidRPr="00882CCB">
        <w:t xml:space="preserve">основно вземания от надвзети пенсии, надвзети обезщетения и вземания по </w:t>
      </w:r>
      <w:r w:rsidRPr="008B4DDE">
        <w:t xml:space="preserve">разпореждания, касаещи разходите, съставени от контролните органи на НОИ), </w:t>
      </w:r>
      <w:r w:rsidRPr="008B4DDE">
        <w:rPr>
          <w:b/>
        </w:rPr>
        <w:t>НЗОК</w:t>
      </w:r>
      <w:r w:rsidRPr="008B4DDE">
        <w:t xml:space="preserve">  (</w:t>
      </w:r>
      <w:r w:rsidRPr="008B4DDE">
        <w:rPr>
          <w:b/>
        </w:rPr>
        <w:t xml:space="preserve">29,5 млн. лв. – </w:t>
      </w:r>
      <w:r w:rsidRPr="008B4DDE">
        <w:t>основно</w:t>
      </w:r>
      <w:r w:rsidRPr="008B4DDE">
        <w:rPr>
          <w:b/>
        </w:rPr>
        <w:t xml:space="preserve"> </w:t>
      </w:r>
      <w:r w:rsidRPr="008B4DDE">
        <w:t xml:space="preserve">дължими суми по сключени договори за отстъпки по чл.21, ал.1 от </w:t>
      </w:r>
      <w:r w:rsidRPr="00F004C8">
        <w:t>Наредба №10/2009 г., за лекарствени продукти, за които е проведено централизирано договаряне. Сумите представляват договорени отстъпки, суми по механизма, гарантиращ устойчивост и предвидимост в полза на НЗОК и отстъпки в полза на пациента</w:t>
      </w:r>
      <w:r>
        <w:t>,</w:t>
      </w:r>
      <w:r w:rsidRPr="00F004C8">
        <w:t xml:space="preserve"> дължими от притежателите на разрешения за употреба на лекарствени продукти/техни упълномощени предст</w:t>
      </w:r>
      <w:r>
        <w:t xml:space="preserve">авители за лекарствени </w:t>
      </w:r>
      <w:r w:rsidRPr="00F004C8">
        <w:t>продукти</w:t>
      </w:r>
      <w:r w:rsidR="00782C92" w:rsidRPr="00772219">
        <w:rPr>
          <w:lang w:val="ru-RU"/>
        </w:rPr>
        <w:t>)</w:t>
      </w:r>
      <w:r w:rsidRPr="00F004C8">
        <w:t xml:space="preserve"> и</w:t>
      </w:r>
      <w:r w:rsidR="00782C92">
        <w:t xml:space="preserve"> </w:t>
      </w:r>
      <w:r w:rsidR="00782C92" w:rsidRPr="00782C92">
        <w:rPr>
          <w:b/>
        </w:rPr>
        <w:t>в</w:t>
      </w:r>
      <w:r w:rsidRPr="00782C92">
        <w:rPr>
          <w:b/>
        </w:rPr>
        <w:t xml:space="preserve"> о</w:t>
      </w:r>
      <w:r w:rsidRPr="00F004C8">
        <w:rPr>
          <w:b/>
        </w:rPr>
        <w:t>бщинските бюджети</w:t>
      </w:r>
      <w:r w:rsidRPr="00F004C8">
        <w:t>.</w:t>
      </w:r>
    </w:p>
    <w:p w14:paraId="4F2F37E0" w14:textId="77777777" w:rsidR="007E1DF8" w:rsidRPr="00E56679" w:rsidRDefault="007E1DF8" w:rsidP="007E1DF8">
      <w:pPr>
        <w:tabs>
          <w:tab w:val="center" w:pos="4153"/>
          <w:tab w:val="right" w:pos="8306"/>
        </w:tabs>
        <w:jc w:val="both"/>
        <w:rPr>
          <w:color w:val="0070C0"/>
          <w:lang w:eastAsia="en-US"/>
        </w:rPr>
      </w:pPr>
      <w:r w:rsidRPr="00AA741E">
        <w:rPr>
          <w:b/>
          <w:lang w:eastAsia="en-US"/>
        </w:rPr>
        <w:t>Просрочените вземания по бюджетите на общините</w:t>
      </w:r>
      <w:r w:rsidRPr="00AA741E">
        <w:rPr>
          <w:lang w:eastAsia="en-US"/>
        </w:rPr>
        <w:t xml:space="preserve"> към 30.06.2024 г. са в размер на 346,6 млн. лв. С най-голям относителен дял са просрочените публични общински вземания – 219,2 млн. лв. или 63,2 на сто от общия размер на просрочените вземания.</w:t>
      </w:r>
    </w:p>
    <w:p w14:paraId="60C6E0E7" w14:textId="77777777" w:rsidR="00704F79" w:rsidRPr="00E56679" w:rsidRDefault="00704F79" w:rsidP="00704F79">
      <w:pPr>
        <w:pStyle w:val="BodyTextIndent"/>
        <w:tabs>
          <w:tab w:val="num" w:pos="540"/>
        </w:tabs>
        <w:ind w:left="0"/>
        <w:jc w:val="both"/>
        <w:rPr>
          <w:color w:val="0070C0"/>
          <w:sz w:val="12"/>
          <w:szCs w:val="12"/>
          <w:lang w:val="bg-BG"/>
        </w:rPr>
      </w:pPr>
    </w:p>
    <w:p w14:paraId="48AEE552" w14:textId="27EB4550" w:rsidR="00704F79" w:rsidRPr="006012F9" w:rsidRDefault="00704F79" w:rsidP="00AB4576">
      <w:pPr>
        <w:pStyle w:val="Heading2"/>
        <w:numPr>
          <w:ilvl w:val="0"/>
          <w:numId w:val="3"/>
        </w:numPr>
        <w:tabs>
          <w:tab w:val="clear" w:pos="720"/>
          <w:tab w:val="center" w:pos="426"/>
        </w:tabs>
        <w:spacing w:before="0" w:after="120"/>
        <w:ind w:left="0" w:firstLine="0"/>
        <w:rPr>
          <w:rFonts w:ascii="Times New Roman" w:hAnsi="Times New Roman" w:cs="Times New Roman"/>
          <w:sz w:val="24"/>
          <w:szCs w:val="24"/>
        </w:rPr>
      </w:pPr>
      <w:bookmarkStart w:id="224" w:name="_Toc16509342"/>
      <w:bookmarkStart w:id="225" w:name="_Toc176351944"/>
      <w:r w:rsidRPr="006012F9">
        <w:rPr>
          <w:rFonts w:ascii="Times New Roman" w:hAnsi="Times New Roman" w:cs="Times New Roman"/>
          <w:sz w:val="24"/>
          <w:szCs w:val="24"/>
        </w:rPr>
        <w:t>Изпълнение на показателите в частта на финансирането по консолидираната фискална програма към 30.06.20</w:t>
      </w:r>
      <w:r w:rsidR="00DE3157" w:rsidRPr="006012F9">
        <w:rPr>
          <w:rFonts w:ascii="Times New Roman" w:hAnsi="Times New Roman" w:cs="Times New Roman"/>
          <w:sz w:val="24"/>
          <w:szCs w:val="24"/>
        </w:rPr>
        <w:t>2</w:t>
      </w:r>
      <w:r w:rsidR="006012F9" w:rsidRPr="006012F9">
        <w:rPr>
          <w:rFonts w:ascii="Times New Roman" w:hAnsi="Times New Roman" w:cs="Times New Roman"/>
          <w:sz w:val="24"/>
          <w:szCs w:val="24"/>
        </w:rPr>
        <w:t>4</w:t>
      </w:r>
      <w:r w:rsidRPr="006012F9">
        <w:rPr>
          <w:rFonts w:ascii="Times New Roman" w:hAnsi="Times New Roman" w:cs="Times New Roman"/>
          <w:sz w:val="24"/>
          <w:szCs w:val="24"/>
        </w:rPr>
        <w:t xml:space="preserve"> година</w:t>
      </w:r>
      <w:bookmarkEnd w:id="224"/>
      <w:bookmarkEnd w:id="225"/>
    </w:p>
    <w:p w14:paraId="78A047BD" w14:textId="77777777" w:rsidR="00704F79" w:rsidRPr="00697B87" w:rsidRDefault="00704F79" w:rsidP="0079339B">
      <w:pPr>
        <w:pStyle w:val="Heading3"/>
        <w:numPr>
          <w:ilvl w:val="1"/>
          <w:numId w:val="20"/>
        </w:numPr>
        <w:ind w:left="426" w:hanging="426"/>
        <w:rPr>
          <w:rFonts w:ascii="Times New Roman" w:hAnsi="Times New Roman" w:cs="Times New Roman"/>
          <w:sz w:val="24"/>
          <w:szCs w:val="24"/>
        </w:rPr>
      </w:pPr>
      <w:bookmarkStart w:id="226" w:name="_Toc521343518"/>
      <w:bookmarkStart w:id="227" w:name="_Toc16509343"/>
      <w:bookmarkStart w:id="228" w:name="_Toc176351945"/>
      <w:r w:rsidRPr="00697B87">
        <w:rPr>
          <w:rFonts w:ascii="Times New Roman" w:hAnsi="Times New Roman" w:cs="Times New Roman"/>
          <w:sz w:val="24"/>
          <w:szCs w:val="24"/>
        </w:rPr>
        <w:t>Външно финансиране</w:t>
      </w:r>
      <w:bookmarkEnd w:id="226"/>
      <w:bookmarkEnd w:id="227"/>
      <w:bookmarkEnd w:id="228"/>
    </w:p>
    <w:p w14:paraId="132247A4" w14:textId="77777777" w:rsidR="006012F9" w:rsidRPr="00723C69" w:rsidRDefault="006012F9" w:rsidP="006012F9">
      <w:pPr>
        <w:spacing w:after="120"/>
        <w:jc w:val="both"/>
      </w:pPr>
      <w:bookmarkStart w:id="229" w:name="_Toc269992228"/>
      <w:bookmarkStart w:id="230" w:name="_Toc365649317"/>
      <w:bookmarkStart w:id="231" w:name="_Toc365897054"/>
      <w:bookmarkStart w:id="232" w:name="_Toc173668687"/>
      <w:bookmarkEnd w:id="102"/>
      <w:bookmarkEnd w:id="103"/>
      <w:bookmarkEnd w:id="104"/>
      <w:bookmarkEnd w:id="105"/>
      <w:bookmarkEnd w:id="106"/>
      <w:r w:rsidRPr="00723C69">
        <w:t xml:space="preserve">Нетният размер на външното финансиране по КФП за </w:t>
      </w:r>
      <w:r w:rsidRPr="00723C69">
        <w:rPr>
          <w:lang w:eastAsia="en-US"/>
        </w:rPr>
        <w:t xml:space="preserve">първото </w:t>
      </w:r>
      <w:r w:rsidRPr="00723C69">
        <w:t>полугодие на 202</w:t>
      </w:r>
      <w:r w:rsidRPr="005D4BE5">
        <w:rPr>
          <w:lang w:val="ru-RU"/>
        </w:rPr>
        <w:t>4</w:t>
      </w:r>
      <w:r w:rsidRPr="00723C69">
        <w:t xml:space="preserve"> г. е отрицателен и възлиза на 62,9 млн. лева.</w:t>
      </w:r>
    </w:p>
    <w:p w14:paraId="25230804" w14:textId="77777777" w:rsidR="006012F9" w:rsidRPr="00E71878" w:rsidRDefault="006012F9" w:rsidP="006012F9">
      <w:pPr>
        <w:keepNext/>
        <w:numPr>
          <w:ilvl w:val="0"/>
          <w:numId w:val="5"/>
        </w:numPr>
        <w:tabs>
          <w:tab w:val="num" w:pos="540"/>
        </w:tabs>
        <w:spacing w:before="240" w:after="60"/>
        <w:ind w:left="0" w:firstLine="0"/>
        <w:outlineLvl w:val="3"/>
        <w:rPr>
          <w:iCs/>
        </w:rPr>
      </w:pPr>
      <w:r w:rsidRPr="00E71878">
        <w:rPr>
          <w:i/>
          <w:iCs/>
        </w:rPr>
        <w:t xml:space="preserve">Външни заеми </w:t>
      </w:r>
    </w:p>
    <w:p w14:paraId="4BF74616" w14:textId="77777777" w:rsidR="006012F9" w:rsidRPr="00E71878" w:rsidRDefault="006012F9" w:rsidP="00B7112B">
      <w:pPr>
        <w:keepNext/>
        <w:spacing w:after="120"/>
        <w:jc w:val="both"/>
        <w:outlineLvl w:val="3"/>
        <w:rPr>
          <w:iCs/>
        </w:rPr>
      </w:pPr>
      <w:r w:rsidRPr="00E71878">
        <w:rPr>
          <w:lang w:eastAsia="en-US"/>
        </w:rPr>
        <w:t xml:space="preserve">За първите шест месеца на 2024 г. усвоените средства по външни заеми по КФП са в размер на 82,1 млн. лв., като цялата сума представлява </w:t>
      </w:r>
      <w:r w:rsidRPr="00E71878">
        <w:t>получени заемни средства от общинските бюджети по договори с чуждестранни кредитори</w:t>
      </w:r>
      <w:r w:rsidRPr="00E71878">
        <w:rPr>
          <w:lang w:eastAsia="en-US"/>
        </w:rPr>
        <w:t xml:space="preserve">. </w:t>
      </w:r>
      <w:r w:rsidRPr="00E71878">
        <w:t>Средствата са отчетени от Столична община и са за финансиране на проекти за изграждане и реконструкция на основни пътни артерии в град София и за осигуряване на транспортна свързаност и достъпна среда.</w:t>
      </w:r>
    </w:p>
    <w:p w14:paraId="6848A284" w14:textId="77777777" w:rsidR="006012F9" w:rsidRPr="00E71878" w:rsidRDefault="006012F9" w:rsidP="006012F9">
      <w:pPr>
        <w:keepNext/>
        <w:numPr>
          <w:ilvl w:val="0"/>
          <w:numId w:val="5"/>
        </w:numPr>
        <w:tabs>
          <w:tab w:val="num" w:pos="540"/>
        </w:tabs>
        <w:spacing w:before="240" w:after="60"/>
        <w:ind w:left="0" w:firstLine="0"/>
        <w:outlineLvl w:val="3"/>
        <w:rPr>
          <w:iCs/>
        </w:rPr>
      </w:pPr>
      <w:r w:rsidRPr="00E71878">
        <w:rPr>
          <w:i/>
          <w:iCs/>
        </w:rPr>
        <w:t>Погашения по външни заеми</w:t>
      </w:r>
    </w:p>
    <w:p w14:paraId="458F8AB4" w14:textId="77777777" w:rsidR="006012F9" w:rsidRPr="00E71878" w:rsidRDefault="006012F9" w:rsidP="006012F9">
      <w:pPr>
        <w:spacing w:after="120"/>
        <w:jc w:val="both"/>
        <w:rPr>
          <w:lang w:eastAsia="en-US"/>
        </w:rPr>
      </w:pPr>
      <w:r w:rsidRPr="00E71878">
        <w:rPr>
          <w:lang w:eastAsia="en-US"/>
        </w:rPr>
        <w:t>Размерът на извършените за първото шестмесечие на 2024 г. погашения по външни заеми по КФП е 141,7 млн. лв., което представлява 52,7 % от разчетите към ЗДБРБ за 2024 година. Извършените погашения са както следва:</w:t>
      </w:r>
    </w:p>
    <w:p w14:paraId="2EC8F2AF" w14:textId="77777777" w:rsidR="006012F9" w:rsidRPr="00E56679" w:rsidRDefault="006012F9" w:rsidP="006012F9">
      <w:pPr>
        <w:numPr>
          <w:ilvl w:val="0"/>
          <w:numId w:val="4"/>
        </w:numPr>
        <w:tabs>
          <w:tab w:val="clear" w:pos="1080"/>
          <w:tab w:val="num" w:pos="709"/>
        </w:tabs>
        <w:ind w:left="709" w:hanging="283"/>
        <w:jc w:val="both"/>
        <w:rPr>
          <w:color w:val="0070C0"/>
        </w:rPr>
      </w:pPr>
      <w:r w:rsidRPr="00E71878">
        <w:t>по централния бюджет - през първото полугодие на 2024 г. са изплатени погашения в размер на 6</w:t>
      </w:r>
      <w:r w:rsidRPr="00E71878">
        <w:rPr>
          <w:lang w:val="ru-RU"/>
        </w:rPr>
        <w:t>1,</w:t>
      </w:r>
      <w:r w:rsidRPr="00E71878">
        <w:t>9 млн. лв., като от тях 2</w:t>
      </w:r>
      <w:r w:rsidRPr="00E71878">
        <w:rPr>
          <w:lang w:val="ru-RU"/>
        </w:rPr>
        <w:t>9</w:t>
      </w:r>
      <w:r w:rsidRPr="00E71878">
        <w:t xml:space="preserve">,8 млн. лв. - по заем към Международната банка за възстановяване и развитие и </w:t>
      </w:r>
      <w:r w:rsidRPr="00E71878">
        <w:rPr>
          <w:lang w:val="ru-RU"/>
        </w:rPr>
        <w:t>3</w:t>
      </w:r>
      <w:r w:rsidRPr="00E71878">
        <w:t>2,</w:t>
      </w:r>
      <w:r w:rsidRPr="00E71878">
        <w:rPr>
          <w:lang w:val="ru-RU"/>
        </w:rPr>
        <w:t>1</w:t>
      </w:r>
      <w:r w:rsidRPr="00E71878">
        <w:t xml:space="preserve"> млн. лв. - по заем към Европейска инвестиционна банка. </w:t>
      </w:r>
    </w:p>
    <w:p w14:paraId="6E12EE80" w14:textId="77777777" w:rsidR="006012F9" w:rsidRPr="00E71878" w:rsidRDefault="006012F9" w:rsidP="006012F9">
      <w:pPr>
        <w:numPr>
          <w:ilvl w:val="0"/>
          <w:numId w:val="4"/>
        </w:numPr>
        <w:tabs>
          <w:tab w:val="clear" w:pos="1080"/>
          <w:tab w:val="num" w:pos="709"/>
        </w:tabs>
        <w:ind w:left="709" w:hanging="283"/>
        <w:jc w:val="both"/>
      </w:pPr>
      <w:r w:rsidRPr="00E71878">
        <w:t xml:space="preserve">по бюджетите на министерствата и ведомствата – извършените погашения към 30.06.2024 г. по ДИЗ, управлявани от министерствата са в размер на </w:t>
      </w:r>
      <w:r w:rsidRPr="00E71878">
        <w:rPr>
          <w:lang w:val="ru-RU"/>
        </w:rPr>
        <w:t>5</w:t>
      </w:r>
      <w:r w:rsidRPr="00E71878">
        <w:t xml:space="preserve">2,7 млн. лв., а по заемите с крайни бенефициенти – 4,2 млн. лева. </w:t>
      </w:r>
    </w:p>
    <w:p w14:paraId="675496EA" w14:textId="77777777" w:rsidR="006012F9" w:rsidRPr="002D2A38" w:rsidRDefault="006012F9" w:rsidP="006012F9">
      <w:pPr>
        <w:numPr>
          <w:ilvl w:val="0"/>
          <w:numId w:val="4"/>
        </w:numPr>
        <w:tabs>
          <w:tab w:val="clear" w:pos="1080"/>
          <w:tab w:val="num" w:pos="709"/>
        </w:tabs>
        <w:ind w:left="709" w:hanging="283"/>
        <w:contextualSpacing/>
        <w:jc w:val="both"/>
        <w:rPr>
          <w:lang w:eastAsia="en-US"/>
        </w:rPr>
      </w:pPr>
      <w:r w:rsidRPr="002D2A38">
        <w:rPr>
          <w:lang w:eastAsia="en-US"/>
        </w:rPr>
        <w:t xml:space="preserve">по бюджетите на общините погашенията по външни заеми са в размер на 23,0  млн. лв. </w:t>
      </w:r>
      <w:r w:rsidRPr="002D2A38">
        <w:t xml:space="preserve">(от Столична община са </w:t>
      </w:r>
      <w:r w:rsidRPr="002D2A38">
        <w:rPr>
          <w:lang w:val="ru-RU"/>
        </w:rPr>
        <w:t>17</w:t>
      </w:r>
      <w:r w:rsidRPr="002D2A38">
        <w:t>,4 млн. лв.</w:t>
      </w:r>
      <w:r w:rsidRPr="002D2A38">
        <w:rPr>
          <w:lang w:val="ru-RU"/>
        </w:rPr>
        <w:t xml:space="preserve">, </w:t>
      </w:r>
      <w:r w:rsidRPr="002D2A38">
        <w:t>община Бургас – 2,0 млн. лв.; Варна – 1,9 млн. лв., Пловдив – 1,5 млн. лв. и от община Ловеч са 0,2 млн. лв.)</w:t>
      </w:r>
      <w:r w:rsidRPr="002D2A38">
        <w:rPr>
          <w:lang w:eastAsia="en-US"/>
        </w:rPr>
        <w:t xml:space="preserve">                    </w:t>
      </w:r>
    </w:p>
    <w:p w14:paraId="332E76EF" w14:textId="77777777" w:rsidR="006012F9" w:rsidRPr="002D2A38" w:rsidRDefault="006012F9" w:rsidP="006012F9">
      <w:pPr>
        <w:keepNext/>
        <w:numPr>
          <w:ilvl w:val="0"/>
          <w:numId w:val="5"/>
        </w:numPr>
        <w:tabs>
          <w:tab w:val="num" w:pos="540"/>
        </w:tabs>
        <w:spacing w:before="240" w:after="60"/>
        <w:ind w:left="0" w:firstLine="0"/>
        <w:outlineLvl w:val="3"/>
        <w:rPr>
          <w:iCs/>
        </w:rPr>
      </w:pPr>
      <w:r w:rsidRPr="002D2A38">
        <w:rPr>
          <w:i/>
          <w:iCs/>
        </w:rPr>
        <w:t>Наличности (нето) в левова равностойност на валутни сметки в чужбина</w:t>
      </w:r>
    </w:p>
    <w:p w14:paraId="18958631" w14:textId="77777777" w:rsidR="006012F9" w:rsidRPr="002D2A38" w:rsidRDefault="006012F9" w:rsidP="006012F9">
      <w:pPr>
        <w:spacing w:after="120"/>
        <w:jc w:val="both"/>
      </w:pPr>
      <w:r w:rsidRPr="002D2A38">
        <w:t>Нетното изменение на наличностите в левова равностойност в каса и по валутни сметки в чужбина към 30.06.2024 г. е увеличение с 3,3 млн. лева.</w:t>
      </w:r>
    </w:p>
    <w:p w14:paraId="1AE4B5F6" w14:textId="77777777" w:rsidR="006012F9" w:rsidRPr="00E7367E" w:rsidRDefault="006012F9" w:rsidP="006012F9">
      <w:pPr>
        <w:pStyle w:val="Heading3"/>
        <w:numPr>
          <w:ilvl w:val="1"/>
          <w:numId w:val="20"/>
        </w:numPr>
        <w:ind w:left="426" w:hanging="426"/>
        <w:rPr>
          <w:rFonts w:ascii="Times New Roman" w:hAnsi="Times New Roman" w:cs="Times New Roman"/>
          <w:sz w:val="24"/>
          <w:szCs w:val="24"/>
        </w:rPr>
      </w:pPr>
      <w:bookmarkStart w:id="233" w:name="_Toc521343519"/>
      <w:bookmarkStart w:id="234" w:name="_Toc16509344"/>
      <w:bookmarkStart w:id="235" w:name="_Toc48234672"/>
      <w:bookmarkStart w:id="236" w:name="_Toc111640984"/>
      <w:bookmarkStart w:id="237" w:name="_Toc113440848"/>
      <w:bookmarkStart w:id="238" w:name="_Toc174117348"/>
      <w:bookmarkStart w:id="239" w:name="_Toc176351946"/>
      <w:r w:rsidRPr="00E7367E">
        <w:rPr>
          <w:rFonts w:ascii="Times New Roman" w:hAnsi="Times New Roman" w:cs="Times New Roman"/>
          <w:sz w:val="24"/>
          <w:szCs w:val="24"/>
        </w:rPr>
        <w:t>Вътрешно финансиране</w:t>
      </w:r>
      <w:bookmarkEnd w:id="233"/>
      <w:bookmarkEnd w:id="234"/>
      <w:bookmarkEnd w:id="235"/>
      <w:bookmarkEnd w:id="236"/>
      <w:bookmarkEnd w:id="237"/>
      <w:bookmarkEnd w:id="238"/>
      <w:bookmarkEnd w:id="239"/>
    </w:p>
    <w:p w14:paraId="5325603A" w14:textId="77777777" w:rsidR="006012F9" w:rsidRPr="00E56679" w:rsidRDefault="006012F9" w:rsidP="006012F9">
      <w:pPr>
        <w:rPr>
          <w:color w:val="0070C0"/>
          <w:sz w:val="8"/>
          <w:szCs w:val="8"/>
        </w:rPr>
      </w:pPr>
    </w:p>
    <w:p w14:paraId="5BE9844F" w14:textId="77777777" w:rsidR="006012F9" w:rsidRPr="00E56679" w:rsidRDefault="006012F9" w:rsidP="006012F9">
      <w:pPr>
        <w:spacing w:after="120"/>
        <w:jc w:val="both"/>
        <w:rPr>
          <w:color w:val="0070C0"/>
        </w:rPr>
      </w:pPr>
      <w:r w:rsidRPr="00430D74">
        <w:t xml:space="preserve">Нетното вътрешно финансиране за първото полугодие на 2024 г. е положително в размер на 658,8 млн. лв. и включва заеми от банки и други лица страната (нето), операции с ДЦК и </w:t>
      </w:r>
      <w:proofErr w:type="spellStart"/>
      <w:r w:rsidRPr="00430D74">
        <w:t>ОбЦК</w:t>
      </w:r>
      <w:proofErr w:type="spellEnd"/>
      <w:r w:rsidRPr="00430D74">
        <w:t xml:space="preserve"> (нето) и покупко-продажба на </w:t>
      </w:r>
      <w:proofErr w:type="spellStart"/>
      <w:r w:rsidRPr="00430D74">
        <w:t>ДОбЦК</w:t>
      </w:r>
      <w:proofErr w:type="spellEnd"/>
      <w:r w:rsidRPr="00430D74">
        <w:t>, нетно изменение на депозитите, друго финансиране, възмездно финансиране (нето) и придобиване на дялове, акции и съучастия (нето).</w:t>
      </w:r>
    </w:p>
    <w:p w14:paraId="2885B27A" w14:textId="77777777" w:rsidR="006012F9" w:rsidRPr="00740EEB" w:rsidRDefault="006012F9" w:rsidP="006012F9">
      <w:pPr>
        <w:keepNext/>
        <w:numPr>
          <w:ilvl w:val="0"/>
          <w:numId w:val="5"/>
        </w:numPr>
        <w:tabs>
          <w:tab w:val="num" w:pos="540"/>
        </w:tabs>
        <w:spacing w:before="240" w:after="60"/>
        <w:ind w:left="0" w:firstLine="0"/>
        <w:outlineLvl w:val="3"/>
        <w:rPr>
          <w:iCs/>
        </w:rPr>
      </w:pPr>
      <w:r w:rsidRPr="00740EEB">
        <w:rPr>
          <w:i/>
          <w:iCs/>
        </w:rPr>
        <w:t>Заеми от банки и други лица в страната – нето</w:t>
      </w:r>
    </w:p>
    <w:p w14:paraId="2C1CBBC0" w14:textId="77777777" w:rsidR="006012F9" w:rsidRPr="00E56679" w:rsidRDefault="006012F9" w:rsidP="006012F9">
      <w:pPr>
        <w:jc w:val="both"/>
        <w:rPr>
          <w:color w:val="0070C0"/>
        </w:rPr>
      </w:pPr>
      <w:r w:rsidRPr="008270CA">
        <w:t xml:space="preserve">Нетният размер на показателя за първите шест месеца на годината е отрицателен в размер на 82,6 млн. лв. По-голямата част от отчетената сума е по бюджетите на общините. От банки в страната за първото полугодие на 2024 г. общините са получили заеми в размер на </w:t>
      </w:r>
      <w:r w:rsidRPr="009835BA">
        <w:t>33,6 млн. лв., а са погасили към същите 54,4 млн. лева. За периода предоставените заеми на общините от други лица в страната са в размер на 26,7 млн. лв. ( „ФЛАГ” ЕАД),   а сумата на направените погашения към тази група кредитори е - 88,1 млн. лв., в т.ч. 83,6 млн. лв. към „ФЛАГ“ ЕАД, 0,2 млн. лв. по заеми към Фонд „Енергийна ефективност и възобновяеми източници“, а останалите 4,3 млн. лв. към други кредитори по договори за заеми по финансов инструмент, управляван от „Фонд Мениджър на финансови инструменти в България“ ЕАД. Нетният размер на заемите от банки и други лица в страната, отчетени от държавните висши училища и ССА е (-0,4) млн. лв.</w:t>
      </w:r>
    </w:p>
    <w:p w14:paraId="655B8EE3" w14:textId="77777777" w:rsidR="006012F9" w:rsidRPr="00E81D90" w:rsidRDefault="006012F9" w:rsidP="006012F9">
      <w:pPr>
        <w:keepNext/>
        <w:numPr>
          <w:ilvl w:val="0"/>
          <w:numId w:val="5"/>
        </w:numPr>
        <w:tabs>
          <w:tab w:val="num" w:pos="540"/>
        </w:tabs>
        <w:spacing w:before="240" w:after="60"/>
        <w:ind w:left="0" w:firstLine="0"/>
        <w:outlineLvl w:val="3"/>
        <w:rPr>
          <w:b/>
          <w:iCs/>
          <w:u w:val="single"/>
        </w:rPr>
      </w:pPr>
      <w:r w:rsidRPr="00E81D90">
        <w:rPr>
          <w:i/>
          <w:iCs/>
        </w:rPr>
        <w:t xml:space="preserve">Операции с държавни/общински ценни книжа (нето) </w:t>
      </w:r>
    </w:p>
    <w:p w14:paraId="11BFA400" w14:textId="77777777" w:rsidR="006012F9" w:rsidRPr="00697B87" w:rsidRDefault="006012F9" w:rsidP="006012F9">
      <w:pPr>
        <w:tabs>
          <w:tab w:val="left" w:pos="567"/>
        </w:tabs>
        <w:jc w:val="both"/>
        <w:rPr>
          <w:rFonts w:eastAsiaTheme="minorHAnsi"/>
        </w:rPr>
      </w:pPr>
      <w:r w:rsidRPr="00392FB1">
        <w:t xml:space="preserve">На консолидирана база за разглеждания период е реализирано положително нетно финансиране с </w:t>
      </w:r>
      <w:r>
        <w:t>държавни</w:t>
      </w:r>
      <w:r w:rsidRPr="00392FB1">
        <w:t xml:space="preserve"> и общински ценни книжа в размер на 1 089,5 млн. лв. и то включва емитирани ДЦК по централния бюджет в размер на 1 092,8 млн. лв. и погашения по бюджетите на общините в размер на 3,2 млн. лв. </w:t>
      </w:r>
      <w:r>
        <w:t>П</w:t>
      </w:r>
      <w:r w:rsidRPr="00392FB1">
        <w:rPr>
          <w:rFonts w:eastAsiaTheme="minorHAnsi" w:cstheme="minorBidi"/>
        </w:rPr>
        <w:t xml:space="preserve">остъпленията от емисии на ДЦК на вътрешния пазар </w:t>
      </w:r>
      <w:r w:rsidRPr="00697B87">
        <w:rPr>
          <w:rFonts w:eastAsiaTheme="minorHAnsi"/>
        </w:rPr>
        <w:t xml:space="preserve">възлизат на </w:t>
      </w:r>
      <w:r w:rsidRPr="005D4BE5">
        <w:rPr>
          <w:rFonts w:eastAsiaTheme="minorHAnsi"/>
          <w:lang w:val="ru-RU"/>
        </w:rPr>
        <w:t>1</w:t>
      </w:r>
      <w:r w:rsidRPr="00697B87">
        <w:rPr>
          <w:rFonts w:eastAsiaTheme="minorHAnsi"/>
          <w:lang w:val="en-US"/>
        </w:rPr>
        <w:t> </w:t>
      </w:r>
      <w:r w:rsidRPr="005D4BE5">
        <w:rPr>
          <w:rFonts w:eastAsiaTheme="minorHAnsi"/>
          <w:lang w:val="ru-RU"/>
        </w:rPr>
        <w:t>092</w:t>
      </w:r>
      <w:r w:rsidRPr="00697B87">
        <w:rPr>
          <w:rFonts w:eastAsiaTheme="minorHAnsi"/>
        </w:rPr>
        <w:t>,8 млн. лв. или са емитирани ДЦК на обща номинална стойност 1 100,0 млн. лв., разпределени в две емисии, както следва:</w:t>
      </w:r>
    </w:p>
    <w:p w14:paraId="00033D5D" w14:textId="626629BA" w:rsidR="006012F9" w:rsidRPr="00697B87" w:rsidRDefault="006012F9" w:rsidP="00940A9F">
      <w:pPr>
        <w:pStyle w:val="ListParagraph"/>
        <w:numPr>
          <w:ilvl w:val="0"/>
          <w:numId w:val="4"/>
        </w:numPr>
        <w:tabs>
          <w:tab w:val="clear" w:pos="1080"/>
          <w:tab w:val="left" w:pos="993"/>
        </w:tabs>
        <w:spacing w:after="120" w:line="259" w:lineRule="auto"/>
        <w:ind w:left="0" w:firstLine="720"/>
        <w:jc w:val="both"/>
        <w:rPr>
          <w:rFonts w:ascii="Times New Roman" w:eastAsiaTheme="minorHAnsi" w:hAnsi="Times New Roman" w:cs="Times New Roman"/>
          <w:sz w:val="24"/>
          <w:szCs w:val="24"/>
        </w:rPr>
      </w:pPr>
      <w:r w:rsidRPr="00697B87">
        <w:rPr>
          <w:rFonts w:ascii="Times New Roman" w:hAnsi="Times New Roman" w:cs="Times New Roman"/>
          <w:b/>
          <w:i/>
          <w:sz w:val="24"/>
          <w:szCs w:val="24"/>
        </w:rPr>
        <w:t>3-годишни ДЦК</w:t>
      </w:r>
      <w:r w:rsidRPr="00697B87">
        <w:rPr>
          <w:rFonts w:ascii="Times New Roman" w:hAnsi="Times New Roman" w:cs="Times New Roman"/>
          <w:sz w:val="24"/>
          <w:szCs w:val="24"/>
        </w:rPr>
        <w:t xml:space="preserve"> </w:t>
      </w:r>
      <w:r w:rsidRPr="00697B87">
        <w:rPr>
          <w:rFonts w:ascii="Times New Roman" w:eastAsiaTheme="minorHAnsi" w:hAnsi="Times New Roman" w:cs="Times New Roman"/>
          <w:sz w:val="24"/>
          <w:szCs w:val="24"/>
        </w:rPr>
        <w:t>(емисията е пусната в обращение през април 2024 г., деноминирана е в лева, с падеж 17.04.2027 г. и годишен лихвен купон от 3 %) с общ пласиран обем от 700,0 млн. лв. , в т.ч. през април 200 млн. лв., през май 300 млн. лв. и през юни 200</w:t>
      </w:r>
      <w:r w:rsidR="00C14ED8">
        <w:rPr>
          <w:rFonts w:ascii="Times New Roman" w:eastAsiaTheme="minorHAnsi" w:hAnsi="Times New Roman" w:cs="Times New Roman"/>
          <w:sz w:val="24"/>
          <w:szCs w:val="24"/>
        </w:rPr>
        <w:t> </w:t>
      </w:r>
      <w:r w:rsidRPr="00697B87">
        <w:rPr>
          <w:rFonts w:ascii="Times New Roman" w:eastAsiaTheme="minorHAnsi" w:hAnsi="Times New Roman" w:cs="Times New Roman"/>
          <w:sz w:val="24"/>
          <w:szCs w:val="24"/>
        </w:rPr>
        <w:t xml:space="preserve">млн. лв.; </w:t>
      </w:r>
    </w:p>
    <w:p w14:paraId="1755D674" w14:textId="7C9BDA29" w:rsidR="006012F9" w:rsidRPr="00697B87" w:rsidRDefault="006012F9" w:rsidP="00940A9F">
      <w:pPr>
        <w:pStyle w:val="ListParagraph"/>
        <w:numPr>
          <w:ilvl w:val="0"/>
          <w:numId w:val="4"/>
        </w:numPr>
        <w:tabs>
          <w:tab w:val="clear" w:pos="1080"/>
          <w:tab w:val="left" w:pos="993"/>
        </w:tabs>
        <w:ind w:left="0" w:firstLine="720"/>
        <w:jc w:val="both"/>
        <w:rPr>
          <w:rFonts w:ascii="Times New Roman" w:hAnsi="Times New Roman" w:cs="Times New Roman"/>
          <w:color w:val="0070C0"/>
          <w:sz w:val="24"/>
          <w:szCs w:val="24"/>
        </w:rPr>
      </w:pPr>
      <w:r w:rsidRPr="00697B87">
        <w:rPr>
          <w:rFonts w:ascii="Times New Roman" w:eastAsiaTheme="minorHAnsi" w:hAnsi="Times New Roman" w:cs="Times New Roman"/>
          <w:b/>
          <w:i/>
          <w:sz w:val="24"/>
          <w:szCs w:val="24"/>
        </w:rPr>
        <w:t>6-годишни ДЦК</w:t>
      </w:r>
      <w:r w:rsidRPr="00697B87">
        <w:rPr>
          <w:rFonts w:ascii="Times New Roman" w:eastAsiaTheme="minorHAnsi" w:hAnsi="Times New Roman" w:cs="Times New Roman"/>
          <w:sz w:val="24"/>
          <w:szCs w:val="24"/>
        </w:rPr>
        <w:t xml:space="preserve"> (пуснати</w:t>
      </w:r>
      <w:r w:rsidRPr="00697B87">
        <w:rPr>
          <w:rFonts w:ascii="Times New Roman" w:eastAsia="Calibri" w:hAnsi="Times New Roman" w:cs="Times New Roman"/>
          <w:sz w:val="24"/>
          <w:szCs w:val="24"/>
        </w:rPr>
        <w:t xml:space="preserve"> </w:t>
      </w:r>
      <w:r w:rsidRPr="00697B87">
        <w:rPr>
          <w:rFonts w:ascii="Times New Roman" w:eastAsiaTheme="minorHAnsi" w:hAnsi="Times New Roman" w:cs="Times New Roman"/>
          <w:sz w:val="24"/>
          <w:szCs w:val="24"/>
        </w:rPr>
        <w:t>в обращение през май 2024 г., деноминирани са в лева, с падеж 15.05.2030 г.</w:t>
      </w:r>
      <w:r w:rsidRPr="00697B87">
        <w:rPr>
          <w:rFonts w:ascii="Times New Roman" w:hAnsi="Times New Roman" w:cs="Times New Roman"/>
          <w:sz w:val="24"/>
          <w:szCs w:val="24"/>
        </w:rPr>
        <w:t xml:space="preserve"> и годишен лихвен купон от 3,35 %</w:t>
      </w:r>
      <w:r w:rsidRPr="00697B87">
        <w:rPr>
          <w:rFonts w:ascii="Times New Roman" w:eastAsiaTheme="minorHAnsi" w:hAnsi="Times New Roman" w:cs="Times New Roman"/>
          <w:sz w:val="24"/>
          <w:szCs w:val="24"/>
        </w:rPr>
        <w:t>) с общ пласиран обем от 400,0 млн.</w:t>
      </w:r>
      <w:r w:rsidR="00C14ED8">
        <w:rPr>
          <w:rFonts w:ascii="Times New Roman" w:eastAsiaTheme="minorHAnsi" w:hAnsi="Times New Roman" w:cs="Times New Roman"/>
          <w:sz w:val="24"/>
          <w:szCs w:val="24"/>
        </w:rPr>
        <w:t> </w:t>
      </w:r>
      <w:r w:rsidRPr="00697B87">
        <w:rPr>
          <w:rFonts w:ascii="Times New Roman" w:eastAsiaTheme="minorHAnsi" w:hAnsi="Times New Roman" w:cs="Times New Roman"/>
          <w:sz w:val="24"/>
          <w:szCs w:val="24"/>
        </w:rPr>
        <w:t>лв., в т.ч.  през месец май и юни по 200,0 млн. лв.</w:t>
      </w:r>
    </w:p>
    <w:p w14:paraId="5310E66D" w14:textId="264C0A55" w:rsidR="006012F9" w:rsidRPr="00392FB1" w:rsidRDefault="006012F9" w:rsidP="006012F9">
      <w:pPr>
        <w:jc w:val="both"/>
        <w:rPr>
          <w:color w:val="0070C0"/>
        </w:rPr>
      </w:pPr>
      <w:r w:rsidRPr="00697B87">
        <w:t>Погашенията по емитирани през предходни периоди общински ценни книжа са в размер на 3,2</w:t>
      </w:r>
      <w:r w:rsidR="00C14ED8">
        <w:t> </w:t>
      </w:r>
      <w:r w:rsidRPr="00272952">
        <w:t>млн. лв</w:t>
      </w:r>
      <w:r w:rsidRPr="00A12CB9">
        <w:t xml:space="preserve">. и са отчетени от 6 общини. За отчетния период няма емитиран нов общински дълг на вътрешния пазар. </w:t>
      </w:r>
    </w:p>
    <w:p w14:paraId="14448497" w14:textId="77777777" w:rsidR="006012F9" w:rsidRPr="00A12CB9" w:rsidRDefault="006012F9" w:rsidP="0006739A">
      <w:pPr>
        <w:keepNext/>
        <w:numPr>
          <w:ilvl w:val="0"/>
          <w:numId w:val="5"/>
        </w:numPr>
        <w:tabs>
          <w:tab w:val="num" w:pos="540"/>
        </w:tabs>
        <w:spacing w:before="120"/>
        <w:ind w:left="0" w:firstLine="0"/>
        <w:outlineLvl w:val="3"/>
        <w:rPr>
          <w:iCs/>
        </w:rPr>
      </w:pPr>
      <w:proofErr w:type="spellStart"/>
      <w:r w:rsidRPr="00A12CB9">
        <w:rPr>
          <w:i/>
          <w:iCs/>
        </w:rPr>
        <w:t>Покупко</w:t>
      </w:r>
      <w:proofErr w:type="spellEnd"/>
      <w:r w:rsidRPr="00A12CB9">
        <w:rPr>
          <w:i/>
          <w:iCs/>
        </w:rPr>
        <w:t>–продажба на държавни/общински ценни книжа</w:t>
      </w:r>
    </w:p>
    <w:p w14:paraId="320566C6" w14:textId="77777777" w:rsidR="006012F9" w:rsidRPr="00A12CB9" w:rsidRDefault="006012F9" w:rsidP="00AA5DFD">
      <w:pPr>
        <w:spacing w:before="120"/>
        <w:jc w:val="both"/>
      </w:pPr>
      <w:r w:rsidRPr="00A12CB9">
        <w:t xml:space="preserve">През отчетния период реализираните покупки на ДЦК възлизат на 47,1 млн. лв. и са извършени по бюджета на Фонд „Гарантирани вземанията на работниците и служителите“ (ФГВРС). </w:t>
      </w:r>
    </w:p>
    <w:p w14:paraId="14448F47" w14:textId="77777777" w:rsidR="006012F9" w:rsidRPr="00E56679" w:rsidRDefault="006012F9" w:rsidP="006012F9">
      <w:pPr>
        <w:jc w:val="both"/>
        <w:rPr>
          <w:color w:val="0070C0"/>
          <w:sz w:val="8"/>
          <w:szCs w:val="8"/>
        </w:rPr>
      </w:pPr>
    </w:p>
    <w:p w14:paraId="25394600" w14:textId="77777777" w:rsidR="006012F9" w:rsidRPr="00A12CB9" w:rsidRDefault="006012F9" w:rsidP="0006739A">
      <w:pPr>
        <w:keepNext/>
        <w:numPr>
          <w:ilvl w:val="0"/>
          <w:numId w:val="5"/>
        </w:numPr>
        <w:tabs>
          <w:tab w:val="num" w:pos="540"/>
        </w:tabs>
        <w:spacing w:before="120" w:after="60"/>
        <w:ind w:left="0" w:firstLine="0"/>
        <w:jc w:val="both"/>
        <w:outlineLvl w:val="3"/>
        <w:rPr>
          <w:iCs/>
        </w:rPr>
      </w:pPr>
      <w:r w:rsidRPr="00A12CB9">
        <w:rPr>
          <w:i/>
          <w:iCs/>
        </w:rPr>
        <w:t>Финансови операции по прилагане на Общата селскостопанска и общата рибарска политики (нето)</w:t>
      </w:r>
    </w:p>
    <w:p w14:paraId="10723A49" w14:textId="77777777" w:rsidR="006012F9" w:rsidRPr="00283393" w:rsidRDefault="006012F9" w:rsidP="00AA5DFD">
      <w:pPr>
        <w:spacing w:before="120"/>
        <w:jc w:val="both"/>
        <w:rPr>
          <w:lang w:val="en-US"/>
        </w:rPr>
      </w:pPr>
      <w:r w:rsidRPr="00283393">
        <w:t>Нетният размер на финансовите операции по прилагане на Общата селскостопанска и общата рибарска политики за полугодието на 2024 г. е отрицателен и възлиза на 158,1 млн. лева. Това включва:</w:t>
      </w:r>
    </w:p>
    <w:p w14:paraId="0932BB65" w14:textId="77777777" w:rsidR="006012F9" w:rsidRPr="00E56679" w:rsidRDefault="006012F9" w:rsidP="006012F9">
      <w:pPr>
        <w:jc w:val="both"/>
        <w:rPr>
          <w:color w:val="0070C0"/>
          <w:sz w:val="12"/>
          <w:szCs w:val="12"/>
        </w:rPr>
      </w:pPr>
    </w:p>
    <w:p w14:paraId="7A4BBFFE" w14:textId="77777777" w:rsidR="006012F9" w:rsidRPr="00283393" w:rsidRDefault="006012F9" w:rsidP="006012F9">
      <w:pPr>
        <w:numPr>
          <w:ilvl w:val="0"/>
          <w:numId w:val="4"/>
        </w:numPr>
        <w:tabs>
          <w:tab w:val="num" w:pos="360"/>
        </w:tabs>
        <w:ind w:left="0" w:firstLine="0"/>
        <w:rPr>
          <w:b/>
          <w:i/>
        </w:rPr>
      </w:pPr>
      <w:r w:rsidRPr="00283393">
        <w:rPr>
          <w:b/>
          <w:i/>
        </w:rPr>
        <w:t xml:space="preserve">Плащания за сметка на Европейския съюз </w:t>
      </w:r>
    </w:p>
    <w:p w14:paraId="47117D37" w14:textId="77777777" w:rsidR="006012F9" w:rsidRPr="00283393" w:rsidRDefault="006012F9" w:rsidP="006012F9">
      <w:pPr>
        <w:jc w:val="both"/>
        <w:rPr>
          <w:sz w:val="4"/>
          <w:szCs w:val="4"/>
        </w:rPr>
      </w:pPr>
    </w:p>
    <w:p w14:paraId="04FD9042" w14:textId="33125CF4" w:rsidR="006012F9" w:rsidRPr="00283393" w:rsidRDefault="006012F9" w:rsidP="006012F9">
      <w:pPr>
        <w:jc w:val="both"/>
        <w:rPr>
          <w:lang w:val="ru-RU"/>
        </w:rPr>
      </w:pPr>
      <w:r w:rsidRPr="00283393">
        <w:t>Общият размер на плащанията, извършени към земеделските производители от с</w:t>
      </w:r>
      <w:r w:rsidRPr="00283393">
        <w:rPr>
          <w:lang w:eastAsia="en-US"/>
        </w:rPr>
        <w:t xml:space="preserve">метката за европейски средства на Разплащателната агенция към </w:t>
      </w:r>
      <w:r w:rsidRPr="00283393">
        <w:t>ДФ ”Земеделие” и други за сметка на ЕС, за полугодието на 2024 г. е 1 064,7 млн. лв., от които 1 061,7 млн. лв. са от средствата за директни плащания (вкл. средства от ЕЗФРСР, прехвърлени към директните плащания), 2,6</w:t>
      </w:r>
      <w:r w:rsidR="00C14ED8">
        <w:t> </w:t>
      </w:r>
      <w:r w:rsidRPr="00283393">
        <w:t xml:space="preserve">млн. лв. за пазарни мерки и 0,4 млн. лв. от суми </w:t>
      </w:r>
      <w:r w:rsidRPr="00283393">
        <w:rPr>
          <w:bCs/>
          <w:noProof/>
        </w:rPr>
        <w:t>за преструктуриране</w:t>
      </w:r>
      <w:r w:rsidRPr="00283393">
        <w:t xml:space="preserve">. </w:t>
      </w:r>
    </w:p>
    <w:p w14:paraId="0E93EF53" w14:textId="77777777" w:rsidR="006012F9" w:rsidRPr="00283393" w:rsidRDefault="006012F9" w:rsidP="006012F9">
      <w:pPr>
        <w:jc w:val="both"/>
        <w:rPr>
          <w:sz w:val="12"/>
          <w:szCs w:val="12"/>
          <w:lang w:val="ru-RU"/>
        </w:rPr>
      </w:pPr>
    </w:p>
    <w:p w14:paraId="5C50F13B" w14:textId="77777777" w:rsidR="006012F9" w:rsidRPr="00283393" w:rsidRDefault="006012F9" w:rsidP="006012F9">
      <w:pPr>
        <w:numPr>
          <w:ilvl w:val="0"/>
          <w:numId w:val="4"/>
        </w:numPr>
        <w:tabs>
          <w:tab w:val="num" w:pos="360"/>
        </w:tabs>
        <w:ind w:left="0" w:firstLine="0"/>
        <w:rPr>
          <w:b/>
          <w:i/>
        </w:rPr>
      </w:pPr>
      <w:r w:rsidRPr="00283393">
        <w:rPr>
          <w:b/>
          <w:i/>
        </w:rPr>
        <w:t>Възстановени суми от Европейския съюз</w:t>
      </w:r>
    </w:p>
    <w:p w14:paraId="28435979" w14:textId="287C7560" w:rsidR="006012F9" w:rsidRPr="00283393" w:rsidRDefault="006012F9" w:rsidP="006012F9">
      <w:pPr>
        <w:jc w:val="both"/>
        <w:rPr>
          <w:lang w:val="ru-RU"/>
        </w:rPr>
      </w:pPr>
      <w:r w:rsidRPr="00283393">
        <w:t>Възстановените суми от Европейския съюз са общо 906,6 млн. лв., от които 883,9 млн. лв. за директни плащания (вкл. средства от ЕЗФРСР, прехвърлени към директните плащания), 21,9</w:t>
      </w:r>
      <w:r w:rsidR="00C14ED8">
        <w:t> </w:t>
      </w:r>
      <w:r w:rsidRPr="00283393">
        <w:t xml:space="preserve">млн. лв. за пазарни мерки и 0,8 млн. лв. - суми </w:t>
      </w:r>
      <w:r w:rsidRPr="00283393">
        <w:rPr>
          <w:bCs/>
          <w:noProof/>
        </w:rPr>
        <w:t>за преструктуриране</w:t>
      </w:r>
      <w:r w:rsidRPr="00283393">
        <w:t xml:space="preserve">. </w:t>
      </w:r>
    </w:p>
    <w:p w14:paraId="3ACC4628" w14:textId="77777777" w:rsidR="006012F9" w:rsidRPr="00E56679" w:rsidRDefault="006012F9" w:rsidP="006012F9">
      <w:pPr>
        <w:jc w:val="both"/>
        <w:rPr>
          <w:color w:val="0070C0"/>
          <w:sz w:val="8"/>
          <w:szCs w:val="8"/>
        </w:rPr>
      </w:pPr>
    </w:p>
    <w:p w14:paraId="49AC4625" w14:textId="77777777" w:rsidR="006012F9" w:rsidRPr="00A30E8A" w:rsidRDefault="006012F9" w:rsidP="006012F9">
      <w:pPr>
        <w:keepNext/>
        <w:numPr>
          <w:ilvl w:val="0"/>
          <w:numId w:val="5"/>
        </w:numPr>
        <w:tabs>
          <w:tab w:val="num" w:pos="540"/>
        </w:tabs>
        <w:spacing w:before="240" w:after="60"/>
        <w:ind w:left="0" w:firstLine="0"/>
        <w:outlineLvl w:val="3"/>
        <w:rPr>
          <w:iCs/>
        </w:rPr>
      </w:pPr>
      <w:r w:rsidRPr="00A30E8A">
        <w:rPr>
          <w:i/>
          <w:iCs/>
        </w:rPr>
        <w:t>Възмездно финансиране (нето)</w:t>
      </w:r>
    </w:p>
    <w:p w14:paraId="710BDC92" w14:textId="77777777" w:rsidR="006012F9" w:rsidRPr="00A30E8A" w:rsidRDefault="006012F9" w:rsidP="006012F9">
      <w:pPr>
        <w:spacing w:after="120"/>
        <w:jc w:val="both"/>
      </w:pPr>
      <w:r w:rsidRPr="00A30E8A">
        <w:t>Нетният размер на възмездното финансиране (вкл. предоставените заеми към крайни бенефициенти по ДИЗ (нето)) за първите шест месеца на годината е отрицателен – (-37,5) млн. лв.</w:t>
      </w:r>
    </w:p>
    <w:p w14:paraId="6F19B2CA" w14:textId="77777777" w:rsidR="006012F9" w:rsidRPr="00A30E8A" w:rsidRDefault="006012F9" w:rsidP="006012F9">
      <w:pPr>
        <w:spacing w:after="120"/>
        <w:jc w:val="both"/>
      </w:pPr>
      <w:r w:rsidRPr="00A30E8A">
        <w:t>Нетното изпълнение на операциите по ДИЗ с краен бенефициент търговско дружество към края на месец юни 2024 г. е положително в размер на 4,4 млн. лв., като цялата сума представлява постъпили средства от крайни бенефициенти по ДИЗ във връзка с извършване на погашения в съответствие с предвидените погасителни схеми за 2024 година.</w:t>
      </w:r>
    </w:p>
    <w:p w14:paraId="47ECE2FF" w14:textId="77777777" w:rsidR="006012F9" w:rsidRPr="00A30E8A" w:rsidRDefault="006012F9" w:rsidP="006012F9">
      <w:pPr>
        <w:spacing w:after="120"/>
        <w:jc w:val="both"/>
      </w:pPr>
      <w:r w:rsidRPr="00A30E8A">
        <w:t xml:space="preserve">Размерът на предоставените кредити за първото полугодие на 2024 г. е 0,7 млн. лв. Възстановените главници по отпуснати през предходни периоди лихвени кредити са в размер на 0,2 млн. лв. </w:t>
      </w:r>
    </w:p>
    <w:p w14:paraId="65CD34F7" w14:textId="53B5608C" w:rsidR="006012F9" w:rsidRDefault="006012F9" w:rsidP="006012F9">
      <w:pPr>
        <w:spacing w:after="120"/>
        <w:jc w:val="both"/>
      </w:pPr>
      <w:r w:rsidRPr="00A30E8A">
        <w:t>Размерът на предоставената възмездна финансова помощ на консолидирана база към полугодието на 2024 г. е 15</w:t>
      </w:r>
      <w:r w:rsidRPr="00A30E8A">
        <w:rPr>
          <w:lang w:val="ru-RU"/>
        </w:rPr>
        <w:t>9</w:t>
      </w:r>
      <w:r w:rsidRPr="00A30E8A">
        <w:t>,</w:t>
      </w:r>
      <w:r w:rsidRPr="00A30E8A">
        <w:rPr>
          <w:lang w:val="ru-RU"/>
        </w:rPr>
        <w:t>0</w:t>
      </w:r>
      <w:r w:rsidRPr="00A30E8A">
        <w:t xml:space="preserve"> млн. лв., като по-голямата част от нея (155,4 млн. лв.) е</w:t>
      </w:r>
      <w:r w:rsidRPr="00A30E8A">
        <w:rPr>
          <w:lang w:val="ru-RU"/>
        </w:rPr>
        <w:t xml:space="preserve"> </w:t>
      </w:r>
      <w:r w:rsidRPr="00A30E8A">
        <w:t>отпусната по бюджетите на министерствата и ведомствата, а останалата част по общинските бюджети. Възстановената възмездна финансова помощ на консолидирана база за първите шест месеца на годината е 118,5 млн. лв., като по-голямата част е възстановена по сметките з</w:t>
      </w:r>
      <w:r w:rsidR="00C14ED8">
        <w:t>а</w:t>
      </w:r>
      <w:r w:rsidRPr="00A30E8A">
        <w:t xml:space="preserve"> средства от ЕС. </w:t>
      </w:r>
    </w:p>
    <w:p w14:paraId="0C75C9E4" w14:textId="77777777" w:rsidR="006012F9" w:rsidRPr="0054368F" w:rsidRDefault="006012F9" w:rsidP="006012F9">
      <w:pPr>
        <w:spacing w:after="120"/>
        <w:jc w:val="both"/>
      </w:pPr>
      <w:r w:rsidRPr="0054368F">
        <w:t xml:space="preserve">Нетната сума на </w:t>
      </w:r>
      <w:r>
        <w:t xml:space="preserve">плащанията по активирани гаранции, поръчителства и </w:t>
      </w:r>
      <w:proofErr w:type="spellStart"/>
      <w:r>
        <w:t>преоформен</w:t>
      </w:r>
      <w:proofErr w:type="spellEnd"/>
      <w:r>
        <w:t xml:space="preserve"> държавен дълг е в размер на (-0,8) млн. лв.</w:t>
      </w:r>
    </w:p>
    <w:p w14:paraId="1DCEE15C" w14:textId="77777777" w:rsidR="006012F9" w:rsidRPr="00682631" w:rsidRDefault="006012F9" w:rsidP="006012F9">
      <w:pPr>
        <w:keepNext/>
        <w:numPr>
          <w:ilvl w:val="0"/>
          <w:numId w:val="5"/>
        </w:numPr>
        <w:tabs>
          <w:tab w:val="num" w:pos="540"/>
        </w:tabs>
        <w:spacing w:before="240" w:after="60"/>
        <w:ind w:left="0" w:firstLine="0"/>
        <w:outlineLvl w:val="3"/>
        <w:rPr>
          <w:iCs/>
        </w:rPr>
      </w:pPr>
      <w:r w:rsidRPr="00682631">
        <w:rPr>
          <w:i/>
          <w:iCs/>
        </w:rPr>
        <w:t xml:space="preserve">Придобиване на дялове, акции и съучастия (нето) </w:t>
      </w:r>
    </w:p>
    <w:p w14:paraId="6520D9F5" w14:textId="77777777" w:rsidR="006012F9" w:rsidRPr="00E56679" w:rsidRDefault="006012F9" w:rsidP="006012F9">
      <w:pPr>
        <w:spacing w:after="120"/>
        <w:jc w:val="both"/>
        <w:rPr>
          <w:color w:val="0070C0"/>
        </w:rPr>
      </w:pPr>
      <w:bookmarkStart w:id="240" w:name="_Toc521343520"/>
      <w:bookmarkStart w:id="241" w:name="_Toc16509345"/>
      <w:bookmarkStart w:id="242" w:name="_Toc48234673"/>
      <w:r w:rsidRPr="00682631">
        <w:t xml:space="preserve">Нетният размер на средствата за придобиване на дялове, акции и съучастия за първото полугодие на 2024 г. е отрицателен – 45,1 млн. лв., от които по бюджетите на министерствата и ведомствата 43,4 млн. лв. и по бюджетите на общините – 1,7 млн. лева. </w:t>
      </w:r>
    </w:p>
    <w:p w14:paraId="385676DA" w14:textId="4B5B6864" w:rsidR="006012F9" w:rsidRDefault="006012F9" w:rsidP="006012F9">
      <w:pPr>
        <w:pStyle w:val="Heading3"/>
        <w:numPr>
          <w:ilvl w:val="1"/>
          <w:numId w:val="20"/>
        </w:numPr>
        <w:ind w:left="426" w:hanging="426"/>
        <w:rPr>
          <w:rFonts w:ascii="Times New Roman" w:hAnsi="Times New Roman" w:cs="Times New Roman"/>
          <w:sz w:val="24"/>
          <w:szCs w:val="24"/>
        </w:rPr>
      </w:pPr>
      <w:bookmarkStart w:id="243" w:name="_Toc111640985"/>
      <w:bookmarkStart w:id="244" w:name="_Toc113440849"/>
      <w:bookmarkStart w:id="245" w:name="_Toc174117349"/>
      <w:bookmarkStart w:id="246" w:name="_Toc176351947"/>
      <w:r w:rsidRPr="007542AD">
        <w:rPr>
          <w:rFonts w:ascii="Times New Roman" w:hAnsi="Times New Roman" w:cs="Times New Roman"/>
          <w:sz w:val="24"/>
          <w:szCs w:val="24"/>
        </w:rPr>
        <w:t>Приватизация на дялове, акции и участия</w:t>
      </w:r>
      <w:bookmarkEnd w:id="240"/>
      <w:bookmarkEnd w:id="241"/>
      <w:bookmarkEnd w:id="242"/>
      <w:bookmarkEnd w:id="243"/>
      <w:bookmarkEnd w:id="244"/>
      <w:bookmarkEnd w:id="245"/>
      <w:bookmarkEnd w:id="246"/>
    </w:p>
    <w:p w14:paraId="2B18BBB2" w14:textId="77777777" w:rsidR="007E4FEE" w:rsidRPr="007E4FEE" w:rsidRDefault="007E4FEE" w:rsidP="007E4FEE">
      <w:pPr>
        <w:rPr>
          <w:sz w:val="10"/>
        </w:rPr>
      </w:pPr>
    </w:p>
    <w:p w14:paraId="0CC09913" w14:textId="7895A8AA" w:rsidR="007E4FEE" w:rsidRDefault="007E4FEE" w:rsidP="007E4FEE">
      <w:r w:rsidRPr="007E4FEE">
        <w:t>Към 30.06.2024 г.</w:t>
      </w:r>
      <w:r w:rsidR="007A685A">
        <w:t xml:space="preserve"> по КФП няма постъпили приходи</w:t>
      </w:r>
      <w:r w:rsidRPr="007E4FEE">
        <w:t xml:space="preserve"> от приватизация</w:t>
      </w:r>
      <w:r w:rsidR="00B72650">
        <w:t>.</w:t>
      </w:r>
    </w:p>
    <w:p w14:paraId="6D799A7A" w14:textId="77777777" w:rsidR="007E4FEE" w:rsidRDefault="007E4FEE">
      <w:r>
        <w:br w:type="page"/>
      </w:r>
    </w:p>
    <w:p w14:paraId="796A7EFA" w14:textId="77777777" w:rsidR="007E4FEE" w:rsidRPr="007E4FEE" w:rsidRDefault="007E4FEE" w:rsidP="007E4FEE"/>
    <w:p w14:paraId="399A119D" w14:textId="670FAE58" w:rsidR="000470AB" w:rsidRPr="00AB4D3B" w:rsidRDefault="000470AB" w:rsidP="006012F9">
      <w:pPr>
        <w:pStyle w:val="Heading1"/>
        <w:ind w:left="432"/>
        <w:jc w:val="both"/>
        <w:rPr>
          <w:rFonts w:ascii="Times New Roman" w:hAnsi="Times New Roman" w:cs="Times New Roman"/>
          <w:sz w:val="28"/>
          <w:szCs w:val="28"/>
          <w:lang w:val="ru-RU"/>
        </w:rPr>
      </w:pPr>
      <w:bookmarkStart w:id="247" w:name="_Toc176351948"/>
      <w:r w:rsidRPr="00AB4D3B">
        <w:rPr>
          <w:rFonts w:ascii="Times New Roman" w:hAnsi="Times New Roman" w:cs="Times New Roman"/>
          <w:sz w:val="28"/>
          <w:szCs w:val="28"/>
          <w:lang w:val="en-US"/>
        </w:rPr>
        <w:t>I</w:t>
      </w:r>
      <w:r w:rsidR="003B7FEE" w:rsidRPr="00AB4D3B">
        <w:rPr>
          <w:rFonts w:ascii="Times New Roman" w:hAnsi="Times New Roman" w:cs="Times New Roman"/>
          <w:sz w:val="28"/>
          <w:szCs w:val="28"/>
          <w:lang w:val="en-US"/>
        </w:rPr>
        <w:t>V</w:t>
      </w:r>
      <w:r w:rsidRPr="00AB4D3B">
        <w:rPr>
          <w:rFonts w:ascii="Times New Roman" w:hAnsi="Times New Roman" w:cs="Times New Roman"/>
          <w:sz w:val="28"/>
          <w:szCs w:val="28"/>
          <w:lang w:val="ru-RU"/>
        </w:rPr>
        <w:t xml:space="preserve">. ДЪРЖАВЕН БЮДЖЕТ, БЮДЖЕТИ НА ОБЩИНИТЕ, НА СОЦИАЛНООСИГУРИТЕЛНИТЕ ФОНДОВЕ И БЮДЖЕТИ ПО </w:t>
      </w:r>
      <w:r w:rsidR="009B05EF" w:rsidRPr="00AB4D3B">
        <w:rPr>
          <w:rFonts w:ascii="Times New Roman" w:hAnsi="Times New Roman" w:cs="Times New Roman"/>
          <w:sz w:val="28"/>
          <w:szCs w:val="28"/>
          <w:lang w:val="ru-RU"/>
        </w:rPr>
        <w:t>ЧЛ</w:t>
      </w:r>
      <w:r w:rsidRPr="00AB4D3B">
        <w:rPr>
          <w:rFonts w:ascii="Times New Roman" w:hAnsi="Times New Roman" w:cs="Times New Roman"/>
          <w:sz w:val="28"/>
          <w:szCs w:val="28"/>
          <w:lang w:val="ru-RU"/>
        </w:rPr>
        <w:t xml:space="preserve">.13, </w:t>
      </w:r>
      <w:r w:rsidR="009B05EF" w:rsidRPr="00AB4D3B">
        <w:rPr>
          <w:rFonts w:ascii="Times New Roman" w:hAnsi="Times New Roman" w:cs="Times New Roman"/>
          <w:sz w:val="28"/>
          <w:szCs w:val="28"/>
          <w:lang w:val="ru-RU"/>
        </w:rPr>
        <w:t>АЛ</w:t>
      </w:r>
      <w:r w:rsidRPr="00AB4D3B">
        <w:rPr>
          <w:rFonts w:ascii="Times New Roman" w:hAnsi="Times New Roman" w:cs="Times New Roman"/>
          <w:sz w:val="28"/>
          <w:szCs w:val="28"/>
          <w:lang w:val="ru-RU"/>
        </w:rPr>
        <w:t xml:space="preserve">.3 </w:t>
      </w:r>
      <w:r w:rsidR="006D23A2" w:rsidRPr="00AB4D3B">
        <w:rPr>
          <w:rFonts w:ascii="Times New Roman" w:hAnsi="Times New Roman" w:cs="Times New Roman"/>
          <w:sz w:val="28"/>
          <w:szCs w:val="28"/>
          <w:lang w:val="ru-RU"/>
        </w:rPr>
        <w:t>И</w:t>
      </w:r>
      <w:r w:rsidRPr="00AB4D3B">
        <w:rPr>
          <w:rFonts w:ascii="Times New Roman" w:hAnsi="Times New Roman" w:cs="Times New Roman"/>
          <w:sz w:val="28"/>
          <w:szCs w:val="28"/>
          <w:lang w:val="ru-RU"/>
        </w:rPr>
        <w:t xml:space="preserve"> </w:t>
      </w:r>
      <w:r w:rsidR="009B05EF" w:rsidRPr="00AB4D3B">
        <w:rPr>
          <w:rFonts w:ascii="Times New Roman" w:hAnsi="Times New Roman" w:cs="Times New Roman"/>
          <w:sz w:val="28"/>
          <w:szCs w:val="28"/>
          <w:lang w:val="ru-RU"/>
        </w:rPr>
        <w:t>АЛ</w:t>
      </w:r>
      <w:r w:rsidRPr="00AB4D3B">
        <w:rPr>
          <w:rFonts w:ascii="Times New Roman" w:hAnsi="Times New Roman" w:cs="Times New Roman"/>
          <w:sz w:val="28"/>
          <w:szCs w:val="28"/>
          <w:lang w:val="ru-RU"/>
        </w:rPr>
        <w:t xml:space="preserve">.4 </w:t>
      </w:r>
      <w:r w:rsidR="001943A6" w:rsidRPr="00AB4D3B">
        <w:rPr>
          <w:rFonts w:ascii="Times New Roman" w:hAnsi="Times New Roman" w:cs="Times New Roman"/>
          <w:sz w:val="28"/>
          <w:szCs w:val="28"/>
          <w:lang w:val="ru-RU"/>
        </w:rPr>
        <w:t>ОТ</w:t>
      </w:r>
      <w:r w:rsidRPr="00AB4D3B">
        <w:rPr>
          <w:rFonts w:ascii="Times New Roman" w:hAnsi="Times New Roman" w:cs="Times New Roman"/>
          <w:sz w:val="28"/>
          <w:szCs w:val="28"/>
          <w:lang w:val="ru-RU"/>
        </w:rPr>
        <w:t xml:space="preserve"> ЗАКОНА ЗА ПУБЛИЧНИТЕ ФИНАНСИ</w:t>
      </w:r>
      <w:bookmarkEnd w:id="247"/>
    </w:p>
    <w:p w14:paraId="66A27692" w14:textId="77777777" w:rsidR="00894B8A" w:rsidRPr="00AB4D3B" w:rsidRDefault="00894B8A" w:rsidP="00894B8A">
      <w:bookmarkStart w:id="248" w:name="_Toc269992229"/>
      <w:bookmarkStart w:id="249" w:name="_Toc365649318"/>
      <w:bookmarkStart w:id="250" w:name="_Toc365897055"/>
      <w:bookmarkEnd w:id="229"/>
      <w:bookmarkEnd w:id="230"/>
      <w:bookmarkEnd w:id="231"/>
    </w:p>
    <w:p w14:paraId="01ABA445" w14:textId="77777777" w:rsidR="00423873" w:rsidRPr="00AB4D3B" w:rsidRDefault="00423873" w:rsidP="00423873">
      <w:pPr>
        <w:pStyle w:val="Heading2"/>
        <w:numPr>
          <w:ilvl w:val="0"/>
          <w:numId w:val="9"/>
        </w:numPr>
        <w:tabs>
          <w:tab w:val="clear" w:pos="1620"/>
        </w:tabs>
        <w:ind w:left="0" w:firstLine="0"/>
        <w:rPr>
          <w:rFonts w:ascii="Times New Roman" w:hAnsi="Times New Roman"/>
          <w:i w:val="0"/>
          <w:sz w:val="24"/>
        </w:rPr>
      </w:pPr>
      <w:bookmarkStart w:id="251" w:name="_Toc522784074"/>
      <w:bookmarkStart w:id="252" w:name="_Toc81485889"/>
      <w:bookmarkStart w:id="253" w:name="_Toc176351949"/>
      <w:bookmarkStart w:id="254" w:name="_Toc521343523"/>
      <w:bookmarkStart w:id="255" w:name="_Toc524080257"/>
      <w:bookmarkStart w:id="256" w:name="_Toc18400785"/>
      <w:bookmarkStart w:id="257" w:name="_Toc427666939"/>
      <w:bookmarkStart w:id="258" w:name="_Toc173668688"/>
      <w:bookmarkStart w:id="259" w:name="_Toc365649320"/>
      <w:bookmarkStart w:id="260" w:name="_Toc365897057"/>
      <w:bookmarkEnd w:id="232"/>
      <w:bookmarkEnd w:id="248"/>
      <w:bookmarkEnd w:id="249"/>
      <w:bookmarkEnd w:id="250"/>
      <w:r w:rsidRPr="00AB4D3B">
        <w:rPr>
          <w:rFonts w:ascii="Times New Roman" w:hAnsi="Times New Roman"/>
          <w:i w:val="0"/>
          <w:sz w:val="24"/>
        </w:rPr>
        <w:t>Държавен бюджет</w:t>
      </w:r>
      <w:bookmarkEnd w:id="251"/>
      <w:bookmarkEnd w:id="252"/>
      <w:bookmarkEnd w:id="253"/>
    </w:p>
    <w:p w14:paraId="30C9ADC1" w14:textId="77777777" w:rsidR="00423873" w:rsidRPr="00AB4D3B" w:rsidRDefault="00423873" w:rsidP="00423873">
      <w:pPr>
        <w:jc w:val="both"/>
        <w:rPr>
          <w:b/>
          <w:sz w:val="20"/>
          <w:szCs w:val="20"/>
        </w:rPr>
      </w:pPr>
    </w:p>
    <w:bookmarkEnd w:id="254"/>
    <w:bookmarkEnd w:id="255"/>
    <w:bookmarkEnd w:id="256"/>
    <w:bookmarkEnd w:id="257"/>
    <w:p w14:paraId="694E7CCD" w14:textId="5A267536" w:rsidR="00EB1009" w:rsidRPr="00AB4D3B" w:rsidRDefault="00EB1009" w:rsidP="00EB1009">
      <w:pPr>
        <w:numPr>
          <w:ilvl w:val="0"/>
          <w:numId w:val="6"/>
        </w:numPr>
        <w:ind w:left="0" w:firstLine="0"/>
        <w:jc w:val="both"/>
        <w:rPr>
          <w:b/>
        </w:rPr>
      </w:pPr>
      <w:r w:rsidRPr="00AB4D3B">
        <w:rPr>
          <w:b/>
        </w:rPr>
        <w:t xml:space="preserve">Основни параметри на изпълнението на държавния бюджет за </w:t>
      </w:r>
      <w:r w:rsidR="00BB261C">
        <w:rPr>
          <w:b/>
        </w:rPr>
        <w:t xml:space="preserve">първото </w:t>
      </w:r>
      <w:r w:rsidRPr="00AB4D3B">
        <w:rPr>
          <w:b/>
        </w:rPr>
        <w:t>полугодие на 202</w:t>
      </w:r>
      <w:r w:rsidR="00AB4D3B" w:rsidRPr="00AB4D3B">
        <w:rPr>
          <w:b/>
        </w:rPr>
        <w:t>4</w:t>
      </w:r>
      <w:r w:rsidRPr="00AB4D3B">
        <w:rPr>
          <w:b/>
        </w:rPr>
        <w:t xml:space="preserve"> година.</w:t>
      </w:r>
    </w:p>
    <w:p w14:paraId="0316BD30" w14:textId="77777777" w:rsidR="00EB1009" w:rsidRPr="00E56679" w:rsidRDefault="00EB1009" w:rsidP="00EB1009">
      <w:pPr>
        <w:jc w:val="both"/>
        <w:rPr>
          <w:b/>
          <w:i/>
          <w:color w:val="0070C0"/>
          <w:sz w:val="8"/>
          <w:szCs w:val="8"/>
        </w:rPr>
      </w:pPr>
    </w:p>
    <w:p w14:paraId="325EE339" w14:textId="77777777" w:rsidR="005F17C9" w:rsidRPr="008C3792" w:rsidRDefault="005F17C9" w:rsidP="005F17C9">
      <w:pPr>
        <w:pStyle w:val="BodyText2"/>
        <w:spacing w:after="0" w:line="240" w:lineRule="auto"/>
        <w:jc w:val="both"/>
        <w:rPr>
          <w:lang w:val="bg-BG"/>
        </w:rPr>
      </w:pPr>
      <w:r w:rsidRPr="008C3792">
        <w:rPr>
          <w:lang w:val="bg-BG"/>
        </w:rPr>
        <w:t xml:space="preserve">Изпълнението на основните показатели на държавния бюджет за първото полугодие на 2024 </w:t>
      </w:r>
      <w:r w:rsidRPr="008C3792">
        <w:t> </w:t>
      </w:r>
      <w:r w:rsidRPr="008C3792">
        <w:rPr>
          <w:lang w:val="bg-BG"/>
        </w:rPr>
        <w:t>г., съпоставено към същия период на предходната година и програмата, е както следва:</w:t>
      </w:r>
    </w:p>
    <w:p w14:paraId="7D3FC896" w14:textId="77777777" w:rsidR="005F17C9" w:rsidRPr="00E56679" w:rsidRDefault="005F17C9" w:rsidP="005F17C9">
      <w:pPr>
        <w:pStyle w:val="BodyText2"/>
        <w:spacing w:after="0" w:line="240" w:lineRule="auto"/>
        <w:jc w:val="both"/>
        <w:rPr>
          <w:color w:val="0070C0"/>
          <w:lang w:val="bg-BG"/>
        </w:rPr>
      </w:pPr>
    </w:p>
    <w:p w14:paraId="12FF1C41" w14:textId="77777777" w:rsidR="005F17C9" w:rsidRPr="00E56679" w:rsidRDefault="005F17C9" w:rsidP="005F17C9">
      <w:pPr>
        <w:jc w:val="both"/>
        <w:rPr>
          <w:i/>
          <w:color w:val="0070C0"/>
          <w:sz w:val="8"/>
          <w:szCs w:val="8"/>
        </w:rPr>
      </w:pPr>
    </w:p>
    <w:p w14:paraId="5FEBA388" w14:textId="2983F13F" w:rsidR="005F17C9" w:rsidRPr="000071EA" w:rsidRDefault="005F17C9" w:rsidP="006761EF">
      <w:pPr>
        <w:ind w:right="-242"/>
        <w:jc w:val="center"/>
        <w:rPr>
          <w:b/>
          <w:bCs/>
          <w:szCs w:val="20"/>
        </w:rPr>
      </w:pPr>
      <w:r w:rsidRPr="000071EA">
        <w:rPr>
          <w:b/>
          <w:bCs/>
          <w:i/>
          <w:szCs w:val="20"/>
        </w:rPr>
        <w:t>Изпълнение на държавния бюджет за полугодието на 2024 г.</w:t>
      </w:r>
    </w:p>
    <w:p w14:paraId="6DED81E7" w14:textId="77777777" w:rsidR="005F17C9" w:rsidRPr="008C3792" w:rsidRDefault="005F17C9" w:rsidP="005F17C9">
      <w:pPr>
        <w:ind w:left="720" w:right="-242"/>
        <w:jc w:val="center"/>
        <w:rPr>
          <w:b/>
          <w:bCs/>
          <w:sz w:val="20"/>
          <w:szCs w:val="20"/>
          <w:lang w:val="en-US"/>
        </w:rPr>
      </w:pPr>
      <w:r w:rsidRPr="008C3792">
        <w:rPr>
          <w:b/>
          <w:bCs/>
          <w:sz w:val="20"/>
          <w:szCs w:val="20"/>
        </w:rPr>
        <w:t xml:space="preserve">                                                                                                                                                          (млн. лв.)</w:t>
      </w:r>
    </w:p>
    <w:tbl>
      <w:tblPr>
        <w:tblW w:w="10490" w:type="dxa"/>
        <w:tblInd w:w="-497" w:type="dxa"/>
        <w:tblLayout w:type="fixed"/>
        <w:tblCellMar>
          <w:left w:w="70" w:type="dxa"/>
          <w:right w:w="70" w:type="dxa"/>
        </w:tblCellMar>
        <w:tblLook w:val="04A0" w:firstRow="1" w:lastRow="0" w:firstColumn="1" w:lastColumn="0" w:noHBand="0" w:noVBand="1"/>
      </w:tblPr>
      <w:tblGrid>
        <w:gridCol w:w="4559"/>
        <w:gridCol w:w="1134"/>
        <w:gridCol w:w="1062"/>
        <w:gridCol w:w="1134"/>
        <w:gridCol w:w="1348"/>
        <w:gridCol w:w="1253"/>
      </w:tblGrid>
      <w:tr w:rsidR="005F17C9" w:rsidRPr="00E56679" w14:paraId="71F70DD0" w14:textId="77777777" w:rsidTr="00654A69">
        <w:trPr>
          <w:trHeight w:val="540"/>
        </w:trPr>
        <w:tc>
          <w:tcPr>
            <w:tcW w:w="4559" w:type="dxa"/>
            <w:vMerge w:val="restart"/>
            <w:tcBorders>
              <w:top w:val="double" w:sz="6" w:space="0" w:color="800000"/>
              <w:left w:val="double" w:sz="6" w:space="0" w:color="800000"/>
              <w:right w:val="dotted" w:sz="6" w:space="0" w:color="auto"/>
            </w:tcBorders>
            <w:shd w:val="clear" w:color="000000" w:fill="800000"/>
            <w:noWrap/>
            <w:vAlign w:val="center"/>
            <w:hideMark/>
          </w:tcPr>
          <w:p w14:paraId="4B9D7187" w14:textId="77777777" w:rsidR="005F17C9" w:rsidRPr="008C3792" w:rsidRDefault="005F17C9" w:rsidP="00654A69">
            <w:pPr>
              <w:jc w:val="center"/>
              <w:rPr>
                <w:b/>
                <w:bCs/>
                <w:sz w:val="20"/>
                <w:szCs w:val="20"/>
              </w:rPr>
            </w:pPr>
            <w:r w:rsidRPr="008C3792">
              <w:rPr>
                <w:b/>
                <w:bCs/>
                <w:sz w:val="20"/>
                <w:szCs w:val="20"/>
              </w:rPr>
              <w:t>ПОКАЗАТЕЛИ</w:t>
            </w:r>
          </w:p>
        </w:tc>
        <w:tc>
          <w:tcPr>
            <w:tcW w:w="1134" w:type="dxa"/>
            <w:tcBorders>
              <w:top w:val="double" w:sz="6" w:space="0" w:color="800000"/>
              <w:left w:val="dotted" w:sz="6" w:space="0" w:color="auto"/>
              <w:right w:val="dotted" w:sz="6" w:space="0" w:color="auto"/>
            </w:tcBorders>
            <w:shd w:val="clear" w:color="000000" w:fill="800000"/>
            <w:vAlign w:val="bottom"/>
            <w:hideMark/>
          </w:tcPr>
          <w:p w14:paraId="7219368F" w14:textId="77777777" w:rsidR="005F17C9" w:rsidRPr="008C3792" w:rsidRDefault="005F17C9" w:rsidP="00654A69">
            <w:pPr>
              <w:jc w:val="center"/>
              <w:rPr>
                <w:b/>
                <w:bCs/>
                <w:sz w:val="20"/>
                <w:szCs w:val="20"/>
              </w:rPr>
            </w:pPr>
            <w:r w:rsidRPr="008C3792">
              <w:rPr>
                <w:b/>
                <w:bCs/>
                <w:sz w:val="20"/>
                <w:szCs w:val="20"/>
              </w:rPr>
              <w:t xml:space="preserve"> Отчет</w:t>
            </w:r>
          </w:p>
        </w:tc>
        <w:tc>
          <w:tcPr>
            <w:tcW w:w="1062" w:type="dxa"/>
            <w:tcBorders>
              <w:top w:val="double" w:sz="6" w:space="0" w:color="800000"/>
              <w:left w:val="dotted" w:sz="6" w:space="0" w:color="auto"/>
              <w:right w:val="dotted" w:sz="6" w:space="0" w:color="auto"/>
            </w:tcBorders>
            <w:shd w:val="clear" w:color="000000" w:fill="800000"/>
            <w:vAlign w:val="bottom"/>
            <w:hideMark/>
          </w:tcPr>
          <w:p w14:paraId="4C4F0914" w14:textId="77777777" w:rsidR="005F17C9" w:rsidRPr="008C3792" w:rsidRDefault="005F17C9" w:rsidP="00654A69">
            <w:pPr>
              <w:jc w:val="center"/>
              <w:rPr>
                <w:b/>
                <w:bCs/>
                <w:sz w:val="20"/>
                <w:szCs w:val="20"/>
              </w:rPr>
            </w:pPr>
            <w:r w:rsidRPr="008C3792">
              <w:rPr>
                <w:b/>
                <w:bCs/>
                <w:sz w:val="20"/>
                <w:szCs w:val="20"/>
              </w:rPr>
              <w:t>Закон</w:t>
            </w:r>
          </w:p>
        </w:tc>
        <w:tc>
          <w:tcPr>
            <w:tcW w:w="1134" w:type="dxa"/>
            <w:tcBorders>
              <w:top w:val="double" w:sz="6" w:space="0" w:color="800000"/>
              <w:left w:val="dotted" w:sz="6" w:space="0" w:color="auto"/>
              <w:right w:val="dotted" w:sz="6" w:space="0" w:color="auto"/>
            </w:tcBorders>
            <w:shd w:val="clear" w:color="000000" w:fill="800000"/>
            <w:vAlign w:val="bottom"/>
            <w:hideMark/>
          </w:tcPr>
          <w:p w14:paraId="0F1C2B4C" w14:textId="77777777" w:rsidR="005F17C9" w:rsidRPr="008C3792" w:rsidRDefault="005F17C9" w:rsidP="00654A69">
            <w:pPr>
              <w:jc w:val="center"/>
              <w:rPr>
                <w:b/>
                <w:bCs/>
                <w:sz w:val="20"/>
                <w:szCs w:val="20"/>
              </w:rPr>
            </w:pPr>
            <w:r w:rsidRPr="008C3792">
              <w:rPr>
                <w:b/>
                <w:bCs/>
                <w:sz w:val="20"/>
                <w:szCs w:val="20"/>
              </w:rPr>
              <w:t xml:space="preserve"> Отчет</w:t>
            </w:r>
          </w:p>
        </w:tc>
        <w:tc>
          <w:tcPr>
            <w:tcW w:w="1348" w:type="dxa"/>
            <w:tcBorders>
              <w:top w:val="double" w:sz="6" w:space="0" w:color="800000"/>
              <w:left w:val="dotted" w:sz="6" w:space="0" w:color="auto"/>
              <w:right w:val="dotted" w:sz="6" w:space="0" w:color="auto"/>
            </w:tcBorders>
            <w:shd w:val="clear" w:color="000000" w:fill="800000"/>
            <w:vAlign w:val="bottom"/>
            <w:hideMark/>
          </w:tcPr>
          <w:p w14:paraId="46B5ACB8" w14:textId="77777777" w:rsidR="005F17C9" w:rsidRPr="008C3792" w:rsidRDefault="005F17C9" w:rsidP="00654A69">
            <w:pPr>
              <w:jc w:val="center"/>
              <w:rPr>
                <w:b/>
                <w:bCs/>
                <w:sz w:val="20"/>
                <w:szCs w:val="20"/>
              </w:rPr>
            </w:pPr>
            <w:r w:rsidRPr="008C3792">
              <w:rPr>
                <w:b/>
                <w:bCs/>
                <w:sz w:val="20"/>
                <w:szCs w:val="20"/>
              </w:rPr>
              <w:t>Изпълнение</w:t>
            </w:r>
          </w:p>
        </w:tc>
        <w:tc>
          <w:tcPr>
            <w:tcW w:w="1253" w:type="dxa"/>
            <w:tcBorders>
              <w:top w:val="double" w:sz="6" w:space="0" w:color="800000"/>
              <w:left w:val="dotted" w:sz="6" w:space="0" w:color="auto"/>
              <w:right w:val="double" w:sz="6" w:space="0" w:color="800000"/>
            </w:tcBorders>
            <w:shd w:val="clear" w:color="000000" w:fill="800000"/>
            <w:vAlign w:val="bottom"/>
            <w:hideMark/>
          </w:tcPr>
          <w:p w14:paraId="42AFEBD4" w14:textId="77777777" w:rsidR="005F17C9" w:rsidRPr="008C3792" w:rsidRDefault="005F17C9" w:rsidP="00654A69">
            <w:pPr>
              <w:jc w:val="center"/>
              <w:rPr>
                <w:b/>
                <w:bCs/>
                <w:sz w:val="20"/>
                <w:szCs w:val="20"/>
              </w:rPr>
            </w:pPr>
            <w:r w:rsidRPr="008C3792">
              <w:rPr>
                <w:b/>
                <w:bCs/>
                <w:sz w:val="20"/>
                <w:szCs w:val="20"/>
              </w:rPr>
              <w:t>Изпълнение</w:t>
            </w:r>
          </w:p>
        </w:tc>
      </w:tr>
      <w:tr w:rsidR="005F17C9" w:rsidRPr="00E56679" w14:paraId="287AB8E6" w14:textId="77777777" w:rsidTr="00654A69">
        <w:trPr>
          <w:trHeight w:val="544"/>
        </w:trPr>
        <w:tc>
          <w:tcPr>
            <w:tcW w:w="4559" w:type="dxa"/>
            <w:vMerge/>
            <w:tcBorders>
              <w:left w:val="double" w:sz="6" w:space="0" w:color="800000"/>
              <w:bottom w:val="outset" w:sz="6" w:space="0" w:color="943634" w:themeColor="accent2" w:themeShade="BF"/>
              <w:right w:val="dotted" w:sz="6" w:space="0" w:color="auto"/>
            </w:tcBorders>
            <w:vAlign w:val="center"/>
            <w:hideMark/>
          </w:tcPr>
          <w:p w14:paraId="2DD9D0AF" w14:textId="77777777" w:rsidR="005F17C9" w:rsidRPr="008C3792" w:rsidRDefault="005F17C9" w:rsidP="00654A69">
            <w:pPr>
              <w:rPr>
                <w:bCs/>
                <w:sz w:val="20"/>
                <w:szCs w:val="20"/>
              </w:rPr>
            </w:pPr>
          </w:p>
        </w:tc>
        <w:tc>
          <w:tcPr>
            <w:tcW w:w="1134" w:type="dxa"/>
            <w:tcBorders>
              <w:left w:val="dotted" w:sz="6" w:space="0" w:color="auto"/>
              <w:bottom w:val="outset" w:sz="6" w:space="0" w:color="943634" w:themeColor="accent2" w:themeShade="BF"/>
              <w:right w:val="dotted" w:sz="6" w:space="0" w:color="auto"/>
            </w:tcBorders>
            <w:shd w:val="clear" w:color="000000" w:fill="800000"/>
            <w:vAlign w:val="bottom"/>
            <w:hideMark/>
          </w:tcPr>
          <w:p w14:paraId="1827A79D" w14:textId="77777777" w:rsidR="005F17C9" w:rsidRPr="008C3792" w:rsidRDefault="005F17C9" w:rsidP="00654A69">
            <w:pPr>
              <w:jc w:val="center"/>
              <w:rPr>
                <w:b/>
                <w:bCs/>
                <w:sz w:val="20"/>
                <w:szCs w:val="20"/>
              </w:rPr>
            </w:pPr>
            <w:r w:rsidRPr="008C3792">
              <w:rPr>
                <w:b/>
                <w:bCs/>
                <w:sz w:val="20"/>
                <w:szCs w:val="20"/>
              </w:rPr>
              <w:t>I-во полугодие</w:t>
            </w:r>
          </w:p>
        </w:tc>
        <w:tc>
          <w:tcPr>
            <w:tcW w:w="1062" w:type="dxa"/>
            <w:tcBorders>
              <w:left w:val="dotted" w:sz="6" w:space="0" w:color="auto"/>
              <w:bottom w:val="outset" w:sz="6" w:space="0" w:color="943634" w:themeColor="accent2" w:themeShade="BF"/>
              <w:right w:val="dotted" w:sz="6" w:space="0" w:color="auto"/>
            </w:tcBorders>
            <w:shd w:val="clear" w:color="000000" w:fill="800000"/>
            <w:vAlign w:val="bottom"/>
            <w:hideMark/>
          </w:tcPr>
          <w:p w14:paraId="4455E3F0" w14:textId="77777777" w:rsidR="005F17C9" w:rsidRPr="008C3792" w:rsidRDefault="005F17C9" w:rsidP="00654A69">
            <w:pPr>
              <w:jc w:val="center"/>
              <w:rPr>
                <w:b/>
                <w:bCs/>
                <w:sz w:val="20"/>
                <w:szCs w:val="20"/>
                <w:lang w:val="en-US"/>
              </w:rPr>
            </w:pPr>
            <w:r w:rsidRPr="008C3792">
              <w:rPr>
                <w:b/>
                <w:bCs/>
                <w:sz w:val="20"/>
                <w:szCs w:val="20"/>
              </w:rPr>
              <w:t>2024 г.</w:t>
            </w:r>
          </w:p>
        </w:tc>
        <w:tc>
          <w:tcPr>
            <w:tcW w:w="1134" w:type="dxa"/>
            <w:tcBorders>
              <w:left w:val="dotted" w:sz="6" w:space="0" w:color="auto"/>
              <w:bottom w:val="outset" w:sz="6" w:space="0" w:color="943634" w:themeColor="accent2" w:themeShade="BF"/>
              <w:right w:val="dotted" w:sz="6" w:space="0" w:color="auto"/>
            </w:tcBorders>
            <w:shd w:val="clear" w:color="000000" w:fill="800000"/>
            <w:vAlign w:val="bottom"/>
            <w:hideMark/>
          </w:tcPr>
          <w:p w14:paraId="2E1646FB" w14:textId="77777777" w:rsidR="005F17C9" w:rsidRPr="008C3792" w:rsidRDefault="005F17C9" w:rsidP="00654A69">
            <w:pPr>
              <w:jc w:val="center"/>
              <w:rPr>
                <w:b/>
                <w:bCs/>
                <w:sz w:val="20"/>
                <w:szCs w:val="20"/>
              </w:rPr>
            </w:pPr>
            <w:r w:rsidRPr="008C3792">
              <w:rPr>
                <w:b/>
                <w:bCs/>
                <w:sz w:val="20"/>
                <w:szCs w:val="20"/>
              </w:rPr>
              <w:t>I-во полугодие</w:t>
            </w:r>
          </w:p>
        </w:tc>
        <w:tc>
          <w:tcPr>
            <w:tcW w:w="1348" w:type="dxa"/>
            <w:tcBorders>
              <w:left w:val="dotted" w:sz="6" w:space="0" w:color="auto"/>
              <w:bottom w:val="outset" w:sz="6" w:space="0" w:color="943634" w:themeColor="accent2" w:themeShade="BF"/>
              <w:right w:val="dotted" w:sz="6" w:space="0" w:color="auto"/>
            </w:tcBorders>
            <w:shd w:val="clear" w:color="000000" w:fill="800000"/>
            <w:vAlign w:val="bottom"/>
            <w:hideMark/>
          </w:tcPr>
          <w:p w14:paraId="27ADC807" w14:textId="77777777" w:rsidR="005F17C9" w:rsidRPr="008C3792" w:rsidRDefault="005F17C9" w:rsidP="00654A69">
            <w:pPr>
              <w:jc w:val="center"/>
              <w:rPr>
                <w:b/>
                <w:bCs/>
                <w:sz w:val="20"/>
                <w:szCs w:val="20"/>
              </w:rPr>
            </w:pPr>
            <w:r w:rsidRPr="008C3792">
              <w:rPr>
                <w:b/>
                <w:bCs/>
                <w:sz w:val="20"/>
                <w:szCs w:val="20"/>
              </w:rPr>
              <w:t>спрямо</w:t>
            </w:r>
          </w:p>
        </w:tc>
        <w:tc>
          <w:tcPr>
            <w:tcW w:w="1253" w:type="dxa"/>
            <w:tcBorders>
              <w:left w:val="dotted" w:sz="6" w:space="0" w:color="auto"/>
              <w:bottom w:val="outset" w:sz="6" w:space="0" w:color="943634" w:themeColor="accent2" w:themeShade="BF"/>
              <w:right w:val="double" w:sz="6" w:space="0" w:color="800000"/>
            </w:tcBorders>
            <w:shd w:val="clear" w:color="000000" w:fill="800000"/>
            <w:vAlign w:val="bottom"/>
            <w:hideMark/>
          </w:tcPr>
          <w:p w14:paraId="50DF7AE6" w14:textId="77777777" w:rsidR="005F17C9" w:rsidRPr="008C3792" w:rsidRDefault="005F17C9" w:rsidP="00654A69">
            <w:pPr>
              <w:jc w:val="center"/>
              <w:rPr>
                <w:b/>
                <w:bCs/>
                <w:sz w:val="20"/>
                <w:szCs w:val="20"/>
              </w:rPr>
            </w:pPr>
            <w:r w:rsidRPr="008C3792">
              <w:rPr>
                <w:b/>
                <w:bCs/>
                <w:sz w:val="20"/>
                <w:szCs w:val="20"/>
              </w:rPr>
              <w:t>спрямо</w:t>
            </w:r>
          </w:p>
        </w:tc>
      </w:tr>
      <w:tr w:rsidR="005F17C9" w:rsidRPr="00E56679" w14:paraId="364B5EEC" w14:textId="77777777" w:rsidTr="00654A69">
        <w:trPr>
          <w:trHeight w:val="540"/>
        </w:trPr>
        <w:tc>
          <w:tcPr>
            <w:tcW w:w="4559" w:type="dxa"/>
            <w:vMerge/>
            <w:tcBorders>
              <w:top w:val="outset" w:sz="6" w:space="0" w:color="943634" w:themeColor="accent2" w:themeShade="BF"/>
              <w:left w:val="double" w:sz="6" w:space="0" w:color="800000"/>
              <w:bottom w:val="double" w:sz="6" w:space="0" w:color="800000"/>
              <w:right w:val="dotted" w:sz="6" w:space="0" w:color="auto"/>
            </w:tcBorders>
            <w:vAlign w:val="center"/>
            <w:hideMark/>
          </w:tcPr>
          <w:p w14:paraId="07142640" w14:textId="77777777" w:rsidR="005F17C9" w:rsidRPr="008C3792" w:rsidRDefault="005F17C9" w:rsidP="00654A69">
            <w:pPr>
              <w:rPr>
                <w:bCs/>
                <w:sz w:val="20"/>
                <w:szCs w:val="20"/>
              </w:rPr>
            </w:pPr>
          </w:p>
        </w:tc>
        <w:tc>
          <w:tcPr>
            <w:tcW w:w="1134" w:type="dxa"/>
            <w:tcBorders>
              <w:top w:val="outset" w:sz="6" w:space="0" w:color="943634" w:themeColor="accent2" w:themeShade="BF"/>
              <w:left w:val="dotted" w:sz="6" w:space="0" w:color="auto"/>
              <w:bottom w:val="double" w:sz="6" w:space="0" w:color="800000"/>
              <w:right w:val="dotted" w:sz="6" w:space="0" w:color="auto"/>
            </w:tcBorders>
            <w:shd w:val="clear" w:color="000000" w:fill="800000"/>
            <w:vAlign w:val="bottom"/>
            <w:hideMark/>
          </w:tcPr>
          <w:p w14:paraId="2B0C1ECC" w14:textId="77777777" w:rsidR="005F17C9" w:rsidRPr="008C3792" w:rsidRDefault="005F17C9" w:rsidP="00654A69">
            <w:pPr>
              <w:jc w:val="center"/>
              <w:rPr>
                <w:b/>
                <w:bCs/>
                <w:sz w:val="20"/>
                <w:szCs w:val="20"/>
              </w:rPr>
            </w:pPr>
            <w:r w:rsidRPr="008C3792">
              <w:rPr>
                <w:b/>
                <w:bCs/>
                <w:sz w:val="20"/>
                <w:szCs w:val="20"/>
              </w:rPr>
              <w:t>2023 г.</w:t>
            </w:r>
          </w:p>
        </w:tc>
        <w:tc>
          <w:tcPr>
            <w:tcW w:w="1062" w:type="dxa"/>
            <w:tcBorders>
              <w:top w:val="outset" w:sz="6" w:space="0" w:color="943634" w:themeColor="accent2" w:themeShade="BF"/>
              <w:left w:val="dotted" w:sz="6" w:space="0" w:color="auto"/>
              <w:bottom w:val="double" w:sz="6" w:space="0" w:color="800000"/>
              <w:right w:val="dotted" w:sz="6" w:space="0" w:color="auto"/>
            </w:tcBorders>
            <w:shd w:val="clear" w:color="000000" w:fill="800000"/>
            <w:vAlign w:val="bottom"/>
            <w:hideMark/>
          </w:tcPr>
          <w:p w14:paraId="0B063EC5" w14:textId="77777777" w:rsidR="005F17C9" w:rsidRPr="008C3792" w:rsidRDefault="005F17C9" w:rsidP="00654A69">
            <w:pPr>
              <w:rPr>
                <w:rFonts w:ascii="Arial" w:hAnsi="Arial" w:cs="Arial"/>
                <w:sz w:val="20"/>
                <w:szCs w:val="20"/>
              </w:rPr>
            </w:pPr>
            <w:r w:rsidRPr="008C3792">
              <w:rPr>
                <w:rFonts w:ascii="Arial" w:hAnsi="Arial" w:cs="Arial"/>
                <w:sz w:val="20"/>
                <w:szCs w:val="20"/>
              </w:rPr>
              <w:t> </w:t>
            </w:r>
          </w:p>
        </w:tc>
        <w:tc>
          <w:tcPr>
            <w:tcW w:w="1134" w:type="dxa"/>
            <w:tcBorders>
              <w:top w:val="outset" w:sz="6" w:space="0" w:color="943634" w:themeColor="accent2" w:themeShade="BF"/>
              <w:left w:val="dotted" w:sz="6" w:space="0" w:color="auto"/>
              <w:bottom w:val="double" w:sz="6" w:space="0" w:color="800000"/>
              <w:right w:val="dotted" w:sz="6" w:space="0" w:color="auto"/>
            </w:tcBorders>
            <w:shd w:val="clear" w:color="000000" w:fill="800000"/>
            <w:vAlign w:val="bottom"/>
            <w:hideMark/>
          </w:tcPr>
          <w:p w14:paraId="09A2CA0F" w14:textId="77777777" w:rsidR="005F17C9" w:rsidRPr="008C3792" w:rsidRDefault="005F17C9" w:rsidP="00654A69">
            <w:pPr>
              <w:jc w:val="center"/>
              <w:rPr>
                <w:b/>
                <w:bCs/>
                <w:sz w:val="20"/>
                <w:szCs w:val="20"/>
              </w:rPr>
            </w:pPr>
            <w:r w:rsidRPr="008C3792">
              <w:rPr>
                <w:b/>
                <w:bCs/>
                <w:sz w:val="20"/>
                <w:szCs w:val="20"/>
              </w:rPr>
              <w:t>2024 г.</w:t>
            </w:r>
          </w:p>
        </w:tc>
        <w:tc>
          <w:tcPr>
            <w:tcW w:w="1348" w:type="dxa"/>
            <w:tcBorders>
              <w:top w:val="outset" w:sz="6" w:space="0" w:color="943634" w:themeColor="accent2" w:themeShade="BF"/>
              <w:left w:val="dotted" w:sz="6" w:space="0" w:color="auto"/>
              <w:bottom w:val="double" w:sz="6" w:space="0" w:color="800000"/>
              <w:right w:val="dotted" w:sz="6" w:space="0" w:color="auto"/>
            </w:tcBorders>
            <w:shd w:val="clear" w:color="000000" w:fill="800000"/>
            <w:vAlign w:val="bottom"/>
            <w:hideMark/>
          </w:tcPr>
          <w:p w14:paraId="452E67A8" w14:textId="77777777" w:rsidR="005F17C9" w:rsidRPr="008C3792" w:rsidRDefault="005F17C9" w:rsidP="00654A69">
            <w:pPr>
              <w:jc w:val="center"/>
              <w:rPr>
                <w:b/>
                <w:bCs/>
                <w:sz w:val="20"/>
                <w:szCs w:val="20"/>
              </w:rPr>
            </w:pPr>
            <w:r w:rsidRPr="008C3792">
              <w:rPr>
                <w:b/>
                <w:bCs/>
                <w:sz w:val="20"/>
                <w:szCs w:val="20"/>
              </w:rPr>
              <w:t xml:space="preserve">2023 г. </w:t>
            </w:r>
          </w:p>
        </w:tc>
        <w:tc>
          <w:tcPr>
            <w:tcW w:w="1253" w:type="dxa"/>
            <w:tcBorders>
              <w:top w:val="outset" w:sz="6" w:space="0" w:color="943634" w:themeColor="accent2" w:themeShade="BF"/>
              <w:left w:val="dotted" w:sz="6" w:space="0" w:color="auto"/>
              <w:bottom w:val="double" w:sz="6" w:space="0" w:color="800000"/>
              <w:right w:val="double" w:sz="6" w:space="0" w:color="800000"/>
            </w:tcBorders>
            <w:shd w:val="clear" w:color="000000" w:fill="800000"/>
            <w:vAlign w:val="bottom"/>
            <w:hideMark/>
          </w:tcPr>
          <w:p w14:paraId="204B7971" w14:textId="77777777" w:rsidR="005F17C9" w:rsidRPr="008C3792" w:rsidRDefault="005F17C9" w:rsidP="00654A69">
            <w:pPr>
              <w:jc w:val="center"/>
              <w:rPr>
                <w:b/>
                <w:bCs/>
                <w:sz w:val="20"/>
                <w:szCs w:val="20"/>
              </w:rPr>
            </w:pPr>
            <w:r w:rsidRPr="008C3792">
              <w:rPr>
                <w:b/>
                <w:bCs/>
                <w:sz w:val="20"/>
                <w:szCs w:val="20"/>
              </w:rPr>
              <w:t>Закон</w:t>
            </w:r>
          </w:p>
          <w:p w14:paraId="0A7E9CA0" w14:textId="77777777" w:rsidR="005F17C9" w:rsidRPr="008C3792" w:rsidRDefault="005F17C9" w:rsidP="00654A69">
            <w:pPr>
              <w:jc w:val="center"/>
              <w:rPr>
                <w:b/>
                <w:bCs/>
                <w:sz w:val="20"/>
                <w:szCs w:val="20"/>
              </w:rPr>
            </w:pPr>
            <w:r w:rsidRPr="008C3792">
              <w:rPr>
                <w:b/>
                <w:bCs/>
                <w:sz w:val="20"/>
                <w:szCs w:val="20"/>
              </w:rPr>
              <w:t xml:space="preserve"> 2024 г. </w:t>
            </w:r>
          </w:p>
        </w:tc>
      </w:tr>
      <w:tr w:rsidR="005F17C9" w:rsidRPr="00E56679" w14:paraId="571E0294" w14:textId="77777777" w:rsidTr="00654A69">
        <w:trPr>
          <w:trHeight w:val="276"/>
        </w:trPr>
        <w:tc>
          <w:tcPr>
            <w:tcW w:w="4559" w:type="dxa"/>
            <w:tcBorders>
              <w:top w:val="double" w:sz="6" w:space="0" w:color="800000"/>
              <w:left w:val="double" w:sz="6" w:space="0" w:color="800000"/>
              <w:bottom w:val="nil"/>
              <w:right w:val="single" w:sz="12" w:space="0" w:color="800000"/>
            </w:tcBorders>
            <w:shd w:val="clear" w:color="000000" w:fill="FFFFCC"/>
            <w:noWrap/>
            <w:vAlign w:val="bottom"/>
            <w:hideMark/>
          </w:tcPr>
          <w:p w14:paraId="04855170" w14:textId="77777777" w:rsidR="005F17C9" w:rsidRPr="008C3792" w:rsidRDefault="005F17C9" w:rsidP="00654A69">
            <w:pPr>
              <w:rPr>
                <w:b/>
                <w:bCs/>
                <w:sz w:val="20"/>
                <w:szCs w:val="20"/>
              </w:rPr>
            </w:pPr>
            <w:r w:rsidRPr="008C3792">
              <w:rPr>
                <w:b/>
                <w:bCs/>
                <w:sz w:val="20"/>
                <w:szCs w:val="20"/>
              </w:rPr>
              <w:t>Приходи</w:t>
            </w:r>
            <w:r w:rsidRPr="008C3792">
              <w:rPr>
                <w:b/>
                <w:bCs/>
                <w:sz w:val="20"/>
                <w:szCs w:val="20"/>
                <w:lang w:val="en-US"/>
              </w:rPr>
              <w:t>,</w:t>
            </w:r>
            <w:r w:rsidRPr="008C3792">
              <w:rPr>
                <w:b/>
                <w:bCs/>
                <w:sz w:val="20"/>
                <w:szCs w:val="20"/>
              </w:rPr>
              <w:t xml:space="preserve"> помощи и дарения</w:t>
            </w:r>
          </w:p>
        </w:tc>
        <w:tc>
          <w:tcPr>
            <w:tcW w:w="1134" w:type="dxa"/>
            <w:tcBorders>
              <w:top w:val="double" w:sz="6" w:space="0" w:color="800000"/>
              <w:left w:val="nil"/>
              <w:bottom w:val="nil"/>
              <w:right w:val="single" w:sz="8" w:space="0" w:color="800000"/>
            </w:tcBorders>
            <w:shd w:val="clear" w:color="000000" w:fill="FFFFCC"/>
            <w:hideMark/>
          </w:tcPr>
          <w:p w14:paraId="0991F707" w14:textId="77777777" w:rsidR="005F17C9" w:rsidRPr="005B6E8F" w:rsidRDefault="005F17C9" w:rsidP="00654A69">
            <w:pPr>
              <w:jc w:val="right"/>
              <w:rPr>
                <w:b/>
                <w:color w:val="4F81BD" w:themeColor="accent1"/>
                <w:sz w:val="20"/>
                <w:szCs w:val="20"/>
              </w:rPr>
            </w:pPr>
            <w:r w:rsidRPr="00B40CA2">
              <w:rPr>
                <w:b/>
                <w:sz w:val="20"/>
                <w:szCs w:val="20"/>
              </w:rPr>
              <w:t>18 349,1</w:t>
            </w:r>
          </w:p>
        </w:tc>
        <w:tc>
          <w:tcPr>
            <w:tcW w:w="1062" w:type="dxa"/>
            <w:tcBorders>
              <w:top w:val="double" w:sz="6" w:space="0" w:color="800000"/>
              <w:left w:val="nil"/>
              <w:bottom w:val="nil"/>
              <w:right w:val="single" w:sz="8" w:space="0" w:color="800000"/>
            </w:tcBorders>
            <w:shd w:val="clear" w:color="000000" w:fill="FFFFCC"/>
          </w:tcPr>
          <w:p w14:paraId="3FBE8A01" w14:textId="77777777" w:rsidR="005F17C9" w:rsidRPr="005B6E8F" w:rsidRDefault="005F17C9" w:rsidP="00654A69">
            <w:pPr>
              <w:jc w:val="right"/>
              <w:rPr>
                <w:b/>
                <w:color w:val="4F81BD" w:themeColor="accent1"/>
                <w:sz w:val="20"/>
                <w:szCs w:val="20"/>
              </w:rPr>
            </w:pPr>
            <w:r w:rsidRPr="00B40CA2">
              <w:rPr>
                <w:b/>
                <w:sz w:val="20"/>
                <w:szCs w:val="20"/>
              </w:rPr>
              <w:t>43 406,5</w:t>
            </w:r>
          </w:p>
        </w:tc>
        <w:tc>
          <w:tcPr>
            <w:tcW w:w="1134" w:type="dxa"/>
            <w:tcBorders>
              <w:top w:val="double" w:sz="6" w:space="0" w:color="800000"/>
              <w:left w:val="nil"/>
              <w:bottom w:val="nil"/>
              <w:right w:val="single" w:sz="8" w:space="0" w:color="800000"/>
            </w:tcBorders>
            <w:shd w:val="clear" w:color="000000" w:fill="FFFFCC"/>
          </w:tcPr>
          <w:p w14:paraId="0BC126A0" w14:textId="77777777" w:rsidR="005F17C9" w:rsidRPr="00B40CA2" w:rsidRDefault="005F17C9" w:rsidP="00654A69">
            <w:pPr>
              <w:jc w:val="right"/>
              <w:rPr>
                <w:b/>
                <w:sz w:val="20"/>
                <w:szCs w:val="20"/>
              </w:rPr>
            </w:pPr>
            <w:r w:rsidRPr="00B40CA2">
              <w:rPr>
                <w:b/>
                <w:sz w:val="20"/>
                <w:szCs w:val="20"/>
              </w:rPr>
              <w:t>20 375,8</w:t>
            </w:r>
          </w:p>
        </w:tc>
        <w:tc>
          <w:tcPr>
            <w:tcW w:w="1348" w:type="dxa"/>
            <w:tcBorders>
              <w:top w:val="double" w:sz="6" w:space="0" w:color="800000"/>
              <w:left w:val="nil"/>
              <w:bottom w:val="nil"/>
              <w:right w:val="nil"/>
            </w:tcBorders>
            <w:shd w:val="clear" w:color="000000" w:fill="FFFFCC"/>
            <w:noWrap/>
          </w:tcPr>
          <w:p w14:paraId="0BF38EF0" w14:textId="77777777" w:rsidR="005F17C9" w:rsidRPr="00B40CA2" w:rsidRDefault="005F17C9" w:rsidP="00654A69">
            <w:pPr>
              <w:jc w:val="right"/>
              <w:rPr>
                <w:b/>
                <w:sz w:val="20"/>
                <w:szCs w:val="20"/>
              </w:rPr>
            </w:pPr>
            <w:r w:rsidRPr="00B40CA2">
              <w:rPr>
                <w:b/>
                <w:sz w:val="20"/>
                <w:szCs w:val="20"/>
              </w:rPr>
              <w:t>111,0%</w:t>
            </w:r>
          </w:p>
        </w:tc>
        <w:tc>
          <w:tcPr>
            <w:tcW w:w="1253" w:type="dxa"/>
            <w:tcBorders>
              <w:top w:val="double" w:sz="6" w:space="0" w:color="800000"/>
              <w:left w:val="single" w:sz="8" w:space="0" w:color="800000"/>
              <w:bottom w:val="nil"/>
              <w:right w:val="double" w:sz="6" w:space="0" w:color="800000"/>
            </w:tcBorders>
            <w:shd w:val="clear" w:color="000000" w:fill="FFFFCC"/>
            <w:noWrap/>
          </w:tcPr>
          <w:p w14:paraId="19BF3341" w14:textId="77777777" w:rsidR="005F17C9" w:rsidRPr="00B40CA2" w:rsidRDefault="005F17C9" w:rsidP="00654A69">
            <w:pPr>
              <w:jc w:val="right"/>
              <w:rPr>
                <w:b/>
                <w:sz w:val="20"/>
                <w:szCs w:val="20"/>
              </w:rPr>
            </w:pPr>
            <w:r w:rsidRPr="00B40CA2">
              <w:rPr>
                <w:b/>
                <w:sz w:val="20"/>
                <w:szCs w:val="20"/>
              </w:rPr>
              <w:t>46,9%</w:t>
            </w:r>
          </w:p>
        </w:tc>
      </w:tr>
      <w:tr w:rsidR="005F17C9" w:rsidRPr="00E56679" w14:paraId="06073188" w14:textId="77777777" w:rsidTr="00654A69">
        <w:trPr>
          <w:trHeight w:val="264"/>
        </w:trPr>
        <w:tc>
          <w:tcPr>
            <w:tcW w:w="4559" w:type="dxa"/>
            <w:tcBorders>
              <w:top w:val="nil"/>
              <w:left w:val="double" w:sz="6" w:space="0" w:color="800000"/>
              <w:bottom w:val="nil"/>
              <w:right w:val="single" w:sz="12" w:space="0" w:color="800000"/>
            </w:tcBorders>
            <w:shd w:val="clear" w:color="000000" w:fill="FFFFCC"/>
            <w:noWrap/>
            <w:vAlign w:val="bottom"/>
            <w:hideMark/>
          </w:tcPr>
          <w:p w14:paraId="3555C9EC" w14:textId="77777777" w:rsidR="005F17C9" w:rsidRPr="008C3792" w:rsidRDefault="005F17C9" w:rsidP="00654A69">
            <w:pPr>
              <w:rPr>
                <w:sz w:val="20"/>
                <w:szCs w:val="20"/>
              </w:rPr>
            </w:pPr>
            <w:r w:rsidRPr="008C3792">
              <w:rPr>
                <w:sz w:val="20"/>
                <w:szCs w:val="20"/>
              </w:rPr>
              <w:t xml:space="preserve">   -</w:t>
            </w:r>
            <w:r w:rsidRPr="00D638FF">
              <w:rPr>
                <w:i/>
                <w:sz w:val="20"/>
                <w:szCs w:val="20"/>
              </w:rPr>
              <w:t>Данъчни приходи</w:t>
            </w:r>
          </w:p>
        </w:tc>
        <w:tc>
          <w:tcPr>
            <w:tcW w:w="1134" w:type="dxa"/>
            <w:tcBorders>
              <w:top w:val="nil"/>
              <w:left w:val="nil"/>
              <w:bottom w:val="nil"/>
              <w:right w:val="single" w:sz="8" w:space="0" w:color="800000"/>
            </w:tcBorders>
            <w:shd w:val="clear" w:color="000000" w:fill="FFFFCC"/>
            <w:hideMark/>
          </w:tcPr>
          <w:p w14:paraId="37303AA0" w14:textId="77777777" w:rsidR="005F17C9" w:rsidRPr="009A47B6" w:rsidRDefault="005F17C9" w:rsidP="00654A69">
            <w:pPr>
              <w:jc w:val="right"/>
              <w:rPr>
                <w:sz w:val="20"/>
                <w:szCs w:val="20"/>
              </w:rPr>
            </w:pPr>
            <w:r w:rsidRPr="009A47B6">
              <w:rPr>
                <w:sz w:val="20"/>
                <w:szCs w:val="20"/>
              </w:rPr>
              <w:t>15 612,0</w:t>
            </w:r>
          </w:p>
        </w:tc>
        <w:tc>
          <w:tcPr>
            <w:tcW w:w="1062" w:type="dxa"/>
            <w:tcBorders>
              <w:top w:val="nil"/>
              <w:left w:val="nil"/>
              <w:bottom w:val="nil"/>
              <w:right w:val="single" w:sz="8" w:space="0" w:color="800000"/>
            </w:tcBorders>
            <w:shd w:val="clear" w:color="000000" w:fill="FFFFCC"/>
          </w:tcPr>
          <w:p w14:paraId="5045E870" w14:textId="77777777" w:rsidR="005F17C9" w:rsidRPr="009A47B6" w:rsidRDefault="005F17C9" w:rsidP="00654A69">
            <w:pPr>
              <w:jc w:val="right"/>
              <w:rPr>
                <w:sz w:val="20"/>
                <w:szCs w:val="20"/>
              </w:rPr>
            </w:pPr>
            <w:r w:rsidRPr="009A47B6">
              <w:rPr>
                <w:sz w:val="20"/>
                <w:szCs w:val="20"/>
              </w:rPr>
              <w:t>38 616,0</w:t>
            </w:r>
          </w:p>
        </w:tc>
        <w:tc>
          <w:tcPr>
            <w:tcW w:w="1134" w:type="dxa"/>
            <w:tcBorders>
              <w:top w:val="nil"/>
              <w:left w:val="nil"/>
              <w:bottom w:val="nil"/>
              <w:right w:val="single" w:sz="8" w:space="0" w:color="800000"/>
            </w:tcBorders>
            <w:shd w:val="clear" w:color="000000" w:fill="FFFFCC"/>
          </w:tcPr>
          <w:p w14:paraId="24F2E223" w14:textId="77777777" w:rsidR="005F17C9" w:rsidRPr="009A47B6" w:rsidRDefault="005F17C9" w:rsidP="00654A69">
            <w:pPr>
              <w:jc w:val="right"/>
              <w:rPr>
                <w:sz w:val="20"/>
                <w:szCs w:val="20"/>
              </w:rPr>
            </w:pPr>
            <w:r w:rsidRPr="009A47B6">
              <w:rPr>
                <w:sz w:val="20"/>
                <w:szCs w:val="20"/>
              </w:rPr>
              <w:t>17 354,3</w:t>
            </w:r>
          </w:p>
        </w:tc>
        <w:tc>
          <w:tcPr>
            <w:tcW w:w="1348" w:type="dxa"/>
            <w:tcBorders>
              <w:top w:val="nil"/>
              <w:left w:val="nil"/>
              <w:bottom w:val="nil"/>
              <w:right w:val="single" w:sz="8" w:space="0" w:color="800000"/>
            </w:tcBorders>
            <w:shd w:val="clear" w:color="000000" w:fill="FFFFCC"/>
            <w:noWrap/>
          </w:tcPr>
          <w:p w14:paraId="14DA1D34" w14:textId="77777777" w:rsidR="005F17C9" w:rsidRPr="009A47B6" w:rsidRDefault="005F17C9" w:rsidP="00654A69">
            <w:pPr>
              <w:jc w:val="right"/>
              <w:rPr>
                <w:sz w:val="20"/>
                <w:szCs w:val="20"/>
              </w:rPr>
            </w:pPr>
            <w:r w:rsidRPr="009A47B6">
              <w:rPr>
                <w:sz w:val="20"/>
                <w:szCs w:val="20"/>
              </w:rPr>
              <w:t>111,2%</w:t>
            </w:r>
          </w:p>
        </w:tc>
        <w:tc>
          <w:tcPr>
            <w:tcW w:w="1253" w:type="dxa"/>
            <w:tcBorders>
              <w:top w:val="nil"/>
              <w:left w:val="nil"/>
              <w:bottom w:val="nil"/>
              <w:right w:val="double" w:sz="6" w:space="0" w:color="800000"/>
            </w:tcBorders>
            <w:shd w:val="clear" w:color="000000" w:fill="FFFFCC"/>
            <w:noWrap/>
          </w:tcPr>
          <w:p w14:paraId="0E9F081E" w14:textId="77777777" w:rsidR="005F17C9" w:rsidRPr="009A47B6" w:rsidRDefault="005F17C9" w:rsidP="00654A69">
            <w:pPr>
              <w:jc w:val="right"/>
              <w:rPr>
                <w:sz w:val="20"/>
                <w:szCs w:val="20"/>
              </w:rPr>
            </w:pPr>
            <w:r w:rsidRPr="009A47B6">
              <w:rPr>
                <w:sz w:val="20"/>
                <w:szCs w:val="20"/>
              </w:rPr>
              <w:t>44,9%</w:t>
            </w:r>
          </w:p>
        </w:tc>
      </w:tr>
      <w:tr w:rsidR="005F17C9" w:rsidRPr="00E56679" w14:paraId="36E100B9" w14:textId="77777777" w:rsidTr="00654A69">
        <w:trPr>
          <w:trHeight w:val="264"/>
        </w:trPr>
        <w:tc>
          <w:tcPr>
            <w:tcW w:w="4559" w:type="dxa"/>
            <w:tcBorders>
              <w:top w:val="nil"/>
              <w:left w:val="double" w:sz="6" w:space="0" w:color="800000"/>
              <w:bottom w:val="nil"/>
              <w:right w:val="single" w:sz="12" w:space="0" w:color="800000"/>
            </w:tcBorders>
            <w:shd w:val="clear" w:color="000000" w:fill="FFFFCC"/>
            <w:noWrap/>
            <w:vAlign w:val="bottom"/>
            <w:hideMark/>
          </w:tcPr>
          <w:p w14:paraId="5D03DE95" w14:textId="77777777" w:rsidR="005F17C9" w:rsidRPr="008C3792" w:rsidRDefault="005F17C9" w:rsidP="00654A69">
            <w:pPr>
              <w:rPr>
                <w:sz w:val="20"/>
                <w:szCs w:val="20"/>
              </w:rPr>
            </w:pPr>
            <w:r w:rsidRPr="008C3792">
              <w:rPr>
                <w:sz w:val="20"/>
                <w:szCs w:val="20"/>
              </w:rPr>
              <w:t xml:space="preserve">       Преки</w:t>
            </w:r>
          </w:p>
        </w:tc>
        <w:tc>
          <w:tcPr>
            <w:tcW w:w="1134" w:type="dxa"/>
            <w:tcBorders>
              <w:top w:val="nil"/>
              <w:left w:val="nil"/>
              <w:bottom w:val="nil"/>
              <w:right w:val="single" w:sz="8" w:space="0" w:color="800000"/>
            </w:tcBorders>
            <w:shd w:val="clear" w:color="000000" w:fill="FFFFCC"/>
          </w:tcPr>
          <w:p w14:paraId="787EF276" w14:textId="77777777" w:rsidR="005F17C9" w:rsidRPr="00B40CA2" w:rsidRDefault="005F17C9" w:rsidP="00654A69">
            <w:pPr>
              <w:jc w:val="right"/>
              <w:rPr>
                <w:sz w:val="20"/>
                <w:szCs w:val="20"/>
              </w:rPr>
            </w:pPr>
            <w:r w:rsidRPr="00B40CA2">
              <w:rPr>
                <w:sz w:val="20"/>
                <w:szCs w:val="20"/>
              </w:rPr>
              <w:t>4 939,7</w:t>
            </w:r>
          </w:p>
        </w:tc>
        <w:tc>
          <w:tcPr>
            <w:tcW w:w="1062" w:type="dxa"/>
            <w:tcBorders>
              <w:top w:val="nil"/>
              <w:left w:val="nil"/>
              <w:bottom w:val="nil"/>
              <w:right w:val="single" w:sz="8" w:space="0" w:color="800000"/>
            </w:tcBorders>
            <w:shd w:val="clear" w:color="000000" w:fill="FFFFCC"/>
          </w:tcPr>
          <w:p w14:paraId="39288E21" w14:textId="77777777" w:rsidR="005F17C9" w:rsidRPr="00B40CA2" w:rsidRDefault="005F17C9" w:rsidP="00654A69">
            <w:pPr>
              <w:jc w:val="right"/>
              <w:rPr>
                <w:sz w:val="20"/>
                <w:szCs w:val="20"/>
              </w:rPr>
            </w:pPr>
            <w:r w:rsidRPr="00B40CA2">
              <w:rPr>
                <w:sz w:val="20"/>
                <w:szCs w:val="20"/>
              </w:rPr>
              <w:t>12 835,0</w:t>
            </w:r>
          </w:p>
        </w:tc>
        <w:tc>
          <w:tcPr>
            <w:tcW w:w="1134" w:type="dxa"/>
            <w:tcBorders>
              <w:top w:val="nil"/>
              <w:left w:val="nil"/>
              <w:bottom w:val="nil"/>
              <w:right w:val="single" w:sz="8" w:space="0" w:color="800000"/>
            </w:tcBorders>
            <w:shd w:val="clear" w:color="000000" w:fill="FFFFCC"/>
          </w:tcPr>
          <w:p w14:paraId="63E16C2A" w14:textId="77777777" w:rsidR="005F17C9" w:rsidRPr="00B40CA2" w:rsidRDefault="005F17C9" w:rsidP="00654A69">
            <w:pPr>
              <w:jc w:val="right"/>
              <w:rPr>
                <w:sz w:val="20"/>
                <w:szCs w:val="20"/>
              </w:rPr>
            </w:pPr>
            <w:r w:rsidRPr="00B40CA2">
              <w:rPr>
                <w:sz w:val="20"/>
                <w:szCs w:val="20"/>
              </w:rPr>
              <w:t>5 411,0</w:t>
            </w:r>
          </w:p>
        </w:tc>
        <w:tc>
          <w:tcPr>
            <w:tcW w:w="1348" w:type="dxa"/>
            <w:tcBorders>
              <w:top w:val="nil"/>
              <w:left w:val="nil"/>
              <w:bottom w:val="nil"/>
              <w:right w:val="single" w:sz="8" w:space="0" w:color="800000"/>
            </w:tcBorders>
            <w:shd w:val="clear" w:color="000000" w:fill="FFFFCC"/>
            <w:noWrap/>
          </w:tcPr>
          <w:p w14:paraId="59FF81D7" w14:textId="77777777" w:rsidR="005F17C9" w:rsidRPr="00B40CA2" w:rsidRDefault="005F17C9" w:rsidP="00654A69">
            <w:pPr>
              <w:jc w:val="right"/>
              <w:rPr>
                <w:sz w:val="20"/>
                <w:szCs w:val="20"/>
              </w:rPr>
            </w:pPr>
            <w:r w:rsidRPr="00B40CA2">
              <w:rPr>
                <w:sz w:val="20"/>
                <w:szCs w:val="20"/>
              </w:rPr>
              <w:t>109,5%</w:t>
            </w:r>
          </w:p>
        </w:tc>
        <w:tc>
          <w:tcPr>
            <w:tcW w:w="1253" w:type="dxa"/>
            <w:tcBorders>
              <w:top w:val="nil"/>
              <w:left w:val="nil"/>
              <w:bottom w:val="nil"/>
              <w:right w:val="double" w:sz="6" w:space="0" w:color="800000"/>
            </w:tcBorders>
            <w:shd w:val="clear" w:color="000000" w:fill="FFFFCC"/>
            <w:noWrap/>
          </w:tcPr>
          <w:p w14:paraId="3A24F53D" w14:textId="77777777" w:rsidR="005F17C9" w:rsidRPr="00B40CA2" w:rsidRDefault="005F17C9" w:rsidP="00654A69">
            <w:pPr>
              <w:jc w:val="right"/>
              <w:rPr>
                <w:sz w:val="20"/>
                <w:szCs w:val="20"/>
              </w:rPr>
            </w:pPr>
            <w:r w:rsidRPr="00B40CA2">
              <w:rPr>
                <w:sz w:val="20"/>
                <w:szCs w:val="20"/>
              </w:rPr>
              <w:t>42,2%</w:t>
            </w:r>
          </w:p>
        </w:tc>
      </w:tr>
      <w:tr w:rsidR="005F17C9" w:rsidRPr="00E56679" w14:paraId="07818183" w14:textId="77777777" w:rsidTr="00654A69">
        <w:trPr>
          <w:trHeight w:val="264"/>
        </w:trPr>
        <w:tc>
          <w:tcPr>
            <w:tcW w:w="4559" w:type="dxa"/>
            <w:tcBorders>
              <w:top w:val="nil"/>
              <w:left w:val="double" w:sz="6" w:space="0" w:color="800000"/>
              <w:bottom w:val="nil"/>
              <w:right w:val="single" w:sz="12" w:space="0" w:color="800000"/>
            </w:tcBorders>
            <w:shd w:val="clear" w:color="000000" w:fill="FFFFCC"/>
            <w:noWrap/>
            <w:vAlign w:val="bottom"/>
            <w:hideMark/>
          </w:tcPr>
          <w:p w14:paraId="70E591B2" w14:textId="77777777" w:rsidR="005F17C9" w:rsidRPr="008C3792" w:rsidRDefault="005F17C9" w:rsidP="00654A69">
            <w:pPr>
              <w:rPr>
                <w:sz w:val="20"/>
                <w:szCs w:val="20"/>
              </w:rPr>
            </w:pPr>
            <w:r w:rsidRPr="008C3792">
              <w:rPr>
                <w:sz w:val="20"/>
                <w:szCs w:val="20"/>
              </w:rPr>
              <w:t xml:space="preserve">       Косвени</w:t>
            </w:r>
          </w:p>
        </w:tc>
        <w:tc>
          <w:tcPr>
            <w:tcW w:w="1134" w:type="dxa"/>
            <w:tcBorders>
              <w:top w:val="nil"/>
              <w:left w:val="nil"/>
              <w:bottom w:val="nil"/>
              <w:right w:val="single" w:sz="8" w:space="0" w:color="800000"/>
            </w:tcBorders>
            <w:shd w:val="clear" w:color="000000" w:fill="FFFFCC"/>
          </w:tcPr>
          <w:p w14:paraId="3213475C" w14:textId="77777777" w:rsidR="005F17C9" w:rsidRPr="00B40CA2" w:rsidRDefault="005F17C9" w:rsidP="00654A69">
            <w:pPr>
              <w:jc w:val="right"/>
              <w:rPr>
                <w:sz w:val="20"/>
                <w:szCs w:val="20"/>
              </w:rPr>
            </w:pPr>
            <w:r w:rsidRPr="00B40CA2">
              <w:rPr>
                <w:sz w:val="20"/>
                <w:szCs w:val="20"/>
              </w:rPr>
              <w:t>10 454,4</w:t>
            </w:r>
          </w:p>
        </w:tc>
        <w:tc>
          <w:tcPr>
            <w:tcW w:w="1062" w:type="dxa"/>
            <w:tcBorders>
              <w:top w:val="nil"/>
              <w:left w:val="nil"/>
              <w:bottom w:val="nil"/>
              <w:right w:val="single" w:sz="8" w:space="0" w:color="800000"/>
            </w:tcBorders>
            <w:shd w:val="clear" w:color="000000" w:fill="FFFFCC"/>
          </w:tcPr>
          <w:p w14:paraId="28A56B44" w14:textId="77777777" w:rsidR="005F17C9" w:rsidRPr="00B40CA2" w:rsidRDefault="005F17C9" w:rsidP="00654A69">
            <w:pPr>
              <w:jc w:val="right"/>
              <w:rPr>
                <w:sz w:val="20"/>
                <w:szCs w:val="20"/>
              </w:rPr>
            </w:pPr>
            <w:r w:rsidRPr="00B40CA2">
              <w:rPr>
                <w:sz w:val="20"/>
                <w:szCs w:val="20"/>
              </w:rPr>
              <w:t>25 504,1</w:t>
            </w:r>
          </w:p>
        </w:tc>
        <w:tc>
          <w:tcPr>
            <w:tcW w:w="1134" w:type="dxa"/>
            <w:tcBorders>
              <w:top w:val="nil"/>
              <w:left w:val="nil"/>
              <w:bottom w:val="nil"/>
              <w:right w:val="single" w:sz="8" w:space="0" w:color="800000"/>
            </w:tcBorders>
            <w:shd w:val="clear" w:color="000000" w:fill="FFFFCC"/>
          </w:tcPr>
          <w:p w14:paraId="6D10D72F" w14:textId="77777777" w:rsidR="005F17C9" w:rsidRPr="00B40CA2" w:rsidRDefault="005F17C9" w:rsidP="00654A69">
            <w:pPr>
              <w:jc w:val="right"/>
              <w:rPr>
                <w:sz w:val="20"/>
                <w:szCs w:val="20"/>
              </w:rPr>
            </w:pPr>
            <w:r w:rsidRPr="00B40CA2">
              <w:rPr>
                <w:sz w:val="20"/>
                <w:szCs w:val="20"/>
              </w:rPr>
              <w:t>11 810,8</w:t>
            </w:r>
          </w:p>
        </w:tc>
        <w:tc>
          <w:tcPr>
            <w:tcW w:w="1348" w:type="dxa"/>
            <w:tcBorders>
              <w:top w:val="nil"/>
              <w:left w:val="nil"/>
              <w:bottom w:val="nil"/>
              <w:right w:val="single" w:sz="8" w:space="0" w:color="800000"/>
            </w:tcBorders>
            <w:shd w:val="clear" w:color="000000" w:fill="FFFFCC"/>
            <w:noWrap/>
          </w:tcPr>
          <w:p w14:paraId="3A1C0ADA" w14:textId="77777777" w:rsidR="005F17C9" w:rsidRPr="00B40CA2" w:rsidRDefault="005F17C9" w:rsidP="00654A69">
            <w:pPr>
              <w:jc w:val="right"/>
              <w:rPr>
                <w:sz w:val="20"/>
                <w:szCs w:val="20"/>
              </w:rPr>
            </w:pPr>
            <w:r w:rsidRPr="00B40CA2">
              <w:rPr>
                <w:sz w:val="20"/>
                <w:szCs w:val="20"/>
              </w:rPr>
              <w:t>113,0%</w:t>
            </w:r>
          </w:p>
        </w:tc>
        <w:tc>
          <w:tcPr>
            <w:tcW w:w="1253" w:type="dxa"/>
            <w:tcBorders>
              <w:top w:val="nil"/>
              <w:left w:val="nil"/>
              <w:bottom w:val="nil"/>
              <w:right w:val="double" w:sz="6" w:space="0" w:color="800000"/>
            </w:tcBorders>
            <w:shd w:val="clear" w:color="000000" w:fill="FFFFCC"/>
            <w:noWrap/>
          </w:tcPr>
          <w:p w14:paraId="60D932DF" w14:textId="77777777" w:rsidR="005F17C9" w:rsidRPr="00B40CA2" w:rsidRDefault="005F17C9" w:rsidP="00654A69">
            <w:pPr>
              <w:jc w:val="right"/>
              <w:rPr>
                <w:sz w:val="20"/>
                <w:szCs w:val="20"/>
              </w:rPr>
            </w:pPr>
            <w:r w:rsidRPr="00B40CA2">
              <w:rPr>
                <w:sz w:val="20"/>
                <w:szCs w:val="20"/>
              </w:rPr>
              <w:t>46,3%</w:t>
            </w:r>
          </w:p>
        </w:tc>
      </w:tr>
      <w:tr w:rsidR="005F17C9" w:rsidRPr="00E56679" w14:paraId="00797965" w14:textId="77777777" w:rsidTr="00654A69">
        <w:trPr>
          <w:trHeight w:val="264"/>
        </w:trPr>
        <w:tc>
          <w:tcPr>
            <w:tcW w:w="4559" w:type="dxa"/>
            <w:tcBorders>
              <w:top w:val="nil"/>
              <w:left w:val="double" w:sz="6" w:space="0" w:color="800000"/>
              <w:bottom w:val="nil"/>
              <w:right w:val="single" w:sz="12" w:space="0" w:color="800000"/>
            </w:tcBorders>
            <w:shd w:val="clear" w:color="000000" w:fill="FFFFCC"/>
            <w:noWrap/>
            <w:vAlign w:val="bottom"/>
            <w:hideMark/>
          </w:tcPr>
          <w:p w14:paraId="0E5232AB" w14:textId="77777777" w:rsidR="005F17C9" w:rsidRPr="008C3792" w:rsidRDefault="005F17C9" w:rsidP="00654A69">
            <w:pPr>
              <w:rPr>
                <w:sz w:val="20"/>
                <w:szCs w:val="20"/>
              </w:rPr>
            </w:pPr>
            <w:r w:rsidRPr="008C3792">
              <w:rPr>
                <w:sz w:val="20"/>
                <w:szCs w:val="20"/>
              </w:rPr>
              <w:t xml:space="preserve">       Други данъци</w:t>
            </w:r>
          </w:p>
        </w:tc>
        <w:tc>
          <w:tcPr>
            <w:tcW w:w="1134" w:type="dxa"/>
            <w:tcBorders>
              <w:top w:val="nil"/>
              <w:left w:val="nil"/>
              <w:bottom w:val="nil"/>
              <w:right w:val="single" w:sz="8" w:space="0" w:color="800000"/>
            </w:tcBorders>
            <w:shd w:val="clear" w:color="000000" w:fill="FFFFCC"/>
          </w:tcPr>
          <w:p w14:paraId="026E86D1" w14:textId="77777777" w:rsidR="005F17C9" w:rsidRPr="00B40CA2" w:rsidRDefault="005F17C9" w:rsidP="00654A69">
            <w:pPr>
              <w:jc w:val="right"/>
              <w:rPr>
                <w:sz w:val="20"/>
                <w:szCs w:val="20"/>
              </w:rPr>
            </w:pPr>
            <w:r w:rsidRPr="00B40CA2">
              <w:rPr>
                <w:sz w:val="20"/>
                <w:szCs w:val="20"/>
              </w:rPr>
              <w:t>217,8</w:t>
            </w:r>
          </w:p>
        </w:tc>
        <w:tc>
          <w:tcPr>
            <w:tcW w:w="1062" w:type="dxa"/>
            <w:tcBorders>
              <w:top w:val="nil"/>
              <w:left w:val="nil"/>
              <w:bottom w:val="nil"/>
              <w:right w:val="single" w:sz="8" w:space="0" w:color="800000"/>
            </w:tcBorders>
            <w:shd w:val="clear" w:color="000000" w:fill="FFFFCC"/>
          </w:tcPr>
          <w:p w14:paraId="6536B858" w14:textId="77777777" w:rsidR="005F17C9" w:rsidRPr="00B40CA2" w:rsidRDefault="005F17C9" w:rsidP="00654A69">
            <w:pPr>
              <w:jc w:val="right"/>
              <w:rPr>
                <w:sz w:val="20"/>
                <w:szCs w:val="20"/>
              </w:rPr>
            </w:pPr>
            <w:r w:rsidRPr="00B40CA2">
              <w:rPr>
                <w:sz w:val="20"/>
                <w:szCs w:val="20"/>
              </w:rPr>
              <w:t>276,9</w:t>
            </w:r>
          </w:p>
        </w:tc>
        <w:tc>
          <w:tcPr>
            <w:tcW w:w="1134" w:type="dxa"/>
            <w:tcBorders>
              <w:top w:val="nil"/>
              <w:left w:val="nil"/>
              <w:bottom w:val="nil"/>
              <w:right w:val="single" w:sz="8" w:space="0" w:color="800000"/>
            </w:tcBorders>
            <w:shd w:val="clear" w:color="000000" w:fill="FFFFCC"/>
          </w:tcPr>
          <w:p w14:paraId="7F4AFF8E" w14:textId="77777777" w:rsidR="005F17C9" w:rsidRPr="00B40CA2" w:rsidRDefault="005F17C9" w:rsidP="00654A69">
            <w:pPr>
              <w:jc w:val="right"/>
              <w:rPr>
                <w:sz w:val="20"/>
                <w:szCs w:val="20"/>
              </w:rPr>
            </w:pPr>
            <w:r w:rsidRPr="00B40CA2">
              <w:rPr>
                <w:sz w:val="20"/>
                <w:szCs w:val="20"/>
              </w:rPr>
              <w:t>132,5</w:t>
            </w:r>
          </w:p>
        </w:tc>
        <w:tc>
          <w:tcPr>
            <w:tcW w:w="1348" w:type="dxa"/>
            <w:tcBorders>
              <w:top w:val="nil"/>
              <w:left w:val="nil"/>
              <w:bottom w:val="nil"/>
              <w:right w:val="single" w:sz="8" w:space="0" w:color="800000"/>
            </w:tcBorders>
            <w:shd w:val="clear" w:color="000000" w:fill="FFFFCC"/>
            <w:noWrap/>
          </w:tcPr>
          <w:p w14:paraId="7B3AD787" w14:textId="77777777" w:rsidR="005F17C9" w:rsidRPr="00B40CA2" w:rsidRDefault="005F17C9" w:rsidP="00654A69">
            <w:pPr>
              <w:jc w:val="right"/>
              <w:rPr>
                <w:sz w:val="20"/>
                <w:szCs w:val="20"/>
              </w:rPr>
            </w:pPr>
            <w:r w:rsidRPr="00B40CA2">
              <w:rPr>
                <w:sz w:val="20"/>
                <w:szCs w:val="20"/>
              </w:rPr>
              <w:t>60,8%</w:t>
            </w:r>
          </w:p>
        </w:tc>
        <w:tc>
          <w:tcPr>
            <w:tcW w:w="1253" w:type="dxa"/>
            <w:tcBorders>
              <w:top w:val="nil"/>
              <w:left w:val="nil"/>
              <w:bottom w:val="nil"/>
              <w:right w:val="double" w:sz="6" w:space="0" w:color="800000"/>
            </w:tcBorders>
            <w:shd w:val="clear" w:color="000000" w:fill="FFFFCC"/>
            <w:noWrap/>
          </w:tcPr>
          <w:p w14:paraId="1B6B5A72" w14:textId="77777777" w:rsidR="005F17C9" w:rsidRPr="00B40CA2" w:rsidRDefault="005F17C9" w:rsidP="00654A69">
            <w:pPr>
              <w:jc w:val="right"/>
              <w:rPr>
                <w:sz w:val="20"/>
                <w:szCs w:val="20"/>
              </w:rPr>
            </w:pPr>
            <w:r w:rsidRPr="00B40CA2">
              <w:rPr>
                <w:sz w:val="20"/>
                <w:szCs w:val="20"/>
              </w:rPr>
              <w:t>47,8%</w:t>
            </w:r>
          </w:p>
        </w:tc>
      </w:tr>
      <w:tr w:rsidR="005F17C9" w:rsidRPr="00E56679" w14:paraId="614D8D32" w14:textId="77777777" w:rsidTr="00654A69">
        <w:trPr>
          <w:trHeight w:val="264"/>
        </w:trPr>
        <w:tc>
          <w:tcPr>
            <w:tcW w:w="4559" w:type="dxa"/>
            <w:tcBorders>
              <w:top w:val="nil"/>
              <w:left w:val="double" w:sz="6" w:space="0" w:color="800000"/>
              <w:bottom w:val="nil"/>
              <w:right w:val="single" w:sz="12" w:space="0" w:color="800000"/>
            </w:tcBorders>
            <w:shd w:val="clear" w:color="000000" w:fill="FFFFCC"/>
            <w:noWrap/>
            <w:vAlign w:val="bottom"/>
            <w:hideMark/>
          </w:tcPr>
          <w:p w14:paraId="4F32D116" w14:textId="77777777" w:rsidR="005F17C9" w:rsidRPr="008C3792" w:rsidRDefault="005F17C9" w:rsidP="00654A69">
            <w:pPr>
              <w:rPr>
                <w:sz w:val="20"/>
                <w:szCs w:val="20"/>
              </w:rPr>
            </w:pPr>
            <w:r w:rsidRPr="008C3792">
              <w:rPr>
                <w:sz w:val="20"/>
                <w:szCs w:val="20"/>
              </w:rPr>
              <w:t xml:space="preserve">   -</w:t>
            </w:r>
            <w:r w:rsidRPr="00D638FF">
              <w:rPr>
                <w:i/>
                <w:sz w:val="20"/>
                <w:szCs w:val="20"/>
              </w:rPr>
              <w:t>Неданъчни приходи</w:t>
            </w:r>
          </w:p>
        </w:tc>
        <w:tc>
          <w:tcPr>
            <w:tcW w:w="1134" w:type="dxa"/>
            <w:tcBorders>
              <w:top w:val="nil"/>
              <w:left w:val="nil"/>
              <w:bottom w:val="nil"/>
              <w:right w:val="single" w:sz="8" w:space="0" w:color="800000"/>
            </w:tcBorders>
            <w:shd w:val="clear" w:color="000000" w:fill="FFFFCC"/>
          </w:tcPr>
          <w:p w14:paraId="6B8C1813" w14:textId="77777777" w:rsidR="005F17C9" w:rsidRPr="00B40CA2" w:rsidRDefault="005F17C9" w:rsidP="00654A69">
            <w:pPr>
              <w:jc w:val="right"/>
              <w:rPr>
                <w:sz w:val="20"/>
                <w:szCs w:val="20"/>
              </w:rPr>
            </w:pPr>
            <w:r w:rsidRPr="00B40CA2">
              <w:rPr>
                <w:sz w:val="20"/>
                <w:szCs w:val="20"/>
              </w:rPr>
              <w:t>2 734,6</w:t>
            </w:r>
          </w:p>
        </w:tc>
        <w:tc>
          <w:tcPr>
            <w:tcW w:w="1062" w:type="dxa"/>
            <w:tcBorders>
              <w:top w:val="nil"/>
              <w:left w:val="nil"/>
              <w:bottom w:val="nil"/>
              <w:right w:val="single" w:sz="8" w:space="0" w:color="800000"/>
            </w:tcBorders>
            <w:shd w:val="clear" w:color="000000" w:fill="FFFFCC"/>
          </w:tcPr>
          <w:p w14:paraId="78848975" w14:textId="77777777" w:rsidR="005F17C9" w:rsidRPr="00B40CA2" w:rsidRDefault="005F17C9" w:rsidP="00654A69">
            <w:pPr>
              <w:jc w:val="right"/>
              <w:rPr>
                <w:sz w:val="20"/>
                <w:szCs w:val="20"/>
              </w:rPr>
            </w:pPr>
            <w:r w:rsidRPr="00B40CA2">
              <w:rPr>
                <w:sz w:val="20"/>
                <w:szCs w:val="20"/>
              </w:rPr>
              <w:t>4 790,0</w:t>
            </w:r>
          </w:p>
        </w:tc>
        <w:tc>
          <w:tcPr>
            <w:tcW w:w="1134" w:type="dxa"/>
            <w:tcBorders>
              <w:top w:val="nil"/>
              <w:left w:val="nil"/>
              <w:bottom w:val="nil"/>
              <w:right w:val="single" w:sz="8" w:space="0" w:color="800000"/>
            </w:tcBorders>
            <w:shd w:val="clear" w:color="000000" w:fill="FFFFCC"/>
          </w:tcPr>
          <w:p w14:paraId="0F9A57C0" w14:textId="77777777" w:rsidR="005F17C9" w:rsidRPr="00B40CA2" w:rsidRDefault="005F17C9" w:rsidP="00654A69">
            <w:pPr>
              <w:jc w:val="right"/>
              <w:rPr>
                <w:sz w:val="20"/>
                <w:szCs w:val="20"/>
              </w:rPr>
            </w:pPr>
            <w:r w:rsidRPr="00B40CA2">
              <w:rPr>
                <w:sz w:val="20"/>
                <w:szCs w:val="20"/>
              </w:rPr>
              <w:t>2 961,2</w:t>
            </w:r>
          </w:p>
        </w:tc>
        <w:tc>
          <w:tcPr>
            <w:tcW w:w="1348" w:type="dxa"/>
            <w:tcBorders>
              <w:top w:val="nil"/>
              <w:left w:val="nil"/>
              <w:bottom w:val="nil"/>
              <w:right w:val="single" w:sz="8" w:space="0" w:color="800000"/>
            </w:tcBorders>
            <w:shd w:val="clear" w:color="000000" w:fill="FFFFCC"/>
            <w:noWrap/>
          </w:tcPr>
          <w:p w14:paraId="2F25192C" w14:textId="77777777" w:rsidR="005F17C9" w:rsidRPr="00B40CA2" w:rsidRDefault="005F17C9" w:rsidP="00654A69">
            <w:pPr>
              <w:jc w:val="right"/>
              <w:rPr>
                <w:sz w:val="20"/>
                <w:szCs w:val="20"/>
              </w:rPr>
            </w:pPr>
            <w:r w:rsidRPr="00B40CA2">
              <w:rPr>
                <w:sz w:val="20"/>
                <w:szCs w:val="20"/>
              </w:rPr>
              <w:t>108,3%</w:t>
            </w:r>
          </w:p>
        </w:tc>
        <w:tc>
          <w:tcPr>
            <w:tcW w:w="1253" w:type="dxa"/>
            <w:tcBorders>
              <w:top w:val="nil"/>
              <w:left w:val="nil"/>
              <w:bottom w:val="nil"/>
              <w:right w:val="double" w:sz="6" w:space="0" w:color="800000"/>
            </w:tcBorders>
            <w:shd w:val="clear" w:color="000000" w:fill="FFFFCC"/>
            <w:noWrap/>
          </w:tcPr>
          <w:p w14:paraId="3D437E35" w14:textId="77777777" w:rsidR="005F17C9" w:rsidRPr="00B40CA2" w:rsidRDefault="005F17C9" w:rsidP="00654A69">
            <w:pPr>
              <w:jc w:val="right"/>
              <w:rPr>
                <w:sz w:val="20"/>
                <w:szCs w:val="20"/>
              </w:rPr>
            </w:pPr>
            <w:r w:rsidRPr="00B40CA2">
              <w:rPr>
                <w:sz w:val="20"/>
                <w:szCs w:val="20"/>
              </w:rPr>
              <w:t>61,8%</w:t>
            </w:r>
          </w:p>
        </w:tc>
      </w:tr>
      <w:tr w:rsidR="005F17C9" w:rsidRPr="00E56679" w14:paraId="708533BD" w14:textId="77777777" w:rsidTr="00654A69">
        <w:trPr>
          <w:trHeight w:val="276"/>
        </w:trPr>
        <w:tc>
          <w:tcPr>
            <w:tcW w:w="4559" w:type="dxa"/>
            <w:tcBorders>
              <w:top w:val="nil"/>
              <w:left w:val="double" w:sz="6" w:space="0" w:color="800000"/>
              <w:bottom w:val="nil"/>
              <w:right w:val="single" w:sz="12" w:space="0" w:color="800000"/>
            </w:tcBorders>
            <w:shd w:val="clear" w:color="000000" w:fill="FFFFCC"/>
            <w:noWrap/>
            <w:vAlign w:val="bottom"/>
            <w:hideMark/>
          </w:tcPr>
          <w:p w14:paraId="772E9E1D" w14:textId="77777777" w:rsidR="005F17C9" w:rsidRPr="008C3792" w:rsidRDefault="005F17C9" w:rsidP="00654A69">
            <w:pPr>
              <w:rPr>
                <w:sz w:val="20"/>
                <w:szCs w:val="20"/>
              </w:rPr>
            </w:pPr>
            <w:r w:rsidRPr="008C3792">
              <w:rPr>
                <w:sz w:val="20"/>
                <w:szCs w:val="20"/>
              </w:rPr>
              <w:t xml:space="preserve">   -</w:t>
            </w:r>
            <w:r w:rsidRPr="00D638FF">
              <w:rPr>
                <w:i/>
                <w:sz w:val="20"/>
                <w:szCs w:val="20"/>
              </w:rPr>
              <w:t>Помощи и дарения</w:t>
            </w:r>
          </w:p>
        </w:tc>
        <w:tc>
          <w:tcPr>
            <w:tcW w:w="1134" w:type="dxa"/>
            <w:tcBorders>
              <w:top w:val="nil"/>
              <w:left w:val="nil"/>
              <w:bottom w:val="single" w:sz="8" w:space="0" w:color="800000"/>
              <w:right w:val="single" w:sz="8" w:space="0" w:color="800000"/>
            </w:tcBorders>
            <w:shd w:val="clear" w:color="000000" w:fill="FFFFCC"/>
          </w:tcPr>
          <w:p w14:paraId="5274AE67" w14:textId="77777777" w:rsidR="005F17C9" w:rsidRPr="00B40CA2" w:rsidRDefault="005F17C9" w:rsidP="00654A69">
            <w:pPr>
              <w:jc w:val="right"/>
              <w:rPr>
                <w:sz w:val="20"/>
                <w:szCs w:val="20"/>
              </w:rPr>
            </w:pPr>
            <w:r w:rsidRPr="00B40CA2">
              <w:rPr>
                <w:sz w:val="20"/>
                <w:szCs w:val="20"/>
              </w:rPr>
              <w:t>2,6</w:t>
            </w:r>
          </w:p>
        </w:tc>
        <w:tc>
          <w:tcPr>
            <w:tcW w:w="1062" w:type="dxa"/>
            <w:tcBorders>
              <w:top w:val="nil"/>
              <w:left w:val="nil"/>
              <w:bottom w:val="single" w:sz="8" w:space="0" w:color="800000"/>
              <w:right w:val="single" w:sz="8" w:space="0" w:color="800000"/>
            </w:tcBorders>
            <w:shd w:val="clear" w:color="000000" w:fill="FFFFCC"/>
          </w:tcPr>
          <w:p w14:paraId="61538699" w14:textId="77777777" w:rsidR="005F17C9" w:rsidRPr="00B40CA2" w:rsidRDefault="005F17C9" w:rsidP="00654A69">
            <w:pPr>
              <w:jc w:val="right"/>
              <w:rPr>
                <w:sz w:val="20"/>
                <w:szCs w:val="20"/>
              </w:rPr>
            </w:pPr>
            <w:r w:rsidRPr="00B40CA2">
              <w:rPr>
                <w:sz w:val="20"/>
                <w:szCs w:val="20"/>
              </w:rPr>
              <w:t>0,5</w:t>
            </w:r>
          </w:p>
        </w:tc>
        <w:tc>
          <w:tcPr>
            <w:tcW w:w="1134" w:type="dxa"/>
            <w:tcBorders>
              <w:top w:val="nil"/>
              <w:left w:val="nil"/>
              <w:bottom w:val="single" w:sz="8" w:space="0" w:color="800000"/>
              <w:right w:val="single" w:sz="8" w:space="0" w:color="800000"/>
            </w:tcBorders>
            <w:shd w:val="clear" w:color="000000" w:fill="FFFFCC"/>
          </w:tcPr>
          <w:p w14:paraId="5C5F8BF9" w14:textId="77777777" w:rsidR="005F17C9" w:rsidRPr="00B40CA2" w:rsidRDefault="005F17C9" w:rsidP="00654A69">
            <w:pPr>
              <w:jc w:val="right"/>
              <w:rPr>
                <w:sz w:val="20"/>
                <w:szCs w:val="20"/>
              </w:rPr>
            </w:pPr>
            <w:r w:rsidRPr="00B40CA2">
              <w:rPr>
                <w:sz w:val="20"/>
                <w:szCs w:val="20"/>
              </w:rPr>
              <w:t>60,3</w:t>
            </w:r>
          </w:p>
        </w:tc>
        <w:tc>
          <w:tcPr>
            <w:tcW w:w="1348" w:type="dxa"/>
            <w:tcBorders>
              <w:top w:val="nil"/>
              <w:left w:val="nil"/>
              <w:bottom w:val="nil"/>
              <w:right w:val="nil"/>
            </w:tcBorders>
            <w:shd w:val="clear" w:color="000000" w:fill="FFFFCC"/>
            <w:noWrap/>
          </w:tcPr>
          <w:p w14:paraId="5889BAFA" w14:textId="77777777" w:rsidR="005F17C9" w:rsidRPr="00B40CA2" w:rsidRDefault="005F17C9" w:rsidP="00654A69">
            <w:pPr>
              <w:jc w:val="right"/>
              <w:rPr>
                <w:sz w:val="20"/>
                <w:szCs w:val="20"/>
              </w:rPr>
            </w:pPr>
          </w:p>
        </w:tc>
        <w:tc>
          <w:tcPr>
            <w:tcW w:w="1253" w:type="dxa"/>
            <w:tcBorders>
              <w:top w:val="nil"/>
              <w:left w:val="single" w:sz="8" w:space="0" w:color="800000"/>
              <w:bottom w:val="single" w:sz="8" w:space="0" w:color="800000"/>
              <w:right w:val="double" w:sz="6" w:space="0" w:color="800000"/>
            </w:tcBorders>
            <w:shd w:val="clear" w:color="000000" w:fill="FFFFCC"/>
            <w:noWrap/>
          </w:tcPr>
          <w:p w14:paraId="36D6FBC3" w14:textId="77777777" w:rsidR="005F17C9" w:rsidRPr="00B40CA2" w:rsidRDefault="005F17C9" w:rsidP="00654A69">
            <w:pPr>
              <w:jc w:val="right"/>
              <w:rPr>
                <w:sz w:val="20"/>
                <w:szCs w:val="20"/>
              </w:rPr>
            </w:pPr>
          </w:p>
        </w:tc>
      </w:tr>
      <w:tr w:rsidR="005F17C9" w:rsidRPr="00E56679" w14:paraId="5FBF9EFB" w14:textId="77777777" w:rsidTr="00654A69">
        <w:trPr>
          <w:trHeight w:val="264"/>
        </w:trPr>
        <w:tc>
          <w:tcPr>
            <w:tcW w:w="4559" w:type="dxa"/>
            <w:tcBorders>
              <w:top w:val="single" w:sz="8" w:space="0" w:color="800000"/>
              <w:left w:val="double" w:sz="6" w:space="0" w:color="800000"/>
              <w:bottom w:val="nil"/>
              <w:right w:val="single" w:sz="12" w:space="0" w:color="800000"/>
            </w:tcBorders>
            <w:shd w:val="clear" w:color="000000" w:fill="FFFFCC"/>
            <w:noWrap/>
            <w:vAlign w:val="bottom"/>
            <w:hideMark/>
          </w:tcPr>
          <w:p w14:paraId="411ED9F0" w14:textId="77777777" w:rsidR="005F17C9" w:rsidRPr="008C3792" w:rsidRDefault="005F17C9" w:rsidP="00654A69">
            <w:pPr>
              <w:rPr>
                <w:b/>
                <w:bCs/>
                <w:sz w:val="20"/>
                <w:szCs w:val="20"/>
              </w:rPr>
            </w:pPr>
            <w:r w:rsidRPr="008C3792">
              <w:rPr>
                <w:b/>
                <w:bCs/>
                <w:sz w:val="20"/>
                <w:szCs w:val="20"/>
              </w:rPr>
              <w:t xml:space="preserve"> Разходи</w:t>
            </w:r>
            <w:r w:rsidRPr="008C3792">
              <w:rPr>
                <w:b/>
                <w:bCs/>
                <w:sz w:val="20"/>
                <w:szCs w:val="20"/>
                <w:lang w:val="ru-RU"/>
              </w:rPr>
              <w:t>,</w:t>
            </w:r>
            <w:r w:rsidRPr="008C3792">
              <w:rPr>
                <w:b/>
                <w:bCs/>
                <w:sz w:val="20"/>
                <w:szCs w:val="20"/>
              </w:rPr>
              <w:t xml:space="preserve"> трансфери и вноска за бюджета на ЕС</w:t>
            </w:r>
          </w:p>
        </w:tc>
        <w:tc>
          <w:tcPr>
            <w:tcW w:w="1134" w:type="dxa"/>
            <w:tcBorders>
              <w:top w:val="single" w:sz="8" w:space="0" w:color="800000"/>
              <w:left w:val="nil"/>
              <w:bottom w:val="nil"/>
              <w:right w:val="single" w:sz="8" w:space="0" w:color="800000"/>
            </w:tcBorders>
            <w:shd w:val="clear" w:color="000000" w:fill="FFFFCC"/>
            <w:noWrap/>
          </w:tcPr>
          <w:p w14:paraId="579BA4D4" w14:textId="77777777" w:rsidR="005F17C9" w:rsidRPr="00C30A8C" w:rsidRDefault="005F17C9" w:rsidP="00654A69">
            <w:pPr>
              <w:jc w:val="right"/>
              <w:rPr>
                <w:b/>
                <w:sz w:val="20"/>
                <w:szCs w:val="20"/>
              </w:rPr>
            </w:pPr>
            <w:r w:rsidRPr="00C30A8C">
              <w:rPr>
                <w:b/>
                <w:sz w:val="20"/>
                <w:szCs w:val="20"/>
              </w:rPr>
              <w:t>19 208,7</w:t>
            </w:r>
          </w:p>
        </w:tc>
        <w:tc>
          <w:tcPr>
            <w:tcW w:w="1062" w:type="dxa"/>
            <w:tcBorders>
              <w:top w:val="single" w:sz="8" w:space="0" w:color="800000"/>
              <w:left w:val="nil"/>
              <w:bottom w:val="nil"/>
              <w:right w:val="single" w:sz="8" w:space="0" w:color="800000"/>
            </w:tcBorders>
            <w:shd w:val="clear" w:color="000000" w:fill="FFFFCC"/>
            <w:noWrap/>
          </w:tcPr>
          <w:p w14:paraId="090F2E4A" w14:textId="77777777" w:rsidR="005F17C9" w:rsidRPr="00C30A8C" w:rsidRDefault="005F17C9" w:rsidP="00654A69">
            <w:pPr>
              <w:jc w:val="right"/>
              <w:rPr>
                <w:b/>
                <w:sz w:val="20"/>
                <w:szCs w:val="20"/>
              </w:rPr>
            </w:pPr>
            <w:r w:rsidRPr="00C30A8C">
              <w:rPr>
                <w:b/>
                <w:sz w:val="20"/>
                <w:szCs w:val="20"/>
              </w:rPr>
              <w:t>51 439,0</w:t>
            </w:r>
          </w:p>
        </w:tc>
        <w:tc>
          <w:tcPr>
            <w:tcW w:w="1134" w:type="dxa"/>
            <w:tcBorders>
              <w:top w:val="single" w:sz="8" w:space="0" w:color="800000"/>
              <w:left w:val="nil"/>
              <w:bottom w:val="nil"/>
              <w:right w:val="single" w:sz="8" w:space="0" w:color="800000"/>
            </w:tcBorders>
            <w:shd w:val="clear" w:color="000000" w:fill="FFFFCC"/>
            <w:noWrap/>
          </w:tcPr>
          <w:p w14:paraId="266F751F" w14:textId="77777777" w:rsidR="005F17C9" w:rsidRPr="00C30A8C" w:rsidRDefault="005F17C9" w:rsidP="00654A69">
            <w:pPr>
              <w:jc w:val="right"/>
              <w:rPr>
                <w:b/>
                <w:sz w:val="20"/>
                <w:szCs w:val="20"/>
              </w:rPr>
            </w:pPr>
            <w:r w:rsidRPr="00C30A8C">
              <w:rPr>
                <w:b/>
                <w:sz w:val="20"/>
                <w:szCs w:val="20"/>
              </w:rPr>
              <w:t>22 783,6</w:t>
            </w:r>
          </w:p>
        </w:tc>
        <w:tc>
          <w:tcPr>
            <w:tcW w:w="1348" w:type="dxa"/>
            <w:tcBorders>
              <w:top w:val="single" w:sz="8" w:space="0" w:color="800000"/>
              <w:left w:val="nil"/>
              <w:bottom w:val="nil"/>
              <w:right w:val="single" w:sz="8" w:space="0" w:color="800000"/>
            </w:tcBorders>
            <w:shd w:val="clear" w:color="000000" w:fill="FFFFCC"/>
            <w:noWrap/>
          </w:tcPr>
          <w:p w14:paraId="1CECEE7F" w14:textId="77777777" w:rsidR="005F17C9" w:rsidRPr="00C30A8C" w:rsidRDefault="005F17C9" w:rsidP="00654A69">
            <w:pPr>
              <w:jc w:val="right"/>
              <w:rPr>
                <w:b/>
                <w:sz w:val="20"/>
                <w:szCs w:val="20"/>
              </w:rPr>
            </w:pPr>
            <w:r w:rsidRPr="00C30A8C">
              <w:rPr>
                <w:b/>
                <w:sz w:val="20"/>
                <w:szCs w:val="20"/>
              </w:rPr>
              <w:t>118,6%</w:t>
            </w:r>
          </w:p>
        </w:tc>
        <w:tc>
          <w:tcPr>
            <w:tcW w:w="1253" w:type="dxa"/>
            <w:tcBorders>
              <w:top w:val="single" w:sz="8" w:space="0" w:color="800000"/>
              <w:left w:val="nil"/>
              <w:bottom w:val="nil"/>
              <w:right w:val="double" w:sz="6" w:space="0" w:color="800000"/>
            </w:tcBorders>
            <w:shd w:val="clear" w:color="000000" w:fill="FFFFCC"/>
            <w:noWrap/>
          </w:tcPr>
          <w:p w14:paraId="48863582" w14:textId="77777777" w:rsidR="005F17C9" w:rsidRPr="00C30A8C" w:rsidRDefault="005F17C9" w:rsidP="00654A69">
            <w:pPr>
              <w:jc w:val="right"/>
              <w:rPr>
                <w:b/>
                <w:sz w:val="20"/>
                <w:szCs w:val="20"/>
              </w:rPr>
            </w:pPr>
            <w:r w:rsidRPr="00C30A8C">
              <w:rPr>
                <w:b/>
                <w:sz w:val="20"/>
                <w:szCs w:val="20"/>
              </w:rPr>
              <w:t>44,3%</w:t>
            </w:r>
          </w:p>
        </w:tc>
      </w:tr>
      <w:tr w:rsidR="005F17C9" w:rsidRPr="00E56679" w14:paraId="79C01DA5" w14:textId="77777777" w:rsidTr="00654A69">
        <w:trPr>
          <w:trHeight w:val="264"/>
        </w:trPr>
        <w:tc>
          <w:tcPr>
            <w:tcW w:w="4559" w:type="dxa"/>
            <w:tcBorders>
              <w:top w:val="nil"/>
              <w:left w:val="double" w:sz="6" w:space="0" w:color="800000"/>
              <w:bottom w:val="nil"/>
              <w:right w:val="single" w:sz="12" w:space="0" w:color="800000"/>
            </w:tcBorders>
            <w:shd w:val="clear" w:color="000000" w:fill="FFFFCC"/>
            <w:noWrap/>
            <w:vAlign w:val="bottom"/>
            <w:hideMark/>
          </w:tcPr>
          <w:p w14:paraId="5542EC75" w14:textId="77777777" w:rsidR="005F17C9" w:rsidRPr="00D638FF" w:rsidRDefault="005F17C9" w:rsidP="00654A69">
            <w:pPr>
              <w:rPr>
                <w:i/>
                <w:sz w:val="20"/>
                <w:szCs w:val="20"/>
              </w:rPr>
            </w:pPr>
            <w:r w:rsidRPr="00D638FF">
              <w:rPr>
                <w:i/>
                <w:sz w:val="20"/>
                <w:szCs w:val="20"/>
              </w:rPr>
              <w:t xml:space="preserve">   -Нелихвени разходи</w:t>
            </w:r>
          </w:p>
        </w:tc>
        <w:tc>
          <w:tcPr>
            <w:tcW w:w="1134" w:type="dxa"/>
            <w:tcBorders>
              <w:top w:val="nil"/>
              <w:left w:val="nil"/>
              <w:bottom w:val="nil"/>
              <w:right w:val="single" w:sz="8" w:space="0" w:color="800000"/>
            </w:tcBorders>
            <w:shd w:val="clear" w:color="000000" w:fill="FFFFCC"/>
            <w:noWrap/>
          </w:tcPr>
          <w:p w14:paraId="03762637" w14:textId="77777777" w:rsidR="005F17C9" w:rsidRPr="00C30A8C" w:rsidRDefault="005F17C9" w:rsidP="00654A69">
            <w:pPr>
              <w:jc w:val="right"/>
              <w:rPr>
                <w:sz w:val="20"/>
                <w:szCs w:val="20"/>
              </w:rPr>
            </w:pPr>
            <w:r w:rsidRPr="00C30A8C">
              <w:rPr>
                <w:sz w:val="20"/>
                <w:szCs w:val="20"/>
              </w:rPr>
              <w:t>7 354,3</w:t>
            </w:r>
          </w:p>
        </w:tc>
        <w:tc>
          <w:tcPr>
            <w:tcW w:w="1062" w:type="dxa"/>
            <w:tcBorders>
              <w:top w:val="nil"/>
              <w:left w:val="nil"/>
              <w:right w:val="single" w:sz="8" w:space="0" w:color="800000"/>
            </w:tcBorders>
            <w:shd w:val="clear" w:color="000000" w:fill="FFFFCC"/>
            <w:noWrap/>
          </w:tcPr>
          <w:p w14:paraId="66A4BA0F" w14:textId="77777777" w:rsidR="005F17C9" w:rsidRPr="00C30A8C" w:rsidRDefault="005F17C9" w:rsidP="00654A69">
            <w:pPr>
              <w:jc w:val="right"/>
              <w:rPr>
                <w:sz w:val="20"/>
                <w:szCs w:val="20"/>
              </w:rPr>
            </w:pPr>
            <w:r w:rsidRPr="00C30A8C">
              <w:rPr>
                <w:sz w:val="20"/>
                <w:szCs w:val="20"/>
              </w:rPr>
              <w:t>22 561,5</w:t>
            </w:r>
          </w:p>
        </w:tc>
        <w:tc>
          <w:tcPr>
            <w:tcW w:w="1134" w:type="dxa"/>
            <w:tcBorders>
              <w:top w:val="nil"/>
              <w:left w:val="nil"/>
              <w:bottom w:val="nil"/>
              <w:right w:val="single" w:sz="8" w:space="0" w:color="800000"/>
            </w:tcBorders>
            <w:shd w:val="clear" w:color="000000" w:fill="FFFFCC"/>
            <w:noWrap/>
          </w:tcPr>
          <w:p w14:paraId="5882C67C" w14:textId="77777777" w:rsidR="005F17C9" w:rsidRPr="00C30A8C" w:rsidRDefault="005F17C9" w:rsidP="00654A69">
            <w:pPr>
              <w:jc w:val="right"/>
              <w:rPr>
                <w:sz w:val="20"/>
                <w:szCs w:val="20"/>
              </w:rPr>
            </w:pPr>
            <w:r w:rsidRPr="00C30A8C">
              <w:rPr>
                <w:sz w:val="20"/>
                <w:szCs w:val="20"/>
              </w:rPr>
              <w:t>8 191,7</w:t>
            </w:r>
          </w:p>
        </w:tc>
        <w:tc>
          <w:tcPr>
            <w:tcW w:w="1348" w:type="dxa"/>
            <w:tcBorders>
              <w:top w:val="nil"/>
              <w:left w:val="nil"/>
              <w:bottom w:val="nil"/>
              <w:right w:val="single" w:sz="8" w:space="0" w:color="800000"/>
            </w:tcBorders>
            <w:shd w:val="clear" w:color="000000" w:fill="FFFFCC"/>
            <w:noWrap/>
          </w:tcPr>
          <w:p w14:paraId="2C05789C" w14:textId="77777777" w:rsidR="005F17C9" w:rsidRPr="00C30A8C" w:rsidRDefault="005F17C9" w:rsidP="00654A69">
            <w:pPr>
              <w:jc w:val="right"/>
              <w:rPr>
                <w:sz w:val="20"/>
                <w:szCs w:val="20"/>
              </w:rPr>
            </w:pPr>
            <w:r w:rsidRPr="00C30A8C">
              <w:rPr>
                <w:sz w:val="20"/>
                <w:szCs w:val="20"/>
              </w:rPr>
              <w:t>111,4%</w:t>
            </w:r>
          </w:p>
        </w:tc>
        <w:tc>
          <w:tcPr>
            <w:tcW w:w="1253" w:type="dxa"/>
            <w:tcBorders>
              <w:top w:val="nil"/>
              <w:left w:val="nil"/>
              <w:bottom w:val="nil"/>
              <w:right w:val="double" w:sz="6" w:space="0" w:color="800000"/>
            </w:tcBorders>
            <w:shd w:val="clear" w:color="000000" w:fill="FFFFCC"/>
            <w:noWrap/>
          </w:tcPr>
          <w:p w14:paraId="68F0D249" w14:textId="77777777" w:rsidR="005F17C9" w:rsidRPr="00C30A8C" w:rsidRDefault="005F17C9" w:rsidP="00654A69">
            <w:pPr>
              <w:jc w:val="right"/>
              <w:rPr>
                <w:sz w:val="20"/>
                <w:szCs w:val="20"/>
              </w:rPr>
            </w:pPr>
            <w:r w:rsidRPr="00C30A8C">
              <w:rPr>
                <w:sz w:val="20"/>
                <w:szCs w:val="20"/>
              </w:rPr>
              <w:t>36,3%</w:t>
            </w:r>
          </w:p>
        </w:tc>
      </w:tr>
      <w:tr w:rsidR="005F17C9" w:rsidRPr="00E56679" w14:paraId="61A4EF1F" w14:textId="77777777" w:rsidTr="00654A69">
        <w:trPr>
          <w:trHeight w:val="264"/>
        </w:trPr>
        <w:tc>
          <w:tcPr>
            <w:tcW w:w="4559" w:type="dxa"/>
            <w:tcBorders>
              <w:top w:val="nil"/>
              <w:left w:val="double" w:sz="6" w:space="0" w:color="800000"/>
              <w:bottom w:val="nil"/>
              <w:right w:val="single" w:sz="12" w:space="0" w:color="800000"/>
            </w:tcBorders>
            <w:shd w:val="clear" w:color="000000" w:fill="FFFFCC"/>
            <w:noWrap/>
            <w:vAlign w:val="bottom"/>
            <w:hideMark/>
          </w:tcPr>
          <w:p w14:paraId="5A3E4F0E" w14:textId="77777777" w:rsidR="005F17C9" w:rsidRPr="00D638FF" w:rsidRDefault="005F17C9" w:rsidP="00654A69">
            <w:pPr>
              <w:rPr>
                <w:i/>
                <w:sz w:val="20"/>
                <w:szCs w:val="20"/>
              </w:rPr>
            </w:pPr>
            <w:r w:rsidRPr="00D638FF">
              <w:rPr>
                <w:i/>
                <w:sz w:val="20"/>
                <w:szCs w:val="20"/>
              </w:rPr>
              <w:t xml:space="preserve">   -Лихви</w:t>
            </w:r>
          </w:p>
        </w:tc>
        <w:tc>
          <w:tcPr>
            <w:tcW w:w="1134" w:type="dxa"/>
            <w:tcBorders>
              <w:top w:val="nil"/>
              <w:left w:val="nil"/>
              <w:bottom w:val="nil"/>
              <w:right w:val="single" w:sz="4" w:space="0" w:color="auto"/>
            </w:tcBorders>
            <w:shd w:val="clear" w:color="000000" w:fill="FFFFCC"/>
            <w:noWrap/>
          </w:tcPr>
          <w:p w14:paraId="236BBFB4" w14:textId="77777777" w:rsidR="005F17C9" w:rsidRPr="00C30A8C" w:rsidRDefault="005F17C9" w:rsidP="00654A69">
            <w:pPr>
              <w:jc w:val="right"/>
              <w:rPr>
                <w:sz w:val="20"/>
                <w:szCs w:val="20"/>
              </w:rPr>
            </w:pPr>
            <w:r w:rsidRPr="00C30A8C">
              <w:rPr>
                <w:sz w:val="20"/>
                <w:szCs w:val="20"/>
              </w:rPr>
              <w:t>326,9</w:t>
            </w:r>
          </w:p>
        </w:tc>
        <w:tc>
          <w:tcPr>
            <w:tcW w:w="1062" w:type="dxa"/>
            <w:tcBorders>
              <w:top w:val="nil"/>
              <w:left w:val="single" w:sz="4" w:space="0" w:color="auto"/>
              <w:bottom w:val="nil"/>
              <w:right w:val="single" w:sz="8" w:space="0" w:color="800000"/>
            </w:tcBorders>
            <w:shd w:val="clear" w:color="000000" w:fill="FFFFCC"/>
            <w:noWrap/>
          </w:tcPr>
          <w:p w14:paraId="77A61A47" w14:textId="77777777" w:rsidR="005F17C9" w:rsidRPr="00C30A8C" w:rsidRDefault="005F17C9" w:rsidP="00654A69">
            <w:pPr>
              <w:jc w:val="right"/>
              <w:rPr>
                <w:sz w:val="20"/>
                <w:szCs w:val="20"/>
              </w:rPr>
            </w:pPr>
            <w:r w:rsidRPr="00C30A8C">
              <w:rPr>
                <w:sz w:val="20"/>
                <w:szCs w:val="20"/>
              </w:rPr>
              <w:t>966,8</w:t>
            </w:r>
          </w:p>
        </w:tc>
        <w:tc>
          <w:tcPr>
            <w:tcW w:w="1134" w:type="dxa"/>
            <w:tcBorders>
              <w:top w:val="nil"/>
              <w:left w:val="nil"/>
              <w:bottom w:val="nil"/>
              <w:right w:val="nil"/>
            </w:tcBorders>
            <w:shd w:val="clear" w:color="000000" w:fill="FFFFCC"/>
            <w:noWrap/>
          </w:tcPr>
          <w:p w14:paraId="3A4B1758" w14:textId="77777777" w:rsidR="005F17C9" w:rsidRPr="00C30A8C" w:rsidRDefault="005F17C9" w:rsidP="00654A69">
            <w:pPr>
              <w:jc w:val="right"/>
              <w:rPr>
                <w:sz w:val="20"/>
                <w:szCs w:val="20"/>
              </w:rPr>
            </w:pPr>
            <w:r w:rsidRPr="00C30A8C">
              <w:rPr>
                <w:sz w:val="20"/>
                <w:szCs w:val="20"/>
              </w:rPr>
              <w:t>467,6</w:t>
            </w:r>
          </w:p>
        </w:tc>
        <w:tc>
          <w:tcPr>
            <w:tcW w:w="1348" w:type="dxa"/>
            <w:tcBorders>
              <w:top w:val="nil"/>
              <w:left w:val="single" w:sz="8" w:space="0" w:color="800000"/>
              <w:bottom w:val="nil"/>
              <w:right w:val="single" w:sz="8" w:space="0" w:color="800000"/>
            </w:tcBorders>
            <w:shd w:val="clear" w:color="000000" w:fill="FFFFCC"/>
            <w:noWrap/>
          </w:tcPr>
          <w:p w14:paraId="6DCB670E" w14:textId="77777777" w:rsidR="005F17C9" w:rsidRPr="00C30A8C" w:rsidRDefault="005F17C9" w:rsidP="00654A69">
            <w:pPr>
              <w:jc w:val="right"/>
              <w:rPr>
                <w:sz w:val="20"/>
                <w:szCs w:val="20"/>
              </w:rPr>
            </w:pPr>
            <w:r w:rsidRPr="00C30A8C">
              <w:rPr>
                <w:sz w:val="20"/>
                <w:szCs w:val="20"/>
              </w:rPr>
              <w:t>143,1%</w:t>
            </w:r>
          </w:p>
        </w:tc>
        <w:tc>
          <w:tcPr>
            <w:tcW w:w="1253" w:type="dxa"/>
            <w:tcBorders>
              <w:top w:val="nil"/>
              <w:left w:val="nil"/>
              <w:bottom w:val="nil"/>
              <w:right w:val="double" w:sz="6" w:space="0" w:color="800000"/>
            </w:tcBorders>
            <w:shd w:val="clear" w:color="000000" w:fill="FFFFCC"/>
            <w:noWrap/>
          </w:tcPr>
          <w:p w14:paraId="2F3D66FE" w14:textId="77777777" w:rsidR="005F17C9" w:rsidRPr="00C30A8C" w:rsidRDefault="005F17C9" w:rsidP="00654A69">
            <w:pPr>
              <w:jc w:val="right"/>
              <w:rPr>
                <w:sz w:val="20"/>
                <w:szCs w:val="20"/>
              </w:rPr>
            </w:pPr>
            <w:r w:rsidRPr="00C30A8C">
              <w:rPr>
                <w:sz w:val="20"/>
                <w:szCs w:val="20"/>
              </w:rPr>
              <w:t>48,4%</w:t>
            </w:r>
          </w:p>
        </w:tc>
      </w:tr>
      <w:tr w:rsidR="005F17C9" w:rsidRPr="00E56679" w14:paraId="3776D60E" w14:textId="77777777" w:rsidTr="00654A69">
        <w:trPr>
          <w:trHeight w:val="264"/>
        </w:trPr>
        <w:tc>
          <w:tcPr>
            <w:tcW w:w="4559" w:type="dxa"/>
            <w:tcBorders>
              <w:top w:val="nil"/>
              <w:left w:val="double" w:sz="6" w:space="0" w:color="800000"/>
              <w:bottom w:val="nil"/>
              <w:right w:val="single" w:sz="12" w:space="0" w:color="800000"/>
            </w:tcBorders>
            <w:shd w:val="clear" w:color="000000" w:fill="FFFFCC"/>
            <w:noWrap/>
            <w:vAlign w:val="bottom"/>
            <w:hideMark/>
          </w:tcPr>
          <w:p w14:paraId="0F7651BB" w14:textId="77777777" w:rsidR="005F17C9" w:rsidRPr="008C3792" w:rsidRDefault="005F17C9" w:rsidP="00654A69">
            <w:pPr>
              <w:rPr>
                <w:sz w:val="20"/>
                <w:szCs w:val="20"/>
              </w:rPr>
            </w:pPr>
            <w:r w:rsidRPr="008C3792">
              <w:rPr>
                <w:sz w:val="20"/>
                <w:szCs w:val="20"/>
              </w:rPr>
              <w:t xml:space="preserve">      Външни заеми</w:t>
            </w:r>
          </w:p>
        </w:tc>
        <w:tc>
          <w:tcPr>
            <w:tcW w:w="1134" w:type="dxa"/>
            <w:tcBorders>
              <w:top w:val="nil"/>
              <w:left w:val="nil"/>
              <w:bottom w:val="nil"/>
              <w:right w:val="single" w:sz="4" w:space="0" w:color="auto"/>
            </w:tcBorders>
            <w:shd w:val="clear" w:color="000000" w:fill="FFFFCC"/>
          </w:tcPr>
          <w:p w14:paraId="492A21C3" w14:textId="77777777" w:rsidR="005F17C9" w:rsidRPr="00C30A8C" w:rsidRDefault="005F17C9" w:rsidP="00654A69">
            <w:pPr>
              <w:jc w:val="right"/>
              <w:rPr>
                <w:sz w:val="20"/>
                <w:szCs w:val="20"/>
              </w:rPr>
            </w:pPr>
            <w:r w:rsidRPr="00C30A8C">
              <w:rPr>
                <w:sz w:val="20"/>
                <w:szCs w:val="20"/>
              </w:rPr>
              <w:t>268,3</w:t>
            </w:r>
          </w:p>
        </w:tc>
        <w:tc>
          <w:tcPr>
            <w:tcW w:w="1062" w:type="dxa"/>
            <w:tcBorders>
              <w:top w:val="nil"/>
              <w:left w:val="single" w:sz="4" w:space="0" w:color="auto"/>
              <w:bottom w:val="nil"/>
              <w:right w:val="single" w:sz="8" w:space="0" w:color="800000"/>
            </w:tcBorders>
            <w:shd w:val="clear" w:color="000000" w:fill="FFFFCC"/>
          </w:tcPr>
          <w:p w14:paraId="705E23D5" w14:textId="77777777" w:rsidR="005F17C9" w:rsidRPr="00C30A8C" w:rsidRDefault="005F17C9" w:rsidP="00654A69">
            <w:pPr>
              <w:jc w:val="right"/>
              <w:rPr>
                <w:sz w:val="20"/>
                <w:szCs w:val="20"/>
              </w:rPr>
            </w:pPr>
            <w:r w:rsidRPr="00C30A8C">
              <w:rPr>
                <w:sz w:val="20"/>
                <w:szCs w:val="20"/>
              </w:rPr>
              <w:t>833,6</w:t>
            </w:r>
          </w:p>
        </w:tc>
        <w:tc>
          <w:tcPr>
            <w:tcW w:w="1134" w:type="dxa"/>
            <w:tcBorders>
              <w:top w:val="nil"/>
              <w:left w:val="nil"/>
              <w:bottom w:val="nil"/>
              <w:right w:val="nil"/>
            </w:tcBorders>
            <w:shd w:val="clear" w:color="000000" w:fill="FFFFCC"/>
            <w:noWrap/>
          </w:tcPr>
          <w:p w14:paraId="66919518" w14:textId="77777777" w:rsidR="005F17C9" w:rsidRPr="00C30A8C" w:rsidRDefault="005F17C9" w:rsidP="00654A69">
            <w:pPr>
              <w:jc w:val="right"/>
              <w:rPr>
                <w:sz w:val="20"/>
                <w:szCs w:val="20"/>
              </w:rPr>
            </w:pPr>
            <w:r w:rsidRPr="00C30A8C">
              <w:rPr>
                <w:sz w:val="20"/>
                <w:szCs w:val="20"/>
              </w:rPr>
              <w:t>419,0</w:t>
            </w:r>
          </w:p>
        </w:tc>
        <w:tc>
          <w:tcPr>
            <w:tcW w:w="1348" w:type="dxa"/>
            <w:tcBorders>
              <w:top w:val="nil"/>
              <w:left w:val="single" w:sz="8" w:space="0" w:color="800000"/>
              <w:bottom w:val="nil"/>
              <w:right w:val="single" w:sz="8" w:space="0" w:color="800000"/>
            </w:tcBorders>
            <w:shd w:val="clear" w:color="000000" w:fill="FFFFCC"/>
            <w:noWrap/>
          </w:tcPr>
          <w:p w14:paraId="7A119727" w14:textId="77777777" w:rsidR="005F17C9" w:rsidRPr="00C30A8C" w:rsidRDefault="005F17C9" w:rsidP="00654A69">
            <w:pPr>
              <w:jc w:val="right"/>
              <w:rPr>
                <w:sz w:val="20"/>
                <w:szCs w:val="20"/>
              </w:rPr>
            </w:pPr>
            <w:r w:rsidRPr="00C30A8C">
              <w:rPr>
                <w:sz w:val="20"/>
                <w:szCs w:val="20"/>
              </w:rPr>
              <w:t>156,2%</w:t>
            </w:r>
          </w:p>
        </w:tc>
        <w:tc>
          <w:tcPr>
            <w:tcW w:w="1253" w:type="dxa"/>
            <w:tcBorders>
              <w:top w:val="nil"/>
              <w:left w:val="nil"/>
              <w:bottom w:val="nil"/>
              <w:right w:val="double" w:sz="6" w:space="0" w:color="800000"/>
            </w:tcBorders>
            <w:shd w:val="clear" w:color="000000" w:fill="FFFFCC"/>
            <w:noWrap/>
          </w:tcPr>
          <w:p w14:paraId="0FE0A06B" w14:textId="77777777" w:rsidR="005F17C9" w:rsidRPr="00C30A8C" w:rsidRDefault="005F17C9" w:rsidP="00654A69">
            <w:pPr>
              <w:jc w:val="right"/>
              <w:rPr>
                <w:sz w:val="20"/>
                <w:szCs w:val="20"/>
              </w:rPr>
            </w:pPr>
            <w:r w:rsidRPr="00C30A8C">
              <w:rPr>
                <w:sz w:val="20"/>
                <w:szCs w:val="20"/>
              </w:rPr>
              <w:t>50,3%</w:t>
            </w:r>
          </w:p>
        </w:tc>
      </w:tr>
      <w:tr w:rsidR="005F17C9" w:rsidRPr="00E56679" w14:paraId="4F51640E" w14:textId="77777777" w:rsidTr="00654A69">
        <w:trPr>
          <w:trHeight w:val="264"/>
        </w:trPr>
        <w:tc>
          <w:tcPr>
            <w:tcW w:w="4559" w:type="dxa"/>
            <w:tcBorders>
              <w:top w:val="nil"/>
              <w:left w:val="double" w:sz="6" w:space="0" w:color="800000"/>
              <w:bottom w:val="nil"/>
              <w:right w:val="single" w:sz="12" w:space="0" w:color="800000"/>
            </w:tcBorders>
            <w:shd w:val="clear" w:color="000000" w:fill="FFFFCC"/>
            <w:noWrap/>
            <w:vAlign w:val="bottom"/>
            <w:hideMark/>
          </w:tcPr>
          <w:p w14:paraId="64FE9EDE" w14:textId="77777777" w:rsidR="005F17C9" w:rsidRPr="008C3792" w:rsidRDefault="005F17C9" w:rsidP="00654A69">
            <w:pPr>
              <w:rPr>
                <w:sz w:val="20"/>
                <w:szCs w:val="20"/>
              </w:rPr>
            </w:pPr>
            <w:r w:rsidRPr="008C3792">
              <w:rPr>
                <w:sz w:val="20"/>
                <w:szCs w:val="20"/>
              </w:rPr>
              <w:t xml:space="preserve">      Вътрешни заеми</w:t>
            </w:r>
          </w:p>
        </w:tc>
        <w:tc>
          <w:tcPr>
            <w:tcW w:w="1134" w:type="dxa"/>
            <w:tcBorders>
              <w:top w:val="nil"/>
              <w:left w:val="nil"/>
              <w:bottom w:val="nil"/>
              <w:right w:val="single" w:sz="4" w:space="0" w:color="auto"/>
            </w:tcBorders>
            <w:shd w:val="clear" w:color="000000" w:fill="FFFFCC"/>
          </w:tcPr>
          <w:p w14:paraId="172184F1" w14:textId="77777777" w:rsidR="005F17C9" w:rsidRPr="00C30A8C" w:rsidRDefault="005F17C9" w:rsidP="00654A69">
            <w:pPr>
              <w:jc w:val="right"/>
              <w:rPr>
                <w:sz w:val="20"/>
                <w:szCs w:val="20"/>
              </w:rPr>
            </w:pPr>
            <w:r w:rsidRPr="00C30A8C">
              <w:rPr>
                <w:sz w:val="20"/>
                <w:szCs w:val="20"/>
              </w:rPr>
              <w:t>58,7</w:t>
            </w:r>
          </w:p>
        </w:tc>
        <w:tc>
          <w:tcPr>
            <w:tcW w:w="1062" w:type="dxa"/>
            <w:tcBorders>
              <w:top w:val="nil"/>
              <w:left w:val="single" w:sz="4" w:space="0" w:color="auto"/>
              <w:bottom w:val="nil"/>
              <w:right w:val="single" w:sz="8" w:space="0" w:color="800000"/>
            </w:tcBorders>
            <w:shd w:val="clear" w:color="000000" w:fill="FFFFCC"/>
          </w:tcPr>
          <w:p w14:paraId="7BF5C04D" w14:textId="77777777" w:rsidR="005F17C9" w:rsidRPr="00C30A8C" w:rsidRDefault="005F17C9" w:rsidP="00654A69">
            <w:pPr>
              <w:jc w:val="right"/>
              <w:rPr>
                <w:sz w:val="20"/>
                <w:szCs w:val="20"/>
              </w:rPr>
            </w:pPr>
            <w:r w:rsidRPr="00C30A8C">
              <w:rPr>
                <w:sz w:val="20"/>
                <w:szCs w:val="20"/>
              </w:rPr>
              <w:t>133,2</w:t>
            </w:r>
          </w:p>
        </w:tc>
        <w:tc>
          <w:tcPr>
            <w:tcW w:w="1134" w:type="dxa"/>
            <w:tcBorders>
              <w:top w:val="nil"/>
              <w:left w:val="nil"/>
              <w:bottom w:val="nil"/>
              <w:right w:val="nil"/>
            </w:tcBorders>
            <w:shd w:val="clear" w:color="000000" w:fill="FFFFCC"/>
            <w:noWrap/>
          </w:tcPr>
          <w:p w14:paraId="1DDF575D" w14:textId="77777777" w:rsidR="005F17C9" w:rsidRPr="00C30A8C" w:rsidRDefault="005F17C9" w:rsidP="00654A69">
            <w:pPr>
              <w:jc w:val="right"/>
              <w:rPr>
                <w:sz w:val="20"/>
                <w:szCs w:val="20"/>
              </w:rPr>
            </w:pPr>
            <w:r w:rsidRPr="00C30A8C">
              <w:rPr>
                <w:sz w:val="20"/>
                <w:szCs w:val="20"/>
              </w:rPr>
              <w:t>48,7</w:t>
            </w:r>
          </w:p>
        </w:tc>
        <w:tc>
          <w:tcPr>
            <w:tcW w:w="1348" w:type="dxa"/>
            <w:tcBorders>
              <w:top w:val="nil"/>
              <w:left w:val="single" w:sz="8" w:space="0" w:color="800000"/>
              <w:bottom w:val="nil"/>
              <w:right w:val="single" w:sz="8" w:space="0" w:color="800000"/>
            </w:tcBorders>
            <w:shd w:val="clear" w:color="000000" w:fill="FFFFCC"/>
            <w:noWrap/>
          </w:tcPr>
          <w:p w14:paraId="1C275B56" w14:textId="77777777" w:rsidR="005F17C9" w:rsidRPr="00C30A8C" w:rsidRDefault="005F17C9" w:rsidP="00654A69">
            <w:pPr>
              <w:jc w:val="right"/>
              <w:rPr>
                <w:sz w:val="20"/>
                <w:szCs w:val="20"/>
              </w:rPr>
            </w:pPr>
            <w:r w:rsidRPr="00C30A8C">
              <w:rPr>
                <w:sz w:val="20"/>
                <w:szCs w:val="20"/>
              </w:rPr>
              <w:t>83,0%</w:t>
            </w:r>
          </w:p>
        </w:tc>
        <w:tc>
          <w:tcPr>
            <w:tcW w:w="1253" w:type="dxa"/>
            <w:tcBorders>
              <w:top w:val="nil"/>
              <w:left w:val="nil"/>
              <w:bottom w:val="nil"/>
              <w:right w:val="double" w:sz="6" w:space="0" w:color="800000"/>
            </w:tcBorders>
            <w:shd w:val="clear" w:color="000000" w:fill="FFFFCC"/>
            <w:noWrap/>
          </w:tcPr>
          <w:p w14:paraId="2CE7AFD6" w14:textId="77777777" w:rsidR="005F17C9" w:rsidRPr="00C30A8C" w:rsidRDefault="005F17C9" w:rsidP="00654A69">
            <w:pPr>
              <w:jc w:val="right"/>
              <w:rPr>
                <w:sz w:val="20"/>
                <w:szCs w:val="20"/>
              </w:rPr>
            </w:pPr>
            <w:r w:rsidRPr="00C30A8C">
              <w:rPr>
                <w:sz w:val="20"/>
                <w:szCs w:val="20"/>
              </w:rPr>
              <w:t>36,5%</w:t>
            </w:r>
          </w:p>
        </w:tc>
      </w:tr>
      <w:tr w:rsidR="005F17C9" w:rsidRPr="00E56679" w14:paraId="2A879EF2" w14:textId="77777777" w:rsidTr="00654A69">
        <w:trPr>
          <w:trHeight w:val="264"/>
        </w:trPr>
        <w:tc>
          <w:tcPr>
            <w:tcW w:w="4559" w:type="dxa"/>
            <w:tcBorders>
              <w:top w:val="nil"/>
              <w:left w:val="double" w:sz="6" w:space="0" w:color="800000"/>
              <w:bottom w:val="nil"/>
              <w:right w:val="single" w:sz="12" w:space="0" w:color="800000"/>
            </w:tcBorders>
            <w:shd w:val="clear" w:color="000000" w:fill="FFFFCC"/>
            <w:noWrap/>
            <w:vAlign w:val="bottom"/>
            <w:hideMark/>
          </w:tcPr>
          <w:p w14:paraId="00785996" w14:textId="77777777" w:rsidR="005F17C9" w:rsidRPr="00D638FF" w:rsidRDefault="005F17C9" w:rsidP="00654A69">
            <w:pPr>
              <w:rPr>
                <w:rFonts w:ascii="Arial" w:hAnsi="Arial" w:cs="Arial"/>
                <w:i/>
                <w:sz w:val="20"/>
                <w:szCs w:val="20"/>
              </w:rPr>
            </w:pPr>
            <w:r w:rsidRPr="00D638FF">
              <w:rPr>
                <w:i/>
                <w:sz w:val="18"/>
              </w:rPr>
              <w:t xml:space="preserve">  </w:t>
            </w:r>
            <w:r w:rsidRPr="00D638FF">
              <w:rPr>
                <w:i/>
                <w:sz w:val="20"/>
                <w:szCs w:val="20"/>
              </w:rPr>
              <w:t>Резерв за непредвидени и/или неотложни  разходи*</w:t>
            </w:r>
          </w:p>
        </w:tc>
        <w:tc>
          <w:tcPr>
            <w:tcW w:w="1134" w:type="dxa"/>
            <w:tcBorders>
              <w:top w:val="nil"/>
              <w:left w:val="nil"/>
              <w:bottom w:val="nil"/>
              <w:right w:val="single" w:sz="4" w:space="0" w:color="auto"/>
            </w:tcBorders>
            <w:shd w:val="clear" w:color="000000" w:fill="FFFFCC"/>
          </w:tcPr>
          <w:p w14:paraId="24118392" w14:textId="77777777" w:rsidR="005F17C9" w:rsidRPr="00C30A8C" w:rsidRDefault="005F17C9" w:rsidP="00654A69">
            <w:pPr>
              <w:jc w:val="right"/>
              <w:rPr>
                <w:sz w:val="20"/>
                <w:szCs w:val="20"/>
              </w:rPr>
            </w:pPr>
          </w:p>
        </w:tc>
        <w:tc>
          <w:tcPr>
            <w:tcW w:w="1062" w:type="dxa"/>
            <w:tcBorders>
              <w:top w:val="nil"/>
              <w:left w:val="single" w:sz="4" w:space="0" w:color="auto"/>
              <w:bottom w:val="nil"/>
              <w:right w:val="single" w:sz="8" w:space="0" w:color="800000"/>
            </w:tcBorders>
            <w:shd w:val="clear" w:color="000000" w:fill="FFFFCC"/>
          </w:tcPr>
          <w:p w14:paraId="4EF134BB" w14:textId="77777777" w:rsidR="005F17C9" w:rsidRPr="00C30A8C" w:rsidRDefault="005F17C9" w:rsidP="00654A69">
            <w:pPr>
              <w:jc w:val="right"/>
              <w:rPr>
                <w:sz w:val="20"/>
                <w:szCs w:val="20"/>
              </w:rPr>
            </w:pPr>
          </w:p>
          <w:p w14:paraId="1680D439" w14:textId="77777777" w:rsidR="005F17C9" w:rsidRPr="00C30A8C" w:rsidRDefault="005F17C9" w:rsidP="00654A69">
            <w:pPr>
              <w:jc w:val="right"/>
              <w:rPr>
                <w:sz w:val="20"/>
                <w:szCs w:val="20"/>
              </w:rPr>
            </w:pPr>
            <w:r w:rsidRPr="00C30A8C">
              <w:rPr>
                <w:sz w:val="20"/>
                <w:szCs w:val="20"/>
              </w:rPr>
              <w:t>131,4</w:t>
            </w:r>
          </w:p>
        </w:tc>
        <w:tc>
          <w:tcPr>
            <w:tcW w:w="1134" w:type="dxa"/>
            <w:tcBorders>
              <w:top w:val="nil"/>
              <w:left w:val="nil"/>
              <w:bottom w:val="nil"/>
              <w:right w:val="nil"/>
            </w:tcBorders>
            <w:shd w:val="clear" w:color="000000" w:fill="FFFFCC"/>
            <w:noWrap/>
          </w:tcPr>
          <w:p w14:paraId="675A4840" w14:textId="77777777" w:rsidR="005F17C9" w:rsidRPr="00C30A8C" w:rsidRDefault="005F17C9" w:rsidP="00654A69">
            <w:pPr>
              <w:jc w:val="right"/>
              <w:rPr>
                <w:sz w:val="20"/>
                <w:szCs w:val="20"/>
              </w:rPr>
            </w:pPr>
          </w:p>
        </w:tc>
        <w:tc>
          <w:tcPr>
            <w:tcW w:w="1348" w:type="dxa"/>
            <w:tcBorders>
              <w:top w:val="nil"/>
              <w:left w:val="single" w:sz="8" w:space="0" w:color="800000"/>
              <w:bottom w:val="nil"/>
              <w:right w:val="single" w:sz="8" w:space="0" w:color="800000"/>
            </w:tcBorders>
            <w:shd w:val="clear" w:color="000000" w:fill="FFFFCC"/>
            <w:noWrap/>
          </w:tcPr>
          <w:p w14:paraId="0D92AC46" w14:textId="77777777" w:rsidR="005F17C9" w:rsidRPr="00C30A8C" w:rsidRDefault="005F17C9" w:rsidP="00654A69">
            <w:pPr>
              <w:jc w:val="right"/>
              <w:rPr>
                <w:sz w:val="20"/>
                <w:szCs w:val="20"/>
              </w:rPr>
            </w:pPr>
          </w:p>
        </w:tc>
        <w:tc>
          <w:tcPr>
            <w:tcW w:w="1253" w:type="dxa"/>
            <w:tcBorders>
              <w:top w:val="nil"/>
              <w:left w:val="nil"/>
              <w:bottom w:val="nil"/>
              <w:right w:val="double" w:sz="6" w:space="0" w:color="800000"/>
            </w:tcBorders>
            <w:shd w:val="clear" w:color="000000" w:fill="FFFFCC"/>
            <w:noWrap/>
          </w:tcPr>
          <w:p w14:paraId="4EE7B7EB" w14:textId="77777777" w:rsidR="005F17C9" w:rsidRPr="00C30A8C" w:rsidRDefault="005F17C9" w:rsidP="00654A69">
            <w:pPr>
              <w:jc w:val="right"/>
              <w:rPr>
                <w:sz w:val="20"/>
                <w:szCs w:val="20"/>
              </w:rPr>
            </w:pPr>
          </w:p>
        </w:tc>
      </w:tr>
      <w:tr w:rsidR="005F17C9" w:rsidRPr="00E56679" w14:paraId="39A236B0" w14:textId="77777777" w:rsidTr="00654A69">
        <w:trPr>
          <w:trHeight w:val="264"/>
        </w:trPr>
        <w:tc>
          <w:tcPr>
            <w:tcW w:w="4559" w:type="dxa"/>
            <w:tcBorders>
              <w:top w:val="nil"/>
              <w:left w:val="double" w:sz="6" w:space="0" w:color="800000"/>
              <w:bottom w:val="nil"/>
              <w:right w:val="single" w:sz="12" w:space="0" w:color="800000"/>
            </w:tcBorders>
            <w:shd w:val="clear" w:color="000000" w:fill="FFFFCC"/>
            <w:noWrap/>
            <w:vAlign w:val="bottom"/>
            <w:hideMark/>
          </w:tcPr>
          <w:p w14:paraId="2FE964F5" w14:textId="77777777" w:rsidR="005F17C9" w:rsidRPr="00D638FF" w:rsidRDefault="005F17C9" w:rsidP="00654A69">
            <w:pPr>
              <w:rPr>
                <w:i/>
                <w:sz w:val="20"/>
                <w:szCs w:val="20"/>
              </w:rPr>
            </w:pPr>
            <w:r w:rsidRPr="00D638FF">
              <w:rPr>
                <w:i/>
                <w:sz w:val="20"/>
                <w:szCs w:val="20"/>
              </w:rPr>
              <w:t xml:space="preserve">   - Трансфери за др. бюджети - нето</w:t>
            </w:r>
          </w:p>
        </w:tc>
        <w:tc>
          <w:tcPr>
            <w:tcW w:w="1134" w:type="dxa"/>
            <w:tcBorders>
              <w:top w:val="nil"/>
              <w:left w:val="nil"/>
              <w:bottom w:val="nil"/>
              <w:right w:val="single" w:sz="4" w:space="0" w:color="auto"/>
            </w:tcBorders>
            <w:shd w:val="clear" w:color="000000" w:fill="FFFFCC"/>
            <w:noWrap/>
          </w:tcPr>
          <w:p w14:paraId="27D2E9F1" w14:textId="77777777" w:rsidR="005F17C9" w:rsidRPr="00C30A8C" w:rsidRDefault="005F17C9" w:rsidP="00654A69">
            <w:pPr>
              <w:jc w:val="right"/>
              <w:rPr>
                <w:sz w:val="20"/>
                <w:szCs w:val="20"/>
              </w:rPr>
            </w:pPr>
            <w:r w:rsidRPr="00C30A8C">
              <w:rPr>
                <w:sz w:val="20"/>
                <w:szCs w:val="20"/>
              </w:rPr>
              <w:t>10 679,8</w:t>
            </w:r>
          </w:p>
        </w:tc>
        <w:tc>
          <w:tcPr>
            <w:tcW w:w="1062" w:type="dxa"/>
            <w:tcBorders>
              <w:top w:val="nil"/>
              <w:left w:val="single" w:sz="4" w:space="0" w:color="auto"/>
              <w:bottom w:val="nil"/>
              <w:right w:val="single" w:sz="8" w:space="0" w:color="800000"/>
            </w:tcBorders>
            <w:shd w:val="clear" w:color="000000" w:fill="FFFFCC"/>
          </w:tcPr>
          <w:p w14:paraId="61657B58" w14:textId="77777777" w:rsidR="005F17C9" w:rsidRPr="00C30A8C" w:rsidRDefault="005F17C9" w:rsidP="00654A69">
            <w:pPr>
              <w:jc w:val="right"/>
              <w:rPr>
                <w:sz w:val="20"/>
                <w:szCs w:val="20"/>
              </w:rPr>
            </w:pPr>
            <w:r w:rsidRPr="00C30A8C">
              <w:rPr>
                <w:sz w:val="20"/>
                <w:szCs w:val="20"/>
              </w:rPr>
              <w:t>25 508,1</w:t>
            </w:r>
          </w:p>
        </w:tc>
        <w:tc>
          <w:tcPr>
            <w:tcW w:w="1134" w:type="dxa"/>
            <w:tcBorders>
              <w:top w:val="nil"/>
              <w:left w:val="nil"/>
              <w:bottom w:val="nil"/>
              <w:right w:val="single" w:sz="8" w:space="0" w:color="800000"/>
            </w:tcBorders>
            <w:shd w:val="clear" w:color="000000" w:fill="FFFFCC"/>
            <w:noWrap/>
          </w:tcPr>
          <w:p w14:paraId="0D39D309" w14:textId="77777777" w:rsidR="005F17C9" w:rsidRPr="00C30A8C" w:rsidRDefault="005F17C9" w:rsidP="00654A69">
            <w:pPr>
              <w:jc w:val="right"/>
              <w:rPr>
                <w:sz w:val="20"/>
                <w:szCs w:val="20"/>
              </w:rPr>
            </w:pPr>
            <w:r w:rsidRPr="00C30A8C">
              <w:rPr>
                <w:sz w:val="20"/>
                <w:szCs w:val="20"/>
              </w:rPr>
              <w:t>13 410,8</w:t>
            </w:r>
          </w:p>
        </w:tc>
        <w:tc>
          <w:tcPr>
            <w:tcW w:w="1348" w:type="dxa"/>
            <w:tcBorders>
              <w:top w:val="nil"/>
              <w:left w:val="nil"/>
              <w:bottom w:val="nil"/>
              <w:right w:val="single" w:sz="8" w:space="0" w:color="800000"/>
            </w:tcBorders>
            <w:shd w:val="clear" w:color="000000" w:fill="FFFFCC"/>
            <w:noWrap/>
          </w:tcPr>
          <w:p w14:paraId="7E61C19B" w14:textId="77777777" w:rsidR="005F17C9" w:rsidRPr="00C30A8C" w:rsidRDefault="005F17C9" w:rsidP="00654A69">
            <w:pPr>
              <w:jc w:val="right"/>
              <w:rPr>
                <w:sz w:val="20"/>
                <w:szCs w:val="20"/>
              </w:rPr>
            </w:pPr>
            <w:r w:rsidRPr="00C30A8C">
              <w:rPr>
                <w:sz w:val="20"/>
                <w:szCs w:val="20"/>
              </w:rPr>
              <w:t>125,6%</w:t>
            </w:r>
          </w:p>
        </w:tc>
        <w:tc>
          <w:tcPr>
            <w:tcW w:w="1253" w:type="dxa"/>
            <w:tcBorders>
              <w:top w:val="nil"/>
              <w:left w:val="nil"/>
              <w:bottom w:val="nil"/>
              <w:right w:val="double" w:sz="6" w:space="0" w:color="800000"/>
            </w:tcBorders>
            <w:shd w:val="clear" w:color="000000" w:fill="FFFFCC"/>
            <w:noWrap/>
          </w:tcPr>
          <w:p w14:paraId="074D4023" w14:textId="77777777" w:rsidR="005F17C9" w:rsidRPr="00C30A8C" w:rsidRDefault="005F17C9" w:rsidP="00654A69">
            <w:pPr>
              <w:jc w:val="right"/>
              <w:rPr>
                <w:sz w:val="20"/>
                <w:szCs w:val="20"/>
              </w:rPr>
            </w:pPr>
            <w:r w:rsidRPr="00C30A8C">
              <w:rPr>
                <w:sz w:val="20"/>
                <w:szCs w:val="20"/>
              </w:rPr>
              <w:t>52,6%</w:t>
            </w:r>
          </w:p>
        </w:tc>
      </w:tr>
      <w:tr w:rsidR="005F17C9" w:rsidRPr="00E56679" w14:paraId="2AEDB18E" w14:textId="77777777" w:rsidTr="00654A69">
        <w:trPr>
          <w:trHeight w:val="276"/>
        </w:trPr>
        <w:tc>
          <w:tcPr>
            <w:tcW w:w="4559" w:type="dxa"/>
            <w:tcBorders>
              <w:top w:val="nil"/>
              <w:left w:val="double" w:sz="6" w:space="0" w:color="800000"/>
              <w:bottom w:val="nil"/>
              <w:right w:val="single" w:sz="12" w:space="0" w:color="800000"/>
            </w:tcBorders>
            <w:shd w:val="clear" w:color="000000" w:fill="FFFFCC"/>
            <w:noWrap/>
            <w:vAlign w:val="bottom"/>
            <w:hideMark/>
          </w:tcPr>
          <w:p w14:paraId="1F18CBB7" w14:textId="77777777" w:rsidR="005F17C9" w:rsidRPr="00D638FF" w:rsidRDefault="005F17C9" w:rsidP="00654A69">
            <w:pPr>
              <w:rPr>
                <w:i/>
                <w:sz w:val="20"/>
                <w:szCs w:val="20"/>
              </w:rPr>
            </w:pPr>
            <w:r w:rsidRPr="00D638FF">
              <w:rPr>
                <w:i/>
                <w:sz w:val="20"/>
                <w:szCs w:val="20"/>
              </w:rPr>
              <w:t xml:space="preserve">   - Вноска за бюджета на ЕС</w:t>
            </w:r>
          </w:p>
        </w:tc>
        <w:tc>
          <w:tcPr>
            <w:tcW w:w="1134" w:type="dxa"/>
            <w:tcBorders>
              <w:top w:val="nil"/>
              <w:left w:val="nil"/>
              <w:bottom w:val="single" w:sz="8" w:space="0" w:color="800000"/>
              <w:right w:val="single" w:sz="8" w:space="0" w:color="800000"/>
            </w:tcBorders>
            <w:shd w:val="clear" w:color="000000" w:fill="FFFFCC"/>
          </w:tcPr>
          <w:p w14:paraId="154BF3CA" w14:textId="77777777" w:rsidR="005F17C9" w:rsidRPr="00C30A8C" w:rsidRDefault="005F17C9" w:rsidP="00654A69">
            <w:pPr>
              <w:jc w:val="right"/>
              <w:rPr>
                <w:sz w:val="20"/>
                <w:szCs w:val="20"/>
              </w:rPr>
            </w:pPr>
            <w:r w:rsidRPr="00C30A8C">
              <w:rPr>
                <w:sz w:val="20"/>
                <w:szCs w:val="20"/>
              </w:rPr>
              <w:t>847,6</w:t>
            </w:r>
          </w:p>
        </w:tc>
        <w:tc>
          <w:tcPr>
            <w:tcW w:w="1062" w:type="dxa"/>
            <w:tcBorders>
              <w:top w:val="nil"/>
              <w:left w:val="nil"/>
              <w:bottom w:val="nil"/>
              <w:right w:val="single" w:sz="8" w:space="0" w:color="800000"/>
            </w:tcBorders>
            <w:shd w:val="clear" w:color="000000" w:fill="FFFFCC"/>
          </w:tcPr>
          <w:p w14:paraId="1DD44ABA" w14:textId="77777777" w:rsidR="005F17C9" w:rsidRPr="00C30A8C" w:rsidRDefault="005F17C9" w:rsidP="00654A69">
            <w:pPr>
              <w:jc w:val="right"/>
              <w:rPr>
                <w:sz w:val="20"/>
                <w:szCs w:val="20"/>
              </w:rPr>
            </w:pPr>
            <w:r w:rsidRPr="00C30A8C">
              <w:rPr>
                <w:sz w:val="20"/>
                <w:szCs w:val="20"/>
              </w:rPr>
              <w:t>2 271,1</w:t>
            </w:r>
          </w:p>
        </w:tc>
        <w:tc>
          <w:tcPr>
            <w:tcW w:w="1134" w:type="dxa"/>
            <w:tcBorders>
              <w:top w:val="nil"/>
              <w:left w:val="nil"/>
              <w:bottom w:val="single" w:sz="8" w:space="0" w:color="800000"/>
              <w:right w:val="single" w:sz="8" w:space="0" w:color="800000"/>
            </w:tcBorders>
            <w:shd w:val="clear" w:color="000000" w:fill="FFFFCC"/>
          </w:tcPr>
          <w:p w14:paraId="744379D7" w14:textId="77777777" w:rsidR="005F17C9" w:rsidRPr="00C30A8C" w:rsidRDefault="005F17C9" w:rsidP="00654A69">
            <w:pPr>
              <w:jc w:val="right"/>
              <w:rPr>
                <w:sz w:val="20"/>
                <w:szCs w:val="20"/>
              </w:rPr>
            </w:pPr>
            <w:r w:rsidRPr="00C30A8C">
              <w:rPr>
                <w:sz w:val="20"/>
                <w:szCs w:val="20"/>
              </w:rPr>
              <w:t>713,5</w:t>
            </w:r>
          </w:p>
        </w:tc>
        <w:tc>
          <w:tcPr>
            <w:tcW w:w="1348" w:type="dxa"/>
            <w:tcBorders>
              <w:top w:val="nil"/>
              <w:left w:val="nil"/>
              <w:bottom w:val="nil"/>
              <w:right w:val="single" w:sz="8" w:space="0" w:color="800000"/>
            </w:tcBorders>
            <w:shd w:val="clear" w:color="000000" w:fill="FFFFCC"/>
            <w:noWrap/>
          </w:tcPr>
          <w:p w14:paraId="5BA616C1" w14:textId="77777777" w:rsidR="005F17C9" w:rsidRPr="00C30A8C" w:rsidRDefault="005F17C9" w:rsidP="00654A69">
            <w:pPr>
              <w:jc w:val="right"/>
              <w:rPr>
                <w:sz w:val="20"/>
                <w:szCs w:val="20"/>
              </w:rPr>
            </w:pPr>
            <w:r w:rsidRPr="00C30A8C">
              <w:rPr>
                <w:sz w:val="20"/>
                <w:szCs w:val="20"/>
              </w:rPr>
              <w:t>84,2%</w:t>
            </w:r>
          </w:p>
        </w:tc>
        <w:tc>
          <w:tcPr>
            <w:tcW w:w="1253" w:type="dxa"/>
            <w:tcBorders>
              <w:top w:val="nil"/>
              <w:left w:val="nil"/>
              <w:bottom w:val="single" w:sz="8" w:space="0" w:color="800000"/>
              <w:right w:val="double" w:sz="6" w:space="0" w:color="800000"/>
            </w:tcBorders>
            <w:shd w:val="clear" w:color="000000" w:fill="FFFFCC"/>
            <w:noWrap/>
          </w:tcPr>
          <w:p w14:paraId="0DC3C874" w14:textId="77777777" w:rsidR="005F17C9" w:rsidRPr="00C30A8C" w:rsidRDefault="005F17C9" w:rsidP="00654A69">
            <w:pPr>
              <w:jc w:val="right"/>
              <w:rPr>
                <w:sz w:val="20"/>
                <w:szCs w:val="20"/>
              </w:rPr>
            </w:pPr>
            <w:r w:rsidRPr="00C30A8C">
              <w:rPr>
                <w:sz w:val="20"/>
                <w:szCs w:val="20"/>
              </w:rPr>
              <w:t>31,4%</w:t>
            </w:r>
          </w:p>
        </w:tc>
      </w:tr>
      <w:tr w:rsidR="005F17C9" w:rsidRPr="00E56679" w14:paraId="251B9C9F" w14:textId="77777777" w:rsidTr="00654A69">
        <w:trPr>
          <w:trHeight w:val="276"/>
        </w:trPr>
        <w:tc>
          <w:tcPr>
            <w:tcW w:w="4559" w:type="dxa"/>
            <w:tcBorders>
              <w:top w:val="single" w:sz="8" w:space="0" w:color="800000"/>
              <w:left w:val="double" w:sz="6" w:space="0" w:color="800000"/>
              <w:bottom w:val="double" w:sz="6" w:space="0" w:color="800000"/>
              <w:right w:val="single" w:sz="12" w:space="0" w:color="800000"/>
            </w:tcBorders>
            <w:shd w:val="clear" w:color="000000" w:fill="FFFFCC"/>
            <w:noWrap/>
            <w:vAlign w:val="bottom"/>
            <w:hideMark/>
          </w:tcPr>
          <w:p w14:paraId="7BC15CE3" w14:textId="77777777" w:rsidR="005F17C9" w:rsidRPr="008C3792" w:rsidRDefault="005F17C9" w:rsidP="00654A69">
            <w:pPr>
              <w:rPr>
                <w:b/>
                <w:bCs/>
                <w:sz w:val="20"/>
                <w:szCs w:val="20"/>
              </w:rPr>
            </w:pPr>
            <w:r w:rsidRPr="008C3792">
              <w:rPr>
                <w:b/>
                <w:bCs/>
                <w:sz w:val="20"/>
                <w:szCs w:val="20"/>
              </w:rPr>
              <w:t>Бюджетен баланс</w:t>
            </w:r>
          </w:p>
        </w:tc>
        <w:tc>
          <w:tcPr>
            <w:tcW w:w="1134" w:type="dxa"/>
            <w:tcBorders>
              <w:top w:val="nil"/>
              <w:left w:val="nil"/>
              <w:bottom w:val="double" w:sz="6" w:space="0" w:color="800000"/>
              <w:right w:val="single" w:sz="8" w:space="0" w:color="800000"/>
            </w:tcBorders>
            <w:shd w:val="clear" w:color="000000" w:fill="FFFFCC"/>
            <w:noWrap/>
          </w:tcPr>
          <w:p w14:paraId="44157B88" w14:textId="77777777" w:rsidR="005F17C9" w:rsidRPr="00C30A8C" w:rsidRDefault="005F17C9" w:rsidP="00654A69">
            <w:pPr>
              <w:jc w:val="right"/>
              <w:rPr>
                <w:b/>
                <w:sz w:val="20"/>
                <w:szCs w:val="20"/>
              </w:rPr>
            </w:pPr>
            <w:r w:rsidRPr="00C30A8C">
              <w:rPr>
                <w:b/>
                <w:sz w:val="20"/>
                <w:szCs w:val="20"/>
              </w:rPr>
              <w:t>-859,6</w:t>
            </w:r>
          </w:p>
        </w:tc>
        <w:tc>
          <w:tcPr>
            <w:tcW w:w="1062" w:type="dxa"/>
            <w:tcBorders>
              <w:top w:val="single" w:sz="8" w:space="0" w:color="800000"/>
              <w:left w:val="nil"/>
              <w:bottom w:val="double" w:sz="6" w:space="0" w:color="800000"/>
              <w:right w:val="single" w:sz="8" w:space="0" w:color="800000"/>
            </w:tcBorders>
            <w:shd w:val="clear" w:color="000000" w:fill="FFFFCC"/>
            <w:noWrap/>
          </w:tcPr>
          <w:p w14:paraId="0730EF0B" w14:textId="77777777" w:rsidR="005F17C9" w:rsidRPr="00C30A8C" w:rsidRDefault="005F17C9" w:rsidP="00654A69">
            <w:pPr>
              <w:jc w:val="right"/>
              <w:rPr>
                <w:b/>
                <w:sz w:val="20"/>
                <w:szCs w:val="20"/>
              </w:rPr>
            </w:pPr>
            <w:r w:rsidRPr="00C30A8C">
              <w:rPr>
                <w:b/>
                <w:sz w:val="20"/>
                <w:szCs w:val="20"/>
              </w:rPr>
              <w:t>-8 032,4</w:t>
            </w:r>
          </w:p>
        </w:tc>
        <w:tc>
          <w:tcPr>
            <w:tcW w:w="1134" w:type="dxa"/>
            <w:tcBorders>
              <w:top w:val="nil"/>
              <w:left w:val="nil"/>
              <w:bottom w:val="double" w:sz="6" w:space="0" w:color="800000"/>
              <w:right w:val="single" w:sz="8" w:space="0" w:color="800000"/>
            </w:tcBorders>
            <w:shd w:val="clear" w:color="000000" w:fill="FFFFCC"/>
            <w:noWrap/>
          </w:tcPr>
          <w:p w14:paraId="7B4F3C47" w14:textId="77777777" w:rsidR="005F17C9" w:rsidRPr="00C30A8C" w:rsidRDefault="005F17C9" w:rsidP="00654A69">
            <w:pPr>
              <w:jc w:val="right"/>
              <w:rPr>
                <w:b/>
                <w:sz w:val="20"/>
                <w:szCs w:val="20"/>
              </w:rPr>
            </w:pPr>
            <w:r w:rsidRPr="00C30A8C">
              <w:rPr>
                <w:b/>
                <w:sz w:val="20"/>
                <w:szCs w:val="20"/>
              </w:rPr>
              <w:t>-2 407,8</w:t>
            </w:r>
          </w:p>
        </w:tc>
        <w:tc>
          <w:tcPr>
            <w:tcW w:w="1348" w:type="dxa"/>
            <w:tcBorders>
              <w:top w:val="single" w:sz="8" w:space="0" w:color="800000"/>
              <w:left w:val="nil"/>
              <w:bottom w:val="double" w:sz="6" w:space="0" w:color="800000"/>
              <w:right w:val="single" w:sz="8" w:space="0" w:color="800000"/>
            </w:tcBorders>
            <w:shd w:val="clear" w:color="000000" w:fill="FFFFCC"/>
            <w:noWrap/>
          </w:tcPr>
          <w:p w14:paraId="29C87458" w14:textId="77777777" w:rsidR="005F17C9" w:rsidRPr="00C30A8C" w:rsidRDefault="005F17C9" w:rsidP="00654A69">
            <w:pPr>
              <w:jc w:val="right"/>
              <w:rPr>
                <w:sz w:val="20"/>
                <w:szCs w:val="20"/>
              </w:rPr>
            </w:pPr>
          </w:p>
        </w:tc>
        <w:tc>
          <w:tcPr>
            <w:tcW w:w="1253" w:type="dxa"/>
            <w:tcBorders>
              <w:top w:val="single" w:sz="8" w:space="0" w:color="800000"/>
              <w:left w:val="nil"/>
              <w:bottom w:val="double" w:sz="6" w:space="0" w:color="800000"/>
              <w:right w:val="double" w:sz="6" w:space="0" w:color="800000"/>
            </w:tcBorders>
            <w:shd w:val="clear" w:color="000000" w:fill="FFFFCC"/>
            <w:noWrap/>
          </w:tcPr>
          <w:p w14:paraId="0A2413E3" w14:textId="77777777" w:rsidR="005F17C9" w:rsidRPr="00C30A8C" w:rsidRDefault="005F17C9" w:rsidP="00654A69">
            <w:pPr>
              <w:jc w:val="right"/>
              <w:rPr>
                <w:sz w:val="20"/>
                <w:szCs w:val="20"/>
              </w:rPr>
            </w:pPr>
          </w:p>
        </w:tc>
      </w:tr>
    </w:tbl>
    <w:p w14:paraId="2F54393C" w14:textId="77777777" w:rsidR="005F17C9" w:rsidRPr="008C3792" w:rsidRDefault="005F17C9" w:rsidP="005F17C9">
      <w:pPr>
        <w:ind w:right="-242"/>
        <w:jc w:val="center"/>
        <w:rPr>
          <w:b/>
          <w:bCs/>
          <w:sz w:val="20"/>
          <w:szCs w:val="20"/>
        </w:rPr>
      </w:pPr>
    </w:p>
    <w:p w14:paraId="4D24727C" w14:textId="77777777" w:rsidR="005F17C9" w:rsidRPr="008C3792" w:rsidRDefault="005F17C9" w:rsidP="005F17C9">
      <w:pPr>
        <w:ind w:right="-242"/>
        <w:jc w:val="both"/>
        <w:rPr>
          <w:bCs/>
          <w:sz w:val="18"/>
          <w:szCs w:val="18"/>
        </w:rPr>
      </w:pPr>
      <w:r w:rsidRPr="008C3792">
        <w:rPr>
          <w:bCs/>
          <w:sz w:val="18"/>
          <w:szCs w:val="18"/>
        </w:rPr>
        <w:t>* В позицията "</w:t>
      </w:r>
      <w:r w:rsidRPr="008C3792">
        <w:rPr>
          <w:sz w:val="18"/>
        </w:rPr>
        <w:t>Резерв за непредвидени и/или неотложни разходи</w:t>
      </w:r>
      <w:r w:rsidRPr="008C3792">
        <w:rPr>
          <w:bCs/>
          <w:sz w:val="18"/>
          <w:szCs w:val="18"/>
        </w:rPr>
        <w:t>" се отразяват само данните по разчет, а  разходите по отчет се отразяват по съответните разходни позиции, към които се отнасят извършените разходи.</w:t>
      </w:r>
    </w:p>
    <w:p w14:paraId="0A48E806" w14:textId="77777777" w:rsidR="005F17C9" w:rsidRPr="00C30A8C" w:rsidRDefault="005F17C9" w:rsidP="005F17C9">
      <w:pPr>
        <w:ind w:right="-242"/>
        <w:jc w:val="center"/>
        <w:rPr>
          <w:b/>
          <w:bCs/>
          <w:sz w:val="20"/>
          <w:szCs w:val="20"/>
        </w:rPr>
      </w:pPr>
    </w:p>
    <w:p w14:paraId="29F9F404" w14:textId="77777777" w:rsidR="005F17C9" w:rsidRPr="00E56679" w:rsidRDefault="005F17C9" w:rsidP="005F17C9">
      <w:pPr>
        <w:spacing w:after="120"/>
        <w:jc w:val="both"/>
        <w:rPr>
          <w:color w:val="0070C0"/>
        </w:rPr>
      </w:pPr>
      <w:r w:rsidRPr="00C30A8C">
        <w:t xml:space="preserve">През първото полугодие на 2024 г. постъпилите </w:t>
      </w:r>
      <w:r w:rsidRPr="00C30A8C">
        <w:rPr>
          <w:b/>
        </w:rPr>
        <w:t>приходи, помощи и дарения</w:t>
      </w:r>
      <w:r w:rsidRPr="00C30A8C">
        <w:t xml:space="preserve"> по държавния бюджет са в размер на 20 375,8 млн. лв., </w:t>
      </w:r>
      <w:r w:rsidRPr="00C30A8C">
        <w:rPr>
          <w:bCs/>
        </w:rPr>
        <w:t xml:space="preserve">което представлява 46,9 % изпълнение на годишните разчети в ЗДБРБ за 2024 г. Спрямо същия период на 2023 г. </w:t>
      </w:r>
      <w:r w:rsidRPr="00EC3B23">
        <w:rPr>
          <w:bCs/>
        </w:rPr>
        <w:t xml:space="preserve">постъпленията по държавния бюджет са с 2 026,8 млн. лв. повече. </w:t>
      </w:r>
      <w:r w:rsidRPr="00EC3B23">
        <w:t>Постъпилите</w:t>
      </w:r>
      <w:r w:rsidRPr="00EC3B23">
        <w:rPr>
          <w:b/>
        </w:rPr>
        <w:t xml:space="preserve"> данъчни приходи</w:t>
      </w:r>
      <w:r w:rsidRPr="00EC3B23">
        <w:t xml:space="preserve"> към 30.06.2024 г. са в размер на 17 354,3 млн. лв., което представлява изпълнение от 44,9 % на планираните разчети за 2024 г. или се увеличават с 11,2 на сто спрямо същия период на 2023 г. </w:t>
      </w:r>
    </w:p>
    <w:p w14:paraId="7512FC04" w14:textId="77777777" w:rsidR="005F17C9" w:rsidRPr="00F21EC6" w:rsidRDefault="005F17C9" w:rsidP="005F17C9">
      <w:pPr>
        <w:spacing w:before="120"/>
        <w:jc w:val="both"/>
        <w:rPr>
          <w:color w:val="0070C0"/>
        </w:rPr>
      </w:pPr>
      <w:r w:rsidRPr="00D638FF">
        <w:t xml:space="preserve">Приходите в частта на </w:t>
      </w:r>
      <w:r w:rsidRPr="00D638FF">
        <w:rPr>
          <w:i/>
        </w:rPr>
        <w:t xml:space="preserve">преките данъци </w:t>
      </w:r>
      <w:r w:rsidRPr="00D638FF">
        <w:t xml:space="preserve"> възлизат на 5 411,0 млн. лв., което представлява 42,2 % от планираните за годината, като спрямо същия период на предходната година се отчита увеличение с 471,3 млн. лева. </w:t>
      </w:r>
      <w:r w:rsidRPr="00295907">
        <w:t>Приходите от</w:t>
      </w:r>
      <w:r w:rsidRPr="00295907">
        <w:rPr>
          <w:b/>
        </w:rPr>
        <w:t xml:space="preserve"> </w:t>
      </w:r>
      <w:r w:rsidRPr="00E81FC1">
        <w:rPr>
          <w:bCs/>
        </w:rPr>
        <w:t>корпоративни данъци</w:t>
      </w:r>
      <w:r w:rsidRPr="00295907">
        <w:t xml:space="preserve"> </w:t>
      </w:r>
      <w:r w:rsidRPr="00295907">
        <w:rPr>
          <w:bCs/>
        </w:rPr>
        <w:t>към юни 2024</w:t>
      </w:r>
      <w:r>
        <w:rPr>
          <w:bCs/>
          <w:lang w:val="en-US"/>
        </w:rPr>
        <w:t> </w:t>
      </w:r>
      <w:r w:rsidRPr="00295907">
        <w:rPr>
          <w:bCs/>
        </w:rPr>
        <w:t>г.</w:t>
      </w:r>
      <w:r w:rsidRPr="00295907">
        <w:t xml:space="preserve"> са в размер на 2 144,4 млн. лв. или 36,2 % от годишния план. Сравнени с данните за месец юни на предходната година постъпленията нарастват с 58,1 млн. </w:t>
      </w:r>
      <w:proofErr w:type="spellStart"/>
      <w:r w:rsidRPr="00295907">
        <w:t>лв</w:t>
      </w:r>
      <w:proofErr w:type="spellEnd"/>
      <w:r w:rsidRPr="00153C68">
        <w:rPr>
          <w:lang w:val="ru-RU"/>
        </w:rPr>
        <w:t>.</w:t>
      </w:r>
      <w:r w:rsidRPr="00295907">
        <w:t xml:space="preserve"> </w:t>
      </w:r>
      <w:r w:rsidRPr="00153C68">
        <w:rPr>
          <w:lang w:val="ru-RU"/>
        </w:rPr>
        <w:t>(2,8 на сто)</w:t>
      </w:r>
      <w:r w:rsidRPr="00295907">
        <w:t xml:space="preserve">. </w:t>
      </w:r>
    </w:p>
    <w:p w14:paraId="745B18FD" w14:textId="77777777" w:rsidR="005F17C9" w:rsidRPr="009F1D4F" w:rsidRDefault="005F17C9" w:rsidP="005F17C9">
      <w:pPr>
        <w:spacing w:before="120"/>
        <w:jc w:val="both"/>
      </w:pPr>
      <w:r w:rsidRPr="00E81E34">
        <w:t xml:space="preserve">Календарният ефект от изместване на крайния срок за внасяне на задълженията по корпоративен данък в месец юли 2024 г. (30 юни 2024 е почивен ден) обуславя по-ниския дял на изпълнението спрямо същия период на предходната година </w:t>
      </w:r>
      <w:r w:rsidRPr="00E81E34">
        <w:rPr>
          <w:lang w:val="ru-RU"/>
        </w:rPr>
        <w:t>(</w:t>
      </w:r>
      <w:r w:rsidRPr="00E81E34">
        <w:t>ръст от 1,9 % спрямо същия период на 2023</w:t>
      </w:r>
      <w:r w:rsidRPr="00E81E34">
        <w:rPr>
          <w:lang w:val="en-US"/>
        </w:rPr>
        <w:t> </w:t>
      </w:r>
      <w:r w:rsidRPr="00E81E34">
        <w:t>г.</w:t>
      </w:r>
      <w:r w:rsidRPr="00E81E34">
        <w:rPr>
          <w:lang w:val="ru-RU"/>
        </w:rPr>
        <w:t xml:space="preserve">) </w:t>
      </w:r>
      <w:r w:rsidRPr="00E81E34">
        <w:t>и</w:t>
      </w:r>
      <w:r w:rsidRPr="009F1D4F">
        <w:t xml:space="preserve"> оказва влияние върху нивото на изпълнение на постъпления от този вид данък спрямо заложения годишен план</w:t>
      </w:r>
      <w:r>
        <w:t xml:space="preserve"> </w:t>
      </w:r>
      <w:r w:rsidRPr="00153C68">
        <w:rPr>
          <w:lang w:val="ru-RU"/>
        </w:rPr>
        <w:t>(35</w:t>
      </w:r>
      <w:r>
        <w:t>,8 % от плана</w:t>
      </w:r>
      <w:r w:rsidRPr="00153C68">
        <w:rPr>
          <w:lang w:val="ru-RU"/>
        </w:rPr>
        <w:t>)</w:t>
      </w:r>
      <w:r w:rsidRPr="009F1D4F">
        <w:t>.</w:t>
      </w:r>
    </w:p>
    <w:p w14:paraId="65DAA5B5" w14:textId="77777777" w:rsidR="005F17C9" w:rsidRPr="00F21EC6" w:rsidRDefault="005F17C9" w:rsidP="005F17C9">
      <w:pPr>
        <w:spacing w:before="120"/>
        <w:jc w:val="both"/>
        <w:rPr>
          <w:color w:val="0070C0"/>
        </w:rPr>
      </w:pPr>
      <w:r w:rsidRPr="00400BE4">
        <w:t>В тази група данъци са и приходите от данък върху дивидентите, ликвидационните дялове и доходите на местни и чуждестранни юридически лица, които са в размер на 65,0 млн. лв., като съпоставени със същия период на 2023</w:t>
      </w:r>
      <w:r w:rsidRPr="00400BE4">
        <w:rPr>
          <w:lang w:val="en-US"/>
        </w:rPr>
        <w:t> </w:t>
      </w:r>
      <w:r w:rsidRPr="00400BE4">
        <w:t>г. приходите са повече с 20,0 млн. лв.</w:t>
      </w:r>
      <w:r>
        <w:t xml:space="preserve"> </w:t>
      </w:r>
      <w:r w:rsidRPr="00153C68">
        <w:rPr>
          <w:lang w:val="ru-RU"/>
        </w:rPr>
        <w:t>(44</w:t>
      </w:r>
      <w:r>
        <w:t>,</w:t>
      </w:r>
      <w:r w:rsidRPr="00153C68">
        <w:rPr>
          <w:lang w:val="ru-RU"/>
        </w:rPr>
        <w:t>3 %)</w:t>
      </w:r>
      <w:r>
        <w:t>.</w:t>
      </w:r>
      <w:r w:rsidRPr="00400BE4">
        <w:t xml:space="preserve"> Постъпленията от данъци върху дивидентите, ликвидационните дялове и доходите на юридически лица зависят от състоянието на икономиката и осъществяващите се процеси по разпределение на фирмена собственост в страната.</w:t>
      </w:r>
    </w:p>
    <w:p w14:paraId="1013FE14" w14:textId="77777777" w:rsidR="005F17C9" w:rsidRPr="00153C68" w:rsidRDefault="005F17C9" w:rsidP="005F17C9">
      <w:pPr>
        <w:spacing w:before="120" w:after="120"/>
        <w:jc w:val="both"/>
        <w:rPr>
          <w:lang w:val="ru-RU"/>
        </w:rPr>
      </w:pPr>
      <w:r w:rsidRPr="00311917">
        <w:t>Приходите от</w:t>
      </w:r>
      <w:r w:rsidRPr="00311917">
        <w:rPr>
          <w:b/>
        </w:rPr>
        <w:t xml:space="preserve"> </w:t>
      </w:r>
      <w:r w:rsidRPr="00AC4C0B">
        <w:t xml:space="preserve">данъци върху доходите на физически лица са в размер на </w:t>
      </w:r>
      <w:r w:rsidRPr="00AC4C0B">
        <w:rPr>
          <w:lang w:val="ru-RU"/>
        </w:rPr>
        <w:t xml:space="preserve">3 266,6 </w:t>
      </w:r>
      <w:r w:rsidRPr="00AC4C0B">
        <w:t>млн. лв. или 47,3 % от заложените в разчета за годината. Тези приходи са с 413,1 млн</w:t>
      </w:r>
      <w:r w:rsidRPr="00311917">
        <w:t>. лв. повече или 14,5 % ръст спрямо същия период на предходната година.</w:t>
      </w:r>
      <w:r w:rsidRPr="00153C68">
        <w:rPr>
          <w:lang w:val="ru-RU"/>
        </w:rPr>
        <w:t xml:space="preserve"> </w:t>
      </w:r>
    </w:p>
    <w:p w14:paraId="6A06F943" w14:textId="77777777" w:rsidR="005F17C9" w:rsidRPr="00E56679" w:rsidRDefault="005F17C9" w:rsidP="005F17C9">
      <w:pPr>
        <w:jc w:val="both"/>
        <w:rPr>
          <w:color w:val="0070C0"/>
          <w:sz w:val="2"/>
          <w:szCs w:val="2"/>
        </w:rPr>
      </w:pPr>
    </w:p>
    <w:p w14:paraId="289581CB" w14:textId="2CA027DF" w:rsidR="005F17C9" w:rsidRPr="00153C68" w:rsidRDefault="005F17C9" w:rsidP="005F17C9">
      <w:pPr>
        <w:spacing w:after="120"/>
        <w:jc w:val="both"/>
        <w:rPr>
          <w:color w:val="0070C0"/>
          <w:lang w:val="ru-RU"/>
        </w:rPr>
      </w:pPr>
      <w:r w:rsidRPr="000E4170">
        <w:t xml:space="preserve">Приходите от </w:t>
      </w:r>
      <w:r w:rsidRPr="00AC4C0B">
        <w:rPr>
          <w:i/>
        </w:rPr>
        <w:t>косвени данъци</w:t>
      </w:r>
      <w:r w:rsidRPr="000E4170">
        <w:t xml:space="preserve"> </w:t>
      </w:r>
      <w:r w:rsidRPr="000E4170">
        <w:rPr>
          <w:bCs/>
        </w:rPr>
        <w:t>към юни 2024 г.</w:t>
      </w:r>
      <w:r w:rsidRPr="000E4170">
        <w:t xml:space="preserve"> са в размер на</w:t>
      </w:r>
      <w:r w:rsidRPr="000E4170">
        <w:rPr>
          <w:b/>
        </w:rPr>
        <w:t xml:space="preserve"> </w:t>
      </w:r>
      <w:r w:rsidRPr="00AC4C0B">
        <w:t>11 810,8 млн. лв</w:t>
      </w:r>
      <w:r w:rsidRPr="000E4170">
        <w:t>. или 46,</w:t>
      </w:r>
      <w:r>
        <w:t>3 % от годишния разчет. Съпоставени</w:t>
      </w:r>
      <w:r w:rsidRPr="000E4170">
        <w:t xml:space="preserve"> с данните за същия период на предходната година</w:t>
      </w:r>
      <w:r w:rsidR="00BB261C">
        <w:t>,</w:t>
      </w:r>
      <w:r w:rsidRPr="000E4170">
        <w:t xml:space="preserve"> постъпленията </w:t>
      </w:r>
      <w:r w:rsidRPr="000E4170">
        <w:rPr>
          <w:bCs/>
        </w:rPr>
        <w:t>нарастват</w:t>
      </w:r>
      <w:r w:rsidRPr="000E4170">
        <w:t xml:space="preserve"> с 1 356,4 млн. лв. </w:t>
      </w:r>
      <w:r w:rsidRPr="000E4170">
        <w:rPr>
          <w:lang w:val="ru-RU"/>
        </w:rPr>
        <w:t>(</w:t>
      </w:r>
      <w:r w:rsidRPr="000E4170">
        <w:t>13,0 на сто</w:t>
      </w:r>
      <w:r w:rsidRPr="000E4170">
        <w:rPr>
          <w:lang w:val="ru-RU"/>
        </w:rPr>
        <w:t xml:space="preserve">). </w:t>
      </w:r>
    </w:p>
    <w:p w14:paraId="0AA1054B" w14:textId="32A07AB1" w:rsidR="005F17C9" w:rsidRPr="00CE6DF7" w:rsidRDefault="005F17C9" w:rsidP="005F17C9">
      <w:pPr>
        <w:autoSpaceDE w:val="0"/>
        <w:autoSpaceDN w:val="0"/>
        <w:adjustRightInd w:val="0"/>
        <w:spacing w:after="120"/>
        <w:jc w:val="both"/>
        <w:rPr>
          <w:color w:val="0070C0"/>
        </w:rPr>
      </w:pPr>
      <w:r w:rsidRPr="00AC4C0B">
        <w:t xml:space="preserve">Приходите от ДДС са в размер на 8 428,1 млн. лв., което представлява 45,2 % от планираните със ЗДБРБ за 2024 година. Съпоставени с края на юни 2023 г., приходите от ДДС нарастват с 1 004,9 млн. лв. </w:t>
      </w:r>
      <w:r w:rsidRPr="00AC4C0B">
        <w:rPr>
          <w:lang w:val="ru-RU"/>
        </w:rPr>
        <w:t>(</w:t>
      </w:r>
      <w:r w:rsidRPr="00AC4C0B">
        <w:t>13,5 на сто</w:t>
      </w:r>
      <w:r w:rsidRPr="00AC4C0B">
        <w:rPr>
          <w:lang w:val="ru-RU"/>
        </w:rPr>
        <w:t>)</w:t>
      </w:r>
      <w:r w:rsidRPr="00AC4C0B">
        <w:t>. Приходите от акцизи (нето) от внос, вътрешно производство и въведени в страната от други държави-членки на ЕС акцизни стоки са в размер на 3 210,9 млн. лв., което е 49,8 %</w:t>
      </w:r>
      <w:r w:rsidRPr="00B656EF">
        <w:t xml:space="preserve"> от планираните със ЗДБРБ за 2024 г. Съпоставени с юни 2023 г.</w:t>
      </w:r>
      <w:r w:rsidR="00BB261C">
        <w:t>,</w:t>
      </w:r>
      <w:r w:rsidRPr="00B656EF">
        <w:t xml:space="preserve"> постъпленията от акцизи нарастват </w:t>
      </w:r>
      <w:r w:rsidRPr="00A61F3B">
        <w:t>номинално с 373,2 млн. лв. (13,2 %), главно поради увеличените акцизни ставки от 1 януари 2024</w:t>
      </w:r>
      <w:r>
        <w:rPr>
          <w:color w:val="0070C0"/>
        </w:rPr>
        <w:t xml:space="preserve"> </w:t>
      </w:r>
      <w:r w:rsidRPr="00AC4C0B">
        <w:t xml:space="preserve">г. Постъпленията от </w:t>
      </w:r>
      <w:r w:rsidRPr="00AC4C0B">
        <w:rPr>
          <w:bCs/>
        </w:rPr>
        <w:t xml:space="preserve">мита </w:t>
      </w:r>
      <w:r w:rsidRPr="00AC4C0B">
        <w:t>възлизат на 140,2 млн. лв. или 37,9 % от планираните със ЗДБРБ за 2024 г., като заемат 0,8 % относителен дял в общия размер на данъчните приходи по държавния бюджет. Събраните приходи от мита към месец юни са с 25,9 млн. лв. (15,6 %) по-малко спрямо същия период на 2023 година. Влияние върху спада в приходите от мита оказват нарушените вериги на доставки в резултат на събитията в Червено море, както и въведените от ЕС ограничителни мерки спрямо Русия в съответствие с Регламент (ЕС) № 833/2014  и неговите последващи изменения и допълнения. Друг фактор върху намалените постъпления от мита има удължения с Регламент (ЕС) 2023/1077  на ЕП и Съвета от 30 юни 2023 година преференциален режим спрямо Украйна под формата на пълно премахване на вносните мита върху вноса на промишлени продукти от страната, спиране на прилагането на механизма на „входните цени“ по отношение на плодовете и зеленчуците, спиране на прилагането на тарифните квоти и пълно прем</w:t>
      </w:r>
      <w:r>
        <w:t>ахване на вносните мита, и др</w:t>
      </w:r>
      <w:r w:rsidRPr="00AC4C0B">
        <w:t>.</w:t>
      </w:r>
      <w:r>
        <w:t xml:space="preserve"> </w:t>
      </w:r>
      <w:r w:rsidRPr="00CE6DF7">
        <w:t>Приходите от данък върху застрахователните премии са в размер на 31,8 млн. лв., при планирани за годината 63,0 млн. лева. Изпълнението на приходите от данъка върху застрахователните премии по облагаеми застрахователни договори, рисковете по които са поети от застрахователи, зависят основно от ръста или спада на записаните застрахователни премии. В сравнение със същия период на 2023 г. приходите отчитат ръст от 4,2 млн. лв. (15,3 на сто).</w:t>
      </w:r>
    </w:p>
    <w:p w14:paraId="5E54B8BB" w14:textId="71F6B981" w:rsidR="005F17C9" w:rsidRPr="00CE6DF7" w:rsidRDefault="005F17C9" w:rsidP="005F17C9">
      <w:pPr>
        <w:spacing w:after="120"/>
        <w:jc w:val="both"/>
        <w:rPr>
          <w:color w:val="0070C0"/>
        </w:rPr>
      </w:pPr>
      <w:r w:rsidRPr="00CE6DF7">
        <w:t xml:space="preserve">Постъпленията от </w:t>
      </w:r>
      <w:r w:rsidRPr="00CE6DF7">
        <w:rPr>
          <w:i/>
        </w:rPr>
        <w:t>други данъци</w:t>
      </w:r>
      <w:r w:rsidRPr="00CE6DF7">
        <w:t xml:space="preserve"> по държавния бюджет </w:t>
      </w:r>
      <w:r w:rsidRPr="00CE6DF7">
        <w:rPr>
          <w:bCs/>
        </w:rPr>
        <w:t>към края на юни 2024</w:t>
      </w:r>
      <w:r w:rsidRPr="00CE6DF7">
        <w:t xml:space="preserve"> г. са в размер на 132,5 млн. лв.</w:t>
      </w:r>
      <w:r w:rsidRPr="00CE6DF7">
        <w:rPr>
          <w:bCs/>
        </w:rPr>
        <w:t xml:space="preserve"> или 47,8 % от планираните със ЗДБРБ за 2024 г. Съпоставени с данните към юни 2023 г.</w:t>
      </w:r>
      <w:r w:rsidR="00BB261C">
        <w:rPr>
          <w:bCs/>
        </w:rPr>
        <w:t>,</w:t>
      </w:r>
      <w:r w:rsidRPr="00CE6DF7">
        <w:rPr>
          <w:bCs/>
        </w:rPr>
        <w:t xml:space="preserve"> приходите от други данъци са с 85,3 млн. лв. по-малко</w:t>
      </w:r>
      <w:r w:rsidRPr="00CE6DF7">
        <w:rPr>
          <w:bCs/>
          <w:lang w:val="ru-RU"/>
        </w:rPr>
        <w:t>.</w:t>
      </w:r>
      <w:r w:rsidRPr="00CE6DF7">
        <w:rPr>
          <w:bCs/>
        </w:rPr>
        <w:t xml:space="preserve"> Въведената мярка „временна солидарна вноска и енергийни вноски“ по Регламент (ЕС) 2022/1854 на Съвета от 6 октомври 2022 г. относно спешна намеса за справяне с високите цени на енергията с действие от 1 октомври 2022 година е с изтекъл срок на действие и не се прилага през 2024 година</w:t>
      </w:r>
      <w:r w:rsidRPr="00CE6DF7">
        <w:t>.</w:t>
      </w:r>
    </w:p>
    <w:p w14:paraId="733FB765" w14:textId="77777777" w:rsidR="005F17C9" w:rsidRPr="00E56679" w:rsidRDefault="005F17C9" w:rsidP="005F17C9">
      <w:pPr>
        <w:tabs>
          <w:tab w:val="left" w:pos="900"/>
        </w:tabs>
        <w:spacing w:after="120"/>
        <w:jc w:val="both"/>
        <w:rPr>
          <w:color w:val="0070C0"/>
        </w:rPr>
      </w:pPr>
      <w:r w:rsidRPr="00282870">
        <w:t>Отчетените</w:t>
      </w:r>
      <w:r w:rsidRPr="00282870">
        <w:rPr>
          <w:b/>
          <w:bCs/>
        </w:rPr>
        <w:t xml:space="preserve"> неданъчни приходи</w:t>
      </w:r>
      <w:r w:rsidRPr="00282870">
        <w:t xml:space="preserve"> по държавния бюджет </w:t>
      </w:r>
      <w:r w:rsidRPr="00282870">
        <w:rPr>
          <w:bCs/>
        </w:rPr>
        <w:t>към юни 2024 г.</w:t>
      </w:r>
      <w:r w:rsidRPr="00282870">
        <w:t xml:space="preserve"> са в размер на </w:t>
      </w:r>
      <w:r>
        <w:rPr>
          <w:b/>
        </w:rPr>
        <w:t>2 961,2</w:t>
      </w:r>
      <w:r w:rsidRPr="00282870">
        <w:rPr>
          <w:b/>
        </w:rPr>
        <w:t> млн. лв</w:t>
      </w:r>
      <w:r w:rsidRPr="00282870">
        <w:t xml:space="preserve">. и се формират основно от приходи от държавни такси, приходи и доходи от собственост, вкл. приходи от дивидент за държавата от държавните предприятия, приходи от </w:t>
      </w:r>
      <w:r w:rsidRPr="00104703">
        <w:t>концесии и други неданъчни приходи.</w:t>
      </w:r>
      <w:r w:rsidRPr="00153C68">
        <w:rPr>
          <w:lang w:val="ru-RU"/>
        </w:rPr>
        <w:t xml:space="preserve"> </w:t>
      </w:r>
      <w:r w:rsidRPr="00104703">
        <w:t>Сравнени със същия период на предходната година недан</w:t>
      </w:r>
      <w:r>
        <w:t>ъчните приходи нарастват с 226,7</w:t>
      </w:r>
      <w:r w:rsidRPr="00104703">
        <w:t xml:space="preserve"> млн. лв. </w:t>
      </w:r>
      <w:r w:rsidRPr="00153C68">
        <w:rPr>
          <w:lang w:val="ru-RU"/>
        </w:rPr>
        <w:t>(</w:t>
      </w:r>
      <w:r>
        <w:t>основно поради постъпилите през месец април</w:t>
      </w:r>
      <w:r w:rsidRPr="00104703">
        <w:t xml:space="preserve"> </w:t>
      </w:r>
      <w:r w:rsidRPr="00104703">
        <w:rPr>
          <w:rFonts w:eastAsia="Calibri"/>
        </w:rPr>
        <w:t>660 млн. лв.</w:t>
      </w:r>
      <w:r w:rsidRPr="00153C68">
        <w:rPr>
          <w:rFonts w:eastAsia="Calibri"/>
          <w:lang w:val="ru-RU"/>
        </w:rPr>
        <w:t xml:space="preserve"> </w:t>
      </w:r>
      <w:r w:rsidRPr="00104703">
        <w:rPr>
          <w:rFonts w:eastAsia="Calibri"/>
        </w:rPr>
        <w:t>от вноската от Българска народна банка, която се формира от превишението на приходите над разходите за 2023 година</w:t>
      </w:r>
      <w:r w:rsidRPr="00153C68">
        <w:rPr>
          <w:rFonts w:eastAsia="Calibri"/>
          <w:lang w:val="ru-RU"/>
        </w:rPr>
        <w:t>)</w:t>
      </w:r>
      <w:r w:rsidRPr="00104703">
        <w:rPr>
          <w:rFonts w:eastAsia="Calibri"/>
        </w:rPr>
        <w:t>.</w:t>
      </w:r>
    </w:p>
    <w:p w14:paraId="6E6B993F" w14:textId="77777777" w:rsidR="005F17C9" w:rsidRPr="008B4860" w:rsidRDefault="005F17C9" w:rsidP="005F17C9">
      <w:pPr>
        <w:spacing w:after="120"/>
        <w:jc w:val="both"/>
        <w:rPr>
          <w:b/>
        </w:rPr>
      </w:pPr>
      <w:r w:rsidRPr="008B4860">
        <w:t xml:space="preserve">Постъпилите </w:t>
      </w:r>
      <w:r w:rsidRPr="008B4860">
        <w:rPr>
          <w:b/>
        </w:rPr>
        <w:t>помощи</w:t>
      </w:r>
      <w:r w:rsidRPr="008B4860">
        <w:t xml:space="preserve"> </w:t>
      </w:r>
      <w:r w:rsidRPr="008B4860">
        <w:rPr>
          <w:b/>
        </w:rPr>
        <w:t>и дарения</w:t>
      </w:r>
      <w:r w:rsidRPr="008B4860">
        <w:t xml:space="preserve"> по държавния бюджет към юни 2024 г. са в размер на </w:t>
      </w:r>
      <w:r w:rsidRPr="00153C68">
        <w:rPr>
          <w:b/>
          <w:lang w:val="ru-RU"/>
        </w:rPr>
        <w:t>60</w:t>
      </w:r>
      <w:r w:rsidRPr="008B4860">
        <w:rPr>
          <w:b/>
        </w:rPr>
        <w:t>,3 млн. лева.</w:t>
      </w:r>
    </w:p>
    <w:p w14:paraId="30E2F3F5" w14:textId="77777777" w:rsidR="005F17C9" w:rsidRDefault="005F17C9" w:rsidP="005F17C9">
      <w:pPr>
        <w:spacing w:before="120"/>
        <w:jc w:val="both"/>
        <w:rPr>
          <w:rFonts w:eastAsia="Calibri"/>
        </w:rPr>
      </w:pPr>
      <w:r w:rsidRPr="00750634">
        <w:t xml:space="preserve">Общият размер на </w:t>
      </w:r>
      <w:r w:rsidRPr="00750634">
        <w:rPr>
          <w:b/>
        </w:rPr>
        <w:t>разходите по държавния бюджет</w:t>
      </w:r>
      <w:r w:rsidRPr="00750634">
        <w:t xml:space="preserve"> </w:t>
      </w:r>
      <w:r w:rsidRPr="00750634">
        <w:rPr>
          <w:lang w:val="ru-RU"/>
        </w:rPr>
        <w:t xml:space="preserve">(вкл. трансферите за др. бюджети и </w:t>
      </w:r>
      <w:r w:rsidRPr="00812AC2">
        <w:rPr>
          <w:lang w:val="ru-RU"/>
        </w:rPr>
        <w:t xml:space="preserve">вноската в бюджета на ЕС) </w:t>
      </w:r>
      <w:r w:rsidRPr="00812AC2">
        <w:rPr>
          <w:bCs/>
        </w:rPr>
        <w:t>към юни 2024 г.</w:t>
      </w:r>
      <w:r w:rsidRPr="00812AC2">
        <w:t xml:space="preserve"> е </w:t>
      </w:r>
      <w:r>
        <w:rPr>
          <w:b/>
        </w:rPr>
        <w:t>22 783,6</w:t>
      </w:r>
      <w:r w:rsidRPr="00812AC2">
        <w:rPr>
          <w:b/>
        </w:rPr>
        <w:t xml:space="preserve"> млн. лв</w:t>
      </w:r>
      <w:r w:rsidRPr="00812AC2">
        <w:t>., 44,3 % от годишните разчети. С оглед постигане на съпоставимост с предходната година на графиката по-долу е елиминирано влиянието на трансакцията по</w:t>
      </w:r>
      <w:r w:rsidRPr="00812AC2">
        <w:rPr>
          <w:rFonts w:eastAsia="Calibri"/>
        </w:rPr>
        <w:t xml:space="preserve"> чл. 71, ал.1 от Постановление № 13 на Министерския съвет от 2024</w:t>
      </w:r>
      <w:r>
        <w:rPr>
          <w:rFonts w:eastAsia="Calibri"/>
        </w:rPr>
        <w:t> </w:t>
      </w:r>
      <w:r w:rsidRPr="00812AC2">
        <w:rPr>
          <w:rFonts w:eastAsia="Calibri"/>
        </w:rPr>
        <w:t>г. (възстановени разходи в размер на 1 200 млн. лв. от сметката за чужди средства по бюджета на Министерството на регионалното развитие и благоустройството</w:t>
      </w:r>
      <w:r w:rsidRPr="00153C68">
        <w:rPr>
          <w:rFonts w:eastAsia="Calibri"/>
          <w:lang w:val="ru-RU"/>
        </w:rPr>
        <w:t>)</w:t>
      </w:r>
      <w:r w:rsidRPr="00812AC2">
        <w:rPr>
          <w:rFonts w:eastAsia="Calibri"/>
        </w:rPr>
        <w:t>.</w:t>
      </w:r>
    </w:p>
    <w:p w14:paraId="0DB5D167" w14:textId="77777777" w:rsidR="005F17C9" w:rsidRDefault="005F17C9" w:rsidP="005F17C9">
      <w:pPr>
        <w:spacing w:before="120"/>
        <w:jc w:val="both"/>
        <w:rPr>
          <w:rFonts w:eastAsia="Calibri"/>
        </w:rPr>
      </w:pPr>
    </w:p>
    <w:p w14:paraId="132F1644" w14:textId="77777777" w:rsidR="005F17C9" w:rsidRPr="00772219" w:rsidRDefault="005F17C9" w:rsidP="005F17C9">
      <w:pPr>
        <w:pStyle w:val="BodyTextIndent"/>
        <w:spacing w:after="0"/>
        <w:ind w:left="0"/>
        <w:jc w:val="center"/>
        <w:rPr>
          <w:b/>
          <w:u w:val="single"/>
          <w:lang w:val="ru-RU"/>
        </w:rPr>
      </w:pPr>
      <w:r w:rsidRPr="00772219">
        <w:rPr>
          <w:b/>
          <w:u w:val="single"/>
          <w:lang w:val="ru-RU"/>
        </w:rPr>
        <w:t xml:space="preserve">Разходи, трансфери за други бюджети и вноска в бюджета на ЕС </w:t>
      </w:r>
    </w:p>
    <w:p w14:paraId="1075EAE0" w14:textId="77777777" w:rsidR="005F17C9" w:rsidRDefault="005F17C9" w:rsidP="005F17C9">
      <w:pPr>
        <w:spacing w:before="120"/>
        <w:ind w:left="1416" w:firstLine="708"/>
        <w:jc w:val="both"/>
        <w:rPr>
          <w:b/>
          <w:u w:val="single"/>
        </w:rPr>
      </w:pPr>
      <w:r w:rsidRPr="008E299B">
        <w:rPr>
          <w:b/>
          <w:u w:val="single"/>
        </w:rPr>
        <w:t>към юни 2023 г. и 2024 г. на съпоставима база</w:t>
      </w:r>
    </w:p>
    <w:p w14:paraId="16C04162" w14:textId="7EE29A6F" w:rsidR="005F17C9" w:rsidRDefault="00527C81" w:rsidP="005F17C9">
      <w:pPr>
        <w:spacing w:before="120"/>
        <w:ind w:left="1416" w:firstLine="708"/>
        <w:jc w:val="both"/>
        <w:rPr>
          <w:b/>
          <w:u w:val="single"/>
        </w:rPr>
      </w:pPr>
      <w:r>
        <w:rPr>
          <w:b/>
          <w:u w:val="single"/>
        </w:rPr>
        <w:tab/>
      </w:r>
    </w:p>
    <w:p w14:paraId="564B97D3" w14:textId="0C95EF99" w:rsidR="00527C81" w:rsidRDefault="00527C81" w:rsidP="00527C81">
      <w:pPr>
        <w:spacing w:before="120"/>
        <w:ind w:left="1416" w:hanging="1416"/>
        <w:jc w:val="both"/>
        <w:rPr>
          <w:b/>
          <w:u w:val="single"/>
        </w:rPr>
      </w:pPr>
      <w:r>
        <w:rPr>
          <w:b/>
          <w:noProof/>
          <w:u w:val="single"/>
        </w:rPr>
        <w:drawing>
          <wp:inline distT="0" distB="0" distL="0" distR="0" wp14:anchorId="3783D2D2" wp14:editId="783FC813">
            <wp:extent cx="5730875" cy="2334895"/>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0875" cy="2334895"/>
                    </a:xfrm>
                    <a:prstGeom prst="rect">
                      <a:avLst/>
                    </a:prstGeom>
                    <a:noFill/>
                  </pic:spPr>
                </pic:pic>
              </a:graphicData>
            </a:graphic>
          </wp:inline>
        </w:drawing>
      </w:r>
    </w:p>
    <w:p w14:paraId="554B2347" w14:textId="77777777" w:rsidR="006E6C5A" w:rsidRPr="006E6C5A" w:rsidRDefault="006E6C5A" w:rsidP="005F17C9">
      <w:pPr>
        <w:spacing w:before="120" w:after="120"/>
        <w:jc w:val="both"/>
        <w:rPr>
          <w:b/>
          <w:bCs/>
          <w:sz w:val="10"/>
        </w:rPr>
      </w:pPr>
    </w:p>
    <w:p w14:paraId="2C340F0F" w14:textId="5057D9CB" w:rsidR="005F17C9" w:rsidRPr="00CD24A0" w:rsidRDefault="005F17C9" w:rsidP="005F17C9">
      <w:pPr>
        <w:spacing w:before="120" w:after="120"/>
        <w:jc w:val="both"/>
        <w:rPr>
          <w:bCs/>
        </w:rPr>
      </w:pPr>
      <w:r w:rsidRPr="00BA491D">
        <w:rPr>
          <w:b/>
          <w:bCs/>
        </w:rPr>
        <w:t xml:space="preserve">Нелихвените </w:t>
      </w:r>
      <w:r w:rsidRPr="00CD24A0">
        <w:rPr>
          <w:b/>
          <w:bCs/>
        </w:rPr>
        <w:t>разходи</w:t>
      </w:r>
      <w:r w:rsidRPr="00CD24A0">
        <w:rPr>
          <w:bCs/>
        </w:rPr>
        <w:t xml:space="preserve"> </w:t>
      </w:r>
      <w:r w:rsidRPr="00CD24A0">
        <w:t xml:space="preserve"> (без трансферите за др. бюджети) </w:t>
      </w:r>
      <w:r w:rsidRPr="00BA491D">
        <w:rPr>
          <w:bCs/>
        </w:rPr>
        <w:t xml:space="preserve">по държавния бюджет към юни </w:t>
      </w:r>
      <w:r w:rsidRPr="00CD24A0">
        <w:rPr>
          <w:bCs/>
        </w:rPr>
        <w:t>2024</w:t>
      </w:r>
      <w:r w:rsidR="0029259C">
        <w:rPr>
          <w:bCs/>
        </w:rPr>
        <w:t> </w:t>
      </w:r>
      <w:r w:rsidRPr="00CD24A0">
        <w:rPr>
          <w:bCs/>
        </w:rPr>
        <w:t>г.</w:t>
      </w:r>
      <w:r w:rsidRPr="00CD24A0">
        <w:t xml:space="preserve"> </w:t>
      </w:r>
      <w:r w:rsidRPr="00CD24A0">
        <w:rPr>
          <w:bCs/>
        </w:rPr>
        <w:t xml:space="preserve">на съпоставима база са в размер на </w:t>
      </w:r>
      <w:r w:rsidRPr="00CD24A0">
        <w:rPr>
          <w:b/>
          <w:bCs/>
        </w:rPr>
        <w:t>9 391,7 млн. лева.</w:t>
      </w:r>
      <w:r w:rsidRPr="00CD24A0">
        <w:rPr>
          <w:bCs/>
        </w:rPr>
        <w:t xml:space="preserve"> </w:t>
      </w:r>
    </w:p>
    <w:p w14:paraId="643272BC" w14:textId="77777777" w:rsidR="005F17C9" w:rsidRPr="00E56679" w:rsidRDefault="005F17C9" w:rsidP="00C32E79">
      <w:pPr>
        <w:spacing w:before="120" w:after="120"/>
        <w:jc w:val="both"/>
        <w:rPr>
          <w:color w:val="0070C0"/>
        </w:rPr>
      </w:pPr>
      <w:r w:rsidRPr="00CD24A0">
        <w:t>Размерът на извършените текущи нелихвени разходи за периода е 8</w:t>
      </w:r>
      <w:r w:rsidRPr="00CD24A0">
        <w:rPr>
          <w:lang w:val="en-GB"/>
        </w:rPr>
        <w:t> </w:t>
      </w:r>
      <w:r w:rsidRPr="00CD24A0">
        <w:t xml:space="preserve">099,5 млн. лв., което представлява 42,3 % от разчета за годината. </w:t>
      </w:r>
      <w:r w:rsidRPr="00F85697">
        <w:t xml:space="preserve">За капиталови разходи </w:t>
      </w:r>
      <w:r w:rsidRPr="00F85697">
        <w:rPr>
          <w:bCs/>
        </w:rPr>
        <w:t xml:space="preserve">по </w:t>
      </w:r>
      <w:r w:rsidRPr="00BA491D">
        <w:rPr>
          <w:bCs/>
        </w:rPr>
        <w:t>държавния бюджет</w:t>
      </w:r>
      <w:r>
        <w:rPr>
          <w:bCs/>
        </w:rPr>
        <w:t xml:space="preserve"> на съпоставима база са изразходвани</w:t>
      </w:r>
      <w:r w:rsidRPr="00BA491D">
        <w:rPr>
          <w:bCs/>
        </w:rPr>
        <w:t xml:space="preserve"> </w:t>
      </w:r>
      <w:r>
        <w:rPr>
          <w:bCs/>
        </w:rPr>
        <w:t>1 338,5</w:t>
      </w:r>
      <w:r w:rsidRPr="00BA491D">
        <w:rPr>
          <w:bCs/>
        </w:rPr>
        <w:t xml:space="preserve"> млн. лева.</w:t>
      </w:r>
      <w:r>
        <w:rPr>
          <w:bCs/>
        </w:rPr>
        <w:t xml:space="preserve"> </w:t>
      </w:r>
      <w:r w:rsidRPr="00CD24A0">
        <w:t>Нетният прираст на държавния резерв към 30.06.2024 г. е отрицателен в размер на 52,8 млн. лева. Предоставените текущи и капиталови трансфери за чужбина са в размер на 6,5 млн. лв. или 23,6 % спрямо предвидените за 2024 г.</w:t>
      </w:r>
    </w:p>
    <w:p w14:paraId="7E6890A7" w14:textId="77777777" w:rsidR="005F17C9" w:rsidRPr="00E56679" w:rsidRDefault="005F17C9" w:rsidP="005F17C9">
      <w:pPr>
        <w:jc w:val="both"/>
        <w:rPr>
          <w:color w:val="0070C0"/>
        </w:rPr>
      </w:pPr>
      <w:r w:rsidRPr="00F85697">
        <w:rPr>
          <w:b/>
        </w:rPr>
        <w:t xml:space="preserve">Лихвените плащания </w:t>
      </w:r>
      <w:r w:rsidRPr="00F85697">
        <w:t>по държавния бюджет за първото полугодие на 2024 г. са в общ разм</w:t>
      </w:r>
      <w:r w:rsidRPr="00537D64">
        <w:t>ер на 467,6 млн. лв. или 48,4 % от предвидените в разчета за годината. Лихвите по вътрешни заеми по държавния бюджет към 30.06.2024  г. са в размер на 48,7 млн. лв. (36,5 % от разчета за годината). Лихвите по външни заеми по държавния бюджет за отчетния период са в размер на 419,0 млн. лв. (50,3 % от ЗДБРБ за 2024 г.). От тях 410,</w:t>
      </w:r>
      <w:r w:rsidRPr="00537D64">
        <w:rPr>
          <w:lang w:val="ru-RU"/>
        </w:rPr>
        <w:t>0</w:t>
      </w:r>
      <w:r w:rsidRPr="00537D64">
        <w:t xml:space="preserve"> млн. лв. са разходите по централния бюджет и 8,9 млн. лв. са тези по бюджетите на министерствата и ведомствата. </w:t>
      </w:r>
    </w:p>
    <w:p w14:paraId="0C824843" w14:textId="77777777" w:rsidR="005F17C9" w:rsidRPr="009E6752" w:rsidRDefault="005F17C9" w:rsidP="005F17C9">
      <w:pPr>
        <w:jc w:val="both"/>
      </w:pPr>
      <w:r w:rsidRPr="009E6752">
        <w:t xml:space="preserve">Със Закона за държавния бюджет на Република България за 2024 г. средствата по чл. 1, ал. 2, раздел II, т. 5.1. за </w:t>
      </w:r>
      <w:r w:rsidRPr="009E6752">
        <w:rPr>
          <w:bCs/>
        </w:rPr>
        <w:t xml:space="preserve">предотвратяване, овладяване и преодоляване на последиците от бедствия </w:t>
      </w:r>
      <w:r w:rsidRPr="009E6752">
        <w:t>са в размер на 130</w:t>
      </w:r>
      <w:r w:rsidRPr="00772219">
        <w:rPr>
          <w:lang w:val="ru-RU"/>
        </w:rPr>
        <w:t>,0</w:t>
      </w:r>
      <w:r w:rsidRPr="009E6752">
        <w:t xml:space="preserve"> млн. лева. </w:t>
      </w:r>
      <w:r w:rsidRPr="009E6752">
        <w:rPr>
          <w:color w:val="000000"/>
        </w:rPr>
        <w:t xml:space="preserve">Възстановените  средства от общините в изпълнение на </w:t>
      </w:r>
      <w:r w:rsidRPr="009E6752">
        <w:t xml:space="preserve">  чл. 32, ал. 4 и 5 от Постановление № 13 на Министерския съвет от 2024 г. за изпълнението на държавния бюджет на Република България за 2024 г.</w:t>
      </w:r>
      <w:r w:rsidRPr="009E6752">
        <w:rPr>
          <w:color w:val="000000"/>
        </w:rPr>
        <w:t xml:space="preserve"> са в размер на 0,2 млн.</w:t>
      </w:r>
      <w:r w:rsidRPr="009E6752">
        <w:t xml:space="preserve"> лв.</w:t>
      </w:r>
    </w:p>
    <w:p w14:paraId="7D1AF3E6" w14:textId="77777777" w:rsidR="005F17C9" w:rsidRPr="00772219" w:rsidRDefault="005F17C9" w:rsidP="005F17C9">
      <w:pPr>
        <w:jc w:val="both"/>
        <w:rPr>
          <w:lang w:val="ru-RU"/>
        </w:rPr>
      </w:pPr>
      <w:r w:rsidRPr="009E6752">
        <w:t xml:space="preserve">Към 30.06.2024 г. с ПМС №198 от 06.06.2024 г. за сметка на резерва за </w:t>
      </w:r>
      <w:r w:rsidRPr="009E6752">
        <w:rPr>
          <w:bCs/>
        </w:rPr>
        <w:t>предотвратяване, овладяване и преодоляване на последиците от бедствия</w:t>
      </w:r>
      <w:r w:rsidRPr="009E6752">
        <w:t xml:space="preserve"> е одобрен допълнителен трансфер за целеви разходи по бюджета за 2024 г. на община Карлово за предотвратяване, овладяване и преодоляване на последиците от бедствия в общ размер 10</w:t>
      </w:r>
      <w:r w:rsidRPr="00772219">
        <w:rPr>
          <w:lang w:val="ru-RU"/>
        </w:rPr>
        <w:t xml:space="preserve">,6 </w:t>
      </w:r>
      <w:r>
        <w:t>млн. лева.</w:t>
      </w:r>
    </w:p>
    <w:p w14:paraId="0E0BBC4A" w14:textId="77777777" w:rsidR="005F17C9" w:rsidRPr="00537D64" w:rsidRDefault="005F17C9" w:rsidP="005F17C9">
      <w:pPr>
        <w:spacing w:before="120"/>
        <w:jc w:val="both"/>
        <w:rPr>
          <w:b/>
          <w:bCs/>
        </w:rPr>
      </w:pPr>
      <w:r w:rsidRPr="00537D64">
        <w:rPr>
          <w:b/>
          <w:bCs/>
        </w:rPr>
        <w:t>Нетният размер на трансферите и временните безлихвени заеми по държавния бюджет</w:t>
      </w:r>
      <w:r w:rsidRPr="00537D64">
        <w:rPr>
          <w:bCs/>
        </w:rPr>
        <w:t xml:space="preserve"> към края на юни 2024 г. е</w:t>
      </w:r>
      <w:r w:rsidRPr="00537D64">
        <w:rPr>
          <w:b/>
          <w:bCs/>
        </w:rPr>
        <w:t xml:space="preserve"> 13 410,8  млн. лв., </w:t>
      </w:r>
      <w:r w:rsidRPr="00537D64">
        <w:rPr>
          <w:bCs/>
        </w:rPr>
        <w:t>в т.ч.:</w:t>
      </w:r>
      <w:r w:rsidRPr="00537D64">
        <w:rPr>
          <w:b/>
          <w:bCs/>
        </w:rPr>
        <w:t xml:space="preserve"> </w:t>
      </w:r>
    </w:p>
    <w:p w14:paraId="73430E90" w14:textId="77777777" w:rsidR="005F17C9" w:rsidRPr="003C75E8" w:rsidRDefault="005F17C9" w:rsidP="005F17C9">
      <w:pPr>
        <w:numPr>
          <w:ilvl w:val="0"/>
          <w:numId w:val="28"/>
        </w:numPr>
        <w:tabs>
          <w:tab w:val="left" w:pos="180"/>
          <w:tab w:val="num" w:pos="540"/>
          <w:tab w:val="num" w:pos="1495"/>
          <w:tab w:val="num" w:pos="9858"/>
        </w:tabs>
        <w:ind w:left="538"/>
        <w:jc w:val="both"/>
      </w:pPr>
      <w:r w:rsidRPr="003C75E8">
        <w:t xml:space="preserve">на </w:t>
      </w:r>
      <w:proofErr w:type="spellStart"/>
      <w:r w:rsidRPr="003C75E8">
        <w:t>социалноосигурителните</w:t>
      </w:r>
      <w:proofErr w:type="spellEnd"/>
      <w:r w:rsidRPr="003C75E8">
        <w:t xml:space="preserve"> фондове (нето) – </w:t>
      </w:r>
      <w:r w:rsidRPr="003C75E8">
        <w:rPr>
          <w:lang w:eastAsia="en-US"/>
        </w:rPr>
        <w:t xml:space="preserve">6 878,4 </w:t>
      </w:r>
      <w:r w:rsidRPr="003C75E8">
        <w:t xml:space="preserve">млн. </w:t>
      </w:r>
      <w:proofErr w:type="spellStart"/>
      <w:r w:rsidRPr="003C75E8">
        <w:t>лв</w:t>
      </w:r>
      <w:proofErr w:type="spellEnd"/>
      <w:r w:rsidRPr="00772219">
        <w:rPr>
          <w:lang w:val="ru-RU"/>
        </w:rPr>
        <w:t>.</w:t>
      </w:r>
    </w:p>
    <w:p w14:paraId="6E92A68B" w14:textId="43ED0D7F" w:rsidR="005F17C9" w:rsidRPr="00ED1C6F" w:rsidRDefault="005F17C9" w:rsidP="005F17C9">
      <w:pPr>
        <w:numPr>
          <w:ilvl w:val="0"/>
          <w:numId w:val="28"/>
        </w:numPr>
        <w:tabs>
          <w:tab w:val="left" w:pos="180"/>
          <w:tab w:val="num" w:pos="540"/>
          <w:tab w:val="num" w:pos="1495"/>
          <w:tab w:val="num" w:pos="9858"/>
        </w:tabs>
        <w:ind w:left="538"/>
        <w:jc w:val="both"/>
      </w:pPr>
      <w:r w:rsidRPr="00ED1C6F">
        <w:t>на други автономни бюджети (ДВУ, БАН, БНТ, БНР, БТА и ССА) – 75</w:t>
      </w:r>
      <w:r w:rsidR="00BB261C">
        <w:t>1</w:t>
      </w:r>
      <w:r w:rsidRPr="00ED1C6F">
        <w:t>,</w:t>
      </w:r>
      <w:r w:rsidR="00BB261C">
        <w:t>9</w:t>
      </w:r>
      <w:r w:rsidRPr="00ED1C6F">
        <w:t xml:space="preserve"> млн. лв.;</w:t>
      </w:r>
    </w:p>
    <w:p w14:paraId="0B0C02A2" w14:textId="1426DBEB" w:rsidR="005F17C9" w:rsidRPr="00ED1C6F" w:rsidRDefault="005F17C9" w:rsidP="005F17C9">
      <w:pPr>
        <w:pStyle w:val="ListParagraph"/>
        <w:numPr>
          <w:ilvl w:val="0"/>
          <w:numId w:val="28"/>
        </w:numPr>
        <w:spacing w:after="200"/>
        <w:rPr>
          <w:rFonts w:ascii="Times New Roman" w:hAnsi="Times New Roman" w:cs="Times New Roman"/>
          <w:sz w:val="24"/>
          <w:szCs w:val="24"/>
        </w:rPr>
      </w:pPr>
      <w:r w:rsidRPr="00ED1C6F">
        <w:rPr>
          <w:rFonts w:ascii="Times New Roman" w:hAnsi="Times New Roman" w:cs="Times New Roman"/>
          <w:sz w:val="24"/>
          <w:szCs w:val="24"/>
        </w:rPr>
        <w:t>трансфери/субсидии от държавния бюджет за общините (нето) – 5 </w:t>
      </w:r>
      <w:r w:rsidRPr="00ED1C6F">
        <w:rPr>
          <w:rFonts w:ascii="Times New Roman" w:hAnsi="Times New Roman" w:cs="Times New Roman"/>
          <w:sz w:val="24"/>
          <w:szCs w:val="24"/>
          <w:lang w:val="ru-RU"/>
        </w:rPr>
        <w:t>238</w:t>
      </w:r>
      <w:r w:rsidRPr="00ED1C6F">
        <w:rPr>
          <w:rFonts w:ascii="Times New Roman" w:hAnsi="Times New Roman" w:cs="Times New Roman"/>
          <w:sz w:val="24"/>
          <w:szCs w:val="24"/>
        </w:rPr>
        <w:t>,</w:t>
      </w:r>
      <w:r w:rsidR="00BB261C">
        <w:rPr>
          <w:rFonts w:ascii="Times New Roman" w:hAnsi="Times New Roman" w:cs="Times New Roman"/>
          <w:sz w:val="24"/>
          <w:szCs w:val="24"/>
        </w:rPr>
        <w:t>3</w:t>
      </w:r>
      <w:r w:rsidRPr="00ED1C6F">
        <w:rPr>
          <w:rFonts w:ascii="Times New Roman" w:hAnsi="Times New Roman" w:cs="Times New Roman"/>
          <w:sz w:val="24"/>
          <w:szCs w:val="24"/>
        </w:rPr>
        <w:t xml:space="preserve"> млн. лева. </w:t>
      </w:r>
    </w:p>
    <w:p w14:paraId="409F8297" w14:textId="77777777" w:rsidR="005252F9" w:rsidRPr="000344A1" w:rsidRDefault="005252F9" w:rsidP="00F20A65">
      <w:pPr>
        <w:tabs>
          <w:tab w:val="left" w:pos="426"/>
        </w:tabs>
        <w:spacing w:before="120" w:after="120"/>
        <w:jc w:val="both"/>
        <w:rPr>
          <w:bCs/>
        </w:rPr>
      </w:pPr>
      <w:r w:rsidRPr="000344A1">
        <w:t>Частта от</w:t>
      </w:r>
      <w:r w:rsidRPr="000344A1">
        <w:rPr>
          <w:b/>
        </w:rPr>
        <w:t xml:space="preserve"> вноската на Република България в общия бюджет на ЕС, </w:t>
      </w:r>
      <w:r w:rsidRPr="000344A1">
        <w:t>изплатена към 30.06.2024 г. от централния бюджет, възлиза на</w:t>
      </w:r>
      <w:r w:rsidRPr="000344A1">
        <w:rPr>
          <w:b/>
        </w:rPr>
        <w:t xml:space="preserve"> 713,5 млн. лева.</w:t>
      </w:r>
      <w:r w:rsidRPr="000344A1">
        <w:t xml:space="preserve"> </w:t>
      </w:r>
    </w:p>
    <w:p w14:paraId="4261ABDA" w14:textId="77777777" w:rsidR="005252F9" w:rsidRPr="008C3792" w:rsidRDefault="005252F9" w:rsidP="00F20A65">
      <w:pPr>
        <w:spacing w:before="120" w:after="120"/>
        <w:jc w:val="both"/>
        <w:rPr>
          <w:sz w:val="16"/>
          <w:szCs w:val="16"/>
        </w:rPr>
      </w:pPr>
      <w:r w:rsidRPr="008C3792">
        <w:rPr>
          <w:b/>
        </w:rPr>
        <w:t>Бюджетното салдо по държавния бюджет</w:t>
      </w:r>
      <w:r w:rsidRPr="008C3792">
        <w:t xml:space="preserve"> към </w:t>
      </w:r>
      <w:r w:rsidRPr="008C3792">
        <w:rPr>
          <w:lang w:val="ru-RU"/>
        </w:rPr>
        <w:t>30.06.2024</w:t>
      </w:r>
      <w:r w:rsidRPr="008C3792">
        <w:t xml:space="preserve"> г. </w:t>
      </w:r>
      <w:r w:rsidRPr="008C3792">
        <w:rPr>
          <w:b/>
        </w:rPr>
        <w:t>е отрицателно</w:t>
      </w:r>
      <w:r w:rsidRPr="008C3792">
        <w:t xml:space="preserve"> в размер на </w:t>
      </w:r>
      <w:r w:rsidRPr="005D4BE5">
        <w:rPr>
          <w:b/>
          <w:lang w:val="ru-RU"/>
        </w:rPr>
        <w:t>2</w:t>
      </w:r>
      <w:r w:rsidRPr="008C3792">
        <w:rPr>
          <w:b/>
          <w:lang w:val="en-US"/>
        </w:rPr>
        <w:t> </w:t>
      </w:r>
      <w:r w:rsidRPr="005D4BE5">
        <w:rPr>
          <w:b/>
          <w:lang w:val="ru-RU"/>
        </w:rPr>
        <w:t>407</w:t>
      </w:r>
      <w:r w:rsidRPr="008C3792">
        <w:rPr>
          <w:b/>
        </w:rPr>
        <w:t>,8 млн. лева</w:t>
      </w:r>
      <w:r w:rsidRPr="008C3792">
        <w:t xml:space="preserve">. </w:t>
      </w:r>
    </w:p>
    <w:p w14:paraId="380AB199" w14:textId="77777777" w:rsidR="005252F9" w:rsidRPr="00C54458" w:rsidRDefault="005252F9" w:rsidP="005252F9">
      <w:pPr>
        <w:pStyle w:val="Heading3"/>
        <w:numPr>
          <w:ilvl w:val="1"/>
          <w:numId w:val="21"/>
        </w:numPr>
        <w:ind w:left="1134" w:hanging="425"/>
        <w:rPr>
          <w:rFonts w:ascii="Times New Roman" w:hAnsi="Times New Roman" w:cs="Times New Roman"/>
          <w:sz w:val="24"/>
          <w:szCs w:val="24"/>
        </w:rPr>
      </w:pPr>
      <w:bookmarkStart w:id="261" w:name="_Toc81485890"/>
      <w:bookmarkStart w:id="262" w:name="_Toc176351950"/>
      <w:r w:rsidRPr="00C54458">
        <w:rPr>
          <w:rFonts w:ascii="Times New Roman" w:hAnsi="Times New Roman" w:cs="Times New Roman"/>
          <w:sz w:val="24"/>
          <w:szCs w:val="24"/>
        </w:rPr>
        <w:t>Бюджет на Народното събрание</w:t>
      </w:r>
      <w:bookmarkEnd w:id="261"/>
      <w:bookmarkEnd w:id="262"/>
    </w:p>
    <w:p w14:paraId="0D4C0789" w14:textId="015500CD" w:rsidR="005252F9" w:rsidRPr="00D3360B" w:rsidRDefault="005252F9" w:rsidP="005252F9">
      <w:pPr>
        <w:pStyle w:val="BodyText"/>
        <w:jc w:val="both"/>
      </w:pPr>
      <w:bookmarkStart w:id="263" w:name="_Toc427666940"/>
      <w:r w:rsidRPr="00C54458">
        <w:t>За първото полугодие на 2024 г. отчетените</w:t>
      </w:r>
      <w:r w:rsidRPr="00D3360B">
        <w:t xml:space="preserve"> </w:t>
      </w:r>
      <w:r w:rsidRPr="00D3360B">
        <w:rPr>
          <w:b/>
        </w:rPr>
        <w:t>приходи</w:t>
      </w:r>
      <w:r w:rsidRPr="00D3360B">
        <w:t xml:space="preserve"> са в размер на 1,1 млн. лв. или 63,0 % от предвидените в ЗДБРБ за 2024 г. С най-голям относителен дял</w:t>
      </w:r>
      <w:r w:rsidR="00B36CE8">
        <w:rPr>
          <w:lang w:val="ru-RU"/>
        </w:rPr>
        <w:t xml:space="preserve"> (78,5</w:t>
      </w:r>
      <w:r w:rsidRPr="00D3360B">
        <w:rPr>
          <w:lang w:val="ru-RU"/>
        </w:rPr>
        <w:t xml:space="preserve"> %)</w:t>
      </w:r>
      <w:r w:rsidRPr="00D3360B">
        <w:t xml:space="preserve"> са отчетените приходи и доходи от собственост.</w:t>
      </w:r>
    </w:p>
    <w:p w14:paraId="38C9DB27" w14:textId="77777777" w:rsidR="005252F9" w:rsidRPr="00E56679" w:rsidRDefault="005252F9" w:rsidP="005252F9">
      <w:pPr>
        <w:pStyle w:val="BodyText"/>
        <w:jc w:val="both"/>
        <w:rPr>
          <w:color w:val="0070C0"/>
        </w:rPr>
      </w:pPr>
      <w:r w:rsidRPr="00D3360B">
        <w:t xml:space="preserve">Отчетените </w:t>
      </w:r>
      <w:r w:rsidRPr="00D3360B">
        <w:rPr>
          <w:b/>
        </w:rPr>
        <w:t>разходи</w:t>
      </w:r>
      <w:r w:rsidRPr="00D3360B">
        <w:t xml:space="preserve"> към 30.06.2024 г. на Народното събрание са в размер на 47,1 млн. лв. или 39,2 % от разчетените средства със ЗДБРБ за 2024 г. От тях 33,7 млн. лв. са разходи за персонал, 13,2 млн. лв. са издръжка и 0,3 млн. лв. - капиталови разходи.</w:t>
      </w:r>
    </w:p>
    <w:p w14:paraId="32E92C7A" w14:textId="77777777" w:rsidR="005252F9" w:rsidRPr="00D3360B" w:rsidRDefault="005252F9" w:rsidP="005252F9">
      <w:pPr>
        <w:pStyle w:val="Heading3"/>
        <w:numPr>
          <w:ilvl w:val="1"/>
          <w:numId w:val="21"/>
        </w:numPr>
        <w:tabs>
          <w:tab w:val="left" w:pos="1276"/>
        </w:tabs>
        <w:ind w:left="1560" w:hanging="851"/>
        <w:rPr>
          <w:rFonts w:ascii="Times New Roman" w:hAnsi="Times New Roman" w:cs="Times New Roman"/>
          <w:sz w:val="24"/>
          <w:szCs w:val="24"/>
        </w:rPr>
      </w:pPr>
      <w:bookmarkStart w:id="264" w:name="_Toc521343524"/>
      <w:bookmarkStart w:id="265" w:name="_Toc524080258"/>
      <w:bookmarkStart w:id="266" w:name="_Toc18400786"/>
      <w:bookmarkStart w:id="267" w:name="_Toc81485891"/>
      <w:bookmarkStart w:id="268" w:name="_Toc176351951"/>
      <w:r w:rsidRPr="00D3360B">
        <w:rPr>
          <w:rFonts w:ascii="Times New Roman" w:hAnsi="Times New Roman" w:cs="Times New Roman"/>
          <w:sz w:val="24"/>
          <w:szCs w:val="24"/>
        </w:rPr>
        <w:t>Бюджет на съдебната  власт</w:t>
      </w:r>
      <w:bookmarkEnd w:id="264"/>
      <w:bookmarkEnd w:id="265"/>
      <w:bookmarkEnd w:id="266"/>
      <w:bookmarkEnd w:id="267"/>
      <w:bookmarkEnd w:id="268"/>
    </w:p>
    <w:bookmarkEnd w:id="263"/>
    <w:p w14:paraId="365C1ED6" w14:textId="77777777" w:rsidR="005252F9" w:rsidRPr="00E56679" w:rsidRDefault="005252F9" w:rsidP="005252F9">
      <w:pPr>
        <w:spacing w:before="240"/>
        <w:jc w:val="both"/>
        <w:rPr>
          <w:color w:val="0070C0"/>
        </w:rPr>
      </w:pPr>
      <w:r w:rsidRPr="00D3360B">
        <w:t xml:space="preserve">По бюджета на съдебната власт за първите шест месеца на 2024 г. са постъпили </w:t>
      </w:r>
      <w:r w:rsidRPr="00D3360B">
        <w:rPr>
          <w:b/>
        </w:rPr>
        <w:t>приходи</w:t>
      </w:r>
      <w:r w:rsidRPr="00D3360B">
        <w:t xml:space="preserve"> в размер на 55,6 млн. лв., които представляват 55,6 % от предвидените за годината. От отчетените </w:t>
      </w:r>
      <w:r w:rsidRPr="007D79B2">
        <w:t>приходи най-голям дял имат постъпленията от съдебни такси – 45,4 млн. лв., като одобрени със ЗДБРБ за 2024 г. са 85,0 млн. лв. или изпълнението е 53,5 %. За сравнение, към 30.06.2023 г. са отчетени общо приходи в размер на 47,3 млн. лв. (47,</w:t>
      </w:r>
      <w:r w:rsidRPr="007D79B2">
        <w:rPr>
          <w:lang w:val="ru-RU"/>
        </w:rPr>
        <w:t>3</w:t>
      </w:r>
      <w:r w:rsidRPr="007D79B2">
        <w:t xml:space="preserve"> % от планираните), от които 40,0 млн. лв. - приходи от съдебни такси.</w:t>
      </w:r>
    </w:p>
    <w:p w14:paraId="0717BB68" w14:textId="77777777" w:rsidR="005252F9" w:rsidRPr="00E56679" w:rsidRDefault="005252F9" w:rsidP="005252F9">
      <w:pPr>
        <w:spacing w:before="240" w:after="120"/>
        <w:jc w:val="both"/>
        <w:rPr>
          <w:color w:val="0070C0"/>
        </w:rPr>
      </w:pPr>
      <w:r w:rsidRPr="007D79B2">
        <w:rPr>
          <w:b/>
        </w:rPr>
        <w:t xml:space="preserve">Разходите </w:t>
      </w:r>
      <w:r w:rsidRPr="007D79B2">
        <w:t>по бюджета на съдебната власт са в размер на 589,3 млн. лв. или 48,3 % от планираните със ЗДБРБ за 2024 г. (1 221,3 млн. лв.). За сравнение, през същия период на 2023</w:t>
      </w:r>
      <w:r w:rsidRPr="007D79B2">
        <w:rPr>
          <w:lang w:val="en-US"/>
        </w:rPr>
        <w:t> </w:t>
      </w:r>
      <w:r w:rsidRPr="007D79B2">
        <w:t xml:space="preserve">г. са отчетени </w:t>
      </w:r>
      <w:r w:rsidRPr="007E5A07">
        <w:t xml:space="preserve">разходи в размер 466,5 млн. лв., които представляват </w:t>
      </w:r>
      <w:r w:rsidRPr="007E5A07">
        <w:rPr>
          <w:lang w:val="ru-RU"/>
        </w:rPr>
        <w:t>42</w:t>
      </w:r>
      <w:r w:rsidRPr="007E5A07">
        <w:t>,</w:t>
      </w:r>
      <w:r w:rsidRPr="007E5A07">
        <w:rPr>
          <w:lang w:val="ru-RU"/>
        </w:rPr>
        <w:t>9</w:t>
      </w:r>
      <w:r w:rsidRPr="007E5A07">
        <w:t xml:space="preserve"> % от определените с годишния закон </w:t>
      </w:r>
      <w:r w:rsidRPr="005D4BE5">
        <w:rPr>
          <w:lang w:val="ru-RU"/>
        </w:rPr>
        <w:t>1 087</w:t>
      </w:r>
      <w:r w:rsidRPr="007E5A07">
        <w:t>,5 млн. лева. От общата сума на отчетените разходи към 30.06.2024 г. 544,0 млн. лв. са разходи за персонал, 37,0 млн. лв. – издръжка и 8,3 млн. лв. - капиталови разходи.</w:t>
      </w:r>
    </w:p>
    <w:p w14:paraId="347D3915" w14:textId="77777777" w:rsidR="005252F9" w:rsidRPr="000344A1" w:rsidRDefault="005252F9" w:rsidP="005252F9">
      <w:pPr>
        <w:pStyle w:val="Heading2"/>
        <w:numPr>
          <w:ilvl w:val="0"/>
          <w:numId w:val="9"/>
        </w:numPr>
        <w:tabs>
          <w:tab w:val="clear" w:pos="1620"/>
          <w:tab w:val="center" w:pos="284"/>
        </w:tabs>
        <w:ind w:left="0" w:firstLine="0"/>
        <w:rPr>
          <w:rFonts w:ascii="Times New Roman" w:hAnsi="Times New Roman"/>
          <w:i w:val="0"/>
          <w:sz w:val="24"/>
        </w:rPr>
      </w:pPr>
      <w:bookmarkStart w:id="269" w:name="_Toc524080259"/>
      <w:bookmarkStart w:id="270" w:name="_Toc18400787"/>
      <w:bookmarkStart w:id="271" w:name="_Toc81485892"/>
      <w:bookmarkStart w:id="272" w:name="_Toc176351952"/>
      <w:r w:rsidRPr="000344A1">
        <w:rPr>
          <w:rFonts w:ascii="Times New Roman" w:hAnsi="Times New Roman"/>
          <w:i w:val="0"/>
          <w:sz w:val="24"/>
        </w:rPr>
        <w:t>Бюджети на общините</w:t>
      </w:r>
      <w:bookmarkEnd w:id="269"/>
      <w:bookmarkEnd w:id="270"/>
      <w:bookmarkEnd w:id="271"/>
      <w:bookmarkEnd w:id="272"/>
    </w:p>
    <w:p w14:paraId="4303AC3A" w14:textId="77777777" w:rsidR="005252F9" w:rsidRPr="000344A1" w:rsidRDefault="005252F9" w:rsidP="005252F9">
      <w:pPr>
        <w:pStyle w:val="BodyTextIndent"/>
        <w:numPr>
          <w:ilvl w:val="0"/>
          <w:numId w:val="13"/>
        </w:numPr>
        <w:tabs>
          <w:tab w:val="clear" w:pos="720"/>
          <w:tab w:val="num" w:pos="540"/>
        </w:tabs>
        <w:spacing w:after="0"/>
        <w:ind w:left="0" w:firstLine="0"/>
        <w:jc w:val="both"/>
        <w:rPr>
          <w:b/>
          <w:lang w:val="bg-BG"/>
        </w:rPr>
      </w:pPr>
      <w:r w:rsidRPr="000344A1">
        <w:rPr>
          <w:b/>
          <w:lang w:val="bg-BG"/>
        </w:rPr>
        <w:t>Приходи, помощи и дарения</w:t>
      </w:r>
    </w:p>
    <w:p w14:paraId="7EF2FF7D" w14:textId="77777777" w:rsidR="005252F9" w:rsidRPr="00E56679" w:rsidRDefault="005252F9" w:rsidP="005252F9">
      <w:pPr>
        <w:pStyle w:val="Header"/>
        <w:jc w:val="both"/>
        <w:rPr>
          <w:color w:val="0070C0"/>
          <w:sz w:val="8"/>
          <w:szCs w:val="8"/>
        </w:rPr>
      </w:pPr>
    </w:p>
    <w:p w14:paraId="4B40571F" w14:textId="33848946" w:rsidR="005252F9" w:rsidRDefault="005252F9" w:rsidP="005252F9">
      <w:pPr>
        <w:jc w:val="both"/>
      </w:pPr>
      <w:r w:rsidRPr="000344A1">
        <w:t>Собствените приходи по бюджетите на общините към 3</w:t>
      </w:r>
      <w:r w:rsidRPr="000344A1">
        <w:rPr>
          <w:lang w:val="ru-RU"/>
        </w:rPr>
        <w:t>0</w:t>
      </w:r>
      <w:r w:rsidRPr="000344A1">
        <w:t>.0</w:t>
      </w:r>
      <w:r w:rsidRPr="000344A1">
        <w:rPr>
          <w:lang w:val="ru-RU"/>
        </w:rPr>
        <w:t>6</w:t>
      </w:r>
      <w:r w:rsidRPr="000344A1">
        <w:t xml:space="preserve">.2024 г. са в размер на 1 960,3 млн. лв., което представлява </w:t>
      </w:r>
      <w:r w:rsidRPr="000344A1">
        <w:rPr>
          <w:lang w:val="ru-RU"/>
        </w:rPr>
        <w:t>51,</w:t>
      </w:r>
      <w:r w:rsidRPr="000344A1">
        <w:t>0 % от планираните с разчетите за 2024 година. Спрямо същия период на миналата година приходите по общинските бюджети се увеличават номинално с</w:t>
      </w:r>
      <w:r>
        <w:t xml:space="preserve"> 87,3</w:t>
      </w:r>
      <w:r w:rsidRPr="000344A1">
        <w:t xml:space="preserve"> млн. лв. </w:t>
      </w:r>
      <w:r w:rsidRPr="000344A1">
        <w:rPr>
          <w:i/>
        </w:rPr>
        <w:t>Данъчните приходи</w:t>
      </w:r>
      <w:r w:rsidRPr="000344A1">
        <w:t xml:space="preserve"> по общинските бюджети са в размер на </w:t>
      </w:r>
      <w:r w:rsidRPr="000344A1">
        <w:rPr>
          <w:lang w:val="ru-RU"/>
        </w:rPr>
        <w:t>922,7 </w:t>
      </w:r>
      <w:r w:rsidRPr="000344A1">
        <w:t>млн. лв. или 57,4 % от годишните разчети към З</w:t>
      </w:r>
      <w:r w:rsidRPr="00C54458">
        <w:t>ДБРБ за 2024 г. и с 10,8</w:t>
      </w:r>
      <w:r w:rsidRPr="00C54458">
        <w:rPr>
          <w:lang w:val="en-US"/>
        </w:rPr>
        <w:t> </w:t>
      </w:r>
      <w:r w:rsidRPr="00C54458">
        <w:t>% повече спрямо тези за същия период на предхо</w:t>
      </w:r>
      <w:r w:rsidRPr="007E5A07">
        <w:t xml:space="preserve">дната година, а неданъчните приходи, помощите и даренията възлизат на </w:t>
      </w:r>
      <w:r w:rsidRPr="007E5A07">
        <w:rPr>
          <w:lang w:val="ru-RU"/>
        </w:rPr>
        <w:t xml:space="preserve">1 </w:t>
      </w:r>
      <w:r w:rsidRPr="007E5A07">
        <w:t xml:space="preserve">037,6 млн. лв. </w:t>
      </w:r>
      <w:r w:rsidR="00446EFE">
        <w:t>или 46,5</w:t>
      </w:r>
      <w:r>
        <w:t xml:space="preserve"> % от </w:t>
      </w:r>
      <w:r w:rsidRPr="00767B14">
        <w:t xml:space="preserve">разчетите </w:t>
      </w:r>
      <w:r w:rsidRPr="00272952">
        <w:t xml:space="preserve">или с </w:t>
      </w:r>
      <w:r>
        <w:rPr>
          <w:lang w:val="ru-RU"/>
        </w:rPr>
        <w:t>2</w:t>
      </w:r>
      <w:r w:rsidRPr="00272952">
        <w:t>,</w:t>
      </w:r>
      <w:r>
        <w:rPr>
          <w:lang w:val="ru-RU"/>
        </w:rPr>
        <w:t>8</w:t>
      </w:r>
      <w:r w:rsidRPr="00272952">
        <w:t xml:space="preserve"> млн. лв. по-малко спрямо първото шестмесечие на предходната година, като намалението се </w:t>
      </w:r>
      <w:r w:rsidRPr="003A540D">
        <w:t xml:space="preserve">дължи </w:t>
      </w:r>
      <w:r w:rsidRPr="005D4BE5">
        <w:rPr>
          <w:lang w:val="ru-RU"/>
        </w:rPr>
        <w:t xml:space="preserve"> </w:t>
      </w:r>
      <w:r w:rsidRPr="003A540D">
        <w:t xml:space="preserve">основно на спад в постъпленията от продажба на нефинансови активи.   </w:t>
      </w:r>
      <w:r w:rsidRPr="003A540D">
        <w:rPr>
          <w:bCs/>
        </w:rPr>
        <w:t xml:space="preserve">От имуществени данъци по Закона за местните данъци и такси в местните бюджети към 30 юни 2024 г. са постъпили общо 914,7 млн. лв., което представлява 58,1 % от годишния разчет. </w:t>
      </w:r>
      <w:r w:rsidRPr="00091358">
        <w:t>С най-значителен дял в приходите от имуществени данъци е данъкът върху недвижимите имоти</w:t>
      </w:r>
      <w:r w:rsidRPr="00153C68">
        <w:rPr>
          <w:lang w:val="ru-RU"/>
        </w:rPr>
        <w:t xml:space="preserve"> – 34,8 %</w:t>
      </w:r>
      <w:r w:rsidRPr="00091358">
        <w:t>, следват  данъкът върху превозните средства – 32,3</w:t>
      </w:r>
      <w:r w:rsidRPr="00091358">
        <w:rPr>
          <w:lang w:val="ru-RU"/>
        </w:rPr>
        <w:t xml:space="preserve"> </w:t>
      </w:r>
      <w:r w:rsidRPr="00091358">
        <w:t>%</w:t>
      </w:r>
      <w:r w:rsidRPr="00091358">
        <w:rPr>
          <w:lang w:val="ru-RU"/>
        </w:rPr>
        <w:t>,</w:t>
      </w:r>
      <w:r w:rsidRPr="00091358">
        <w:t xml:space="preserve"> данъкът върху придобиването на имущество по дарения и възмезден начин – 31,9</w:t>
      </w:r>
      <w:r w:rsidRPr="00091358">
        <w:rPr>
          <w:lang w:val="ru-RU"/>
        </w:rPr>
        <w:t xml:space="preserve"> </w:t>
      </w:r>
      <w:r w:rsidRPr="00091358">
        <w:t>% и туристическият данък – 0,9</w:t>
      </w:r>
      <w:r w:rsidRPr="00091358">
        <w:rPr>
          <w:lang w:val="ru-RU"/>
        </w:rPr>
        <w:t xml:space="preserve"> </w:t>
      </w:r>
      <w:r w:rsidRPr="00091358">
        <w:t>%. Към 30.06.2024 г. по бюджетите на общините са постъпили 7,9 млн. лв. от патентен данък и данък върху таксиметров превоз на пътници.</w:t>
      </w:r>
    </w:p>
    <w:p w14:paraId="7E5B0BB6" w14:textId="6C6CBE5E" w:rsidR="005252F9" w:rsidRPr="00E56679" w:rsidRDefault="005252F9" w:rsidP="005252F9">
      <w:pPr>
        <w:tabs>
          <w:tab w:val="center" w:pos="4153"/>
          <w:tab w:val="right" w:pos="8306"/>
        </w:tabs>
        <w:spacing w:before="120"/>
        <w:jc w:val="both"/>
        <w:rPr>
          <w:color w:val="0070C0"/>
          <w:sz w:val="4"/>
          <w:szCs w:val="4"/>
        </w:rPr>
      </w:pPr>
      <w:r w:rsidRPr="003A540D">
        <w:t xml:space="preserve">Общият размер на </w:t>
      </w:r>
      <w:r w:rsidRPr="003A540D">
        <w:rPr>
          <w:i/>
        </w:rPr>
        <w:t>неданъчните пр</w:t>
      </w:r>
      <w:r w:rsidRPr="001E7DAD">
        <w:rPr>
          <w:i/>
        </w:rPr>
        <w:t>иходи</w:t>
      </w:r>
      <w:r w:rsidRPr="001E7DAD">
        <w:t xml:space="preserve"> по местните бюджети е </w:t>
      </w:r>
      <w:r w:rsidRPr="001E7DAD">
        <w:rPr>
          <w:lang w:val="ru-RU"/>
        </w:rPr>
        <w:t xml:space="preserve">1 </w:t>
      </w:r>
      <w:r w:rsidRPr="001E7DAD">
        <w:t xml:space="preserve">024,6 млн. лв. (46,4 % от разчетите по КФП за 2024 г.). </w:t>
      </w:r>
      <w:r w:rsidRPr="00091358">
        <w:t>Най-голям относителен дял в тях заемат пр</w:t>
      </w:r>
      <w:r w:rsidR="00B36CE8">
        <w:t>иходите от общински такси (712,5 млн. лв.) или 69,5</w:t>
      </w:r>
      <w:r w:rsidRPr="00091358">
        <w:rPr>
          <w:lang w:val="ru-RU"/>
        </w:rPr>
        <w:t xml:space="preserve"> </w:t>
      </w:r>
      <w:r w:rsidRPr="00091358">
        <w:t>%, следват приходите и доходите от собственост (</w:t>
      </w:r>
      <w:r w:rsidRPr="00153C68">
        <w:rPr>
          <w:lang w:val="ru-RU"/>
        </w:rPr>
        <w:t>1</w:t>
      </w:r>
      <w:r w:rsidR="00B36CE8">
        <w:t>86,9</w:t>
      </w:r>
      <w:r w:rsidRPr="00091358">
        <w:t xml:space="preserve"> млн. лв.) – 18,2</w:t>
      </w:r>
      <w:r w:rsidRPr="00091358">
        <w:rPr>
          <w:lang w:val="en-US"/>
        </w:rPr>
        <w:t> </w:t>
      </w:r>
      <w:r w:rsidRPr="00091358">
        <w:t xml:space="preserve">%, </w:t>
      </w:r>
      <w:r w:rsidRPr="001D73E4">
        <w:t>постъпленията от продажба на нефинансови активи (64,4 млн. лв.)</w:t>
      </w:r>
      <w:r w:rsidRPr="00153C68">
        <w:rPr>
          <w:lang w:val="ru-RU"/>
        </w:rPr>
        <w:t xml:space="preserve"> - </w:t>
      </w:r>
      <w:r w:rsidRPr="001D73E4">
        <w:t>6,3 %, постъпленията от глоби, с</w:t>
      </w:r>
      <w:r w:rsidR="00B36CE8">
        <w:t>анкции и наказателни лихви (45,9</w:t>
      </w:r>
      <w:r w:rsidRPr="001D73E4">
        <w:rPr>
          <w:lang w:val="en-US"/>
        </w:rPr>
        <w:t> </w:t>
      </w:r>
      <w:r w:rsidRPr="001D73E4">
        <w:t>млн. лв.) – 4,5</w:t>
      </w:r>
      <w:r w:rsidRPr="001D73E4">
        <w:rPr>
          <w:lang w:val="ru-RU"/>
        </w:rPr>
        <w:t xml:space="preserve"> </w:t>
      </w:r>
      <w:r w:rsidRPr="001D73E4">
        <w:t xml:space="preserve">% и </w:t>
      </w:r>
      <w:r w:rsidRPr="00091358">
        <w:t>приходите от концесии</w:t>
      </w:r>
      <w:r>
        <w:t xml:space="preserve"> </w:t>
      </w:r>
      <w:r w:rsidR="00B36CE8">
        <w:t>(32,2</w:t>
      </w:r>
      <w:r w:rsidR="00B36CE8" w:rsidRPr="001D73E4">
        <w:t xml:space="preserve"> млн. лв.)</w:t>
      </w:r>
      <w:r w:rsidR="00B36CE8" w:rsidRPr="00772219">
        <w:rPr>
          <w:lang w:val="ru-RU"/>
        </w:rPr>
        <w:t xml:space="preserve"> </w:t>
      </w:r>
      <w:r>
        <w:t xml:space="preserve">– 3,1 </w:t>
      </w:r>
      <w:r w:rsidRPr="008D1B89">
        <w:t xml:space="preserve">%. Съпоставени с първите шест месеца  на 2023 г. постъпленията от неданъчни приходи са </w:t>
      </w:r>
      <w:r w:rsidR="00B36CE8">
        <w:t>с 0,7</w:t>
      </w:r>
      <w:r w:rsidRPr="00272952">
        <w:t xml:space="preserve"> млн. лв. по-малко, което се дължи на спад в постъпленията от продажба на нефинансови активи, които са с еднократен характер.</w:t>
      </w:r>
      <w:r w:rsidRPr="00153C68">
        <w:rPr>
          <w:lang w:val="ru-RU"/>
        </w:rPr>
        <w:t xml:space="preserve"> </w:t>
      </w:r>
    </w:p>
    <w:p w14:paraId="05DD41F4" w14:textId="77777777" w:rsidR="005252F9" w:rsidRPr="00300DEF" w:rsidRDefault="005252F9" w:rsidP="005252F9">
      <w:pPr>
        <w:widowControl w:val="0"/>
        <w:spacing w:after="120"/>
        <w:jc w:val="both"/>
        <w:rPr>
          <w:color w:val="000000" w:themeColor="text1"/>
        </w:rPr>
      </w:pPr>
      <w:r w:rsidRPr="00300DEF">
        <w:rPr>
          <w:color w:val="000000" w:themeColor="text1"/>
        </w:rPr>
        <w:t>През отчетния период по общинските бюджети са постъпили 12</w:t>
      </w:r>
      <w:r w:rsidRPr="00300DEF">
        <w:rPr>
          <w:color w:val="000000" w:themeColor="text1"/>
          <w:lang w:val="ru-RU"/>
        </w:rPr>
        <w:t>,9</w:t>
      </w:r>
      <w:r w:rsidRPr="00300DEF">
        <w:rPr>
          <w:color w:val="000000" w:themeColor="text1"/>
        </w:rPr>
        <w:t xml:space="preserve"> млн. лв. приходи от </w:t>
      </w:r>
      <w:r w:rsidRPr="00300DEF">
        <w:rPr>
          <w:i/>
          <w:color w:val="000000" w:themeColor="text1"/>
        </w:rPr>
        <w:t>помощи и дарения</w:t>
      </w:r>
      <w:r w:rsidRPr="00300DEF">
        <w:rPr>
          <w:color w:val="000000" w:themeColor="text1"/>
        </w:rPr>
        <w:t xml:space="preserve"> или</w:t>
      </w:r>
      <w:r w:rsidRPr="00300DEF">
        <w:rPr>
          <w:color w:val="000000" w:themeColor="text1"/>
          <w:lang w:val="ru-RU"/>
        </w:rPr>
        <w:t xml:space="preserve"> </w:t>
      </w:r>
      <w:r w:rsidRPr="00300DEF">
        <w:rPr>
          <w:color w:val="000000" w:themeColor="text1"/>
        </w:rPr>
        <w:t xml:space="preserve">48,2 % от разчетените за годината 26,9 млн. лв.  </w:t>
      </w:r>
    </w:p>
    <w:p w14:paraId="1437D26F" w14:textId="77777777" w:rsidR="005252F9" w:rsidRPr="00E56679" w:rsidRDefault="005252F9" w:rsidP="005252F9">
      <w:pPr>
        <w:widowControl w:val="0"/>
        <w:tabs>
          <w:tab w:val="center" w:pos="4536"/>
          <w:tab w:val="right" w:pos="9072"/>
        </w:tabs>
        <w:jc w:val="both"/>
        <w:rPr>
          <w:color w:val="0070C0"/>
          <w:sz w:val="12"/>
          <w:szCs w:val="12"/>
        </w:rPr>
      </w:pPr>
    </w:p>
    <w:p w14:paraId="3C90A6EB" w14:textId="77777777" w:rsidR="005252F9" w:rsidRPr="00300DEF" w:rsidRDefault="005252F9" w:rsidP="005252F9">
      <w:pPr>
        <w:numPr>
          <w:ilvl w:val="0"/>
          <w:numId w:val="13"/>
        </w:numPr>
        <w:tabs>
          <w:tab w:val="num" w:pos="540"/>
        </w:tabs>
        <w:jc w:val="both"/>
        <w:rPr>
          <w:b/>
          <w:color w:val="000000" w:themeColor="text1"/>
          <w:lang w:val="ru-RU"/>
        </w:rPr>
      </w:pPr>
      <w:r w:rsidRPr="00300DEF">
        <w:rPr>
          <w:b/>
          <w:color w:val="000000" w:themeColor="text1"/>
        </w:rPr>
        <w:t>Разходи</w:t>
      </w:r>
    </w:p>
    <w:p w14:paraId="146060DD" w14:textId="77777777" w:rsidR="005252F9" w:rsidRPr="00E56679" w:rsidRDefault="005252F9" w:rsidP="005252F9">
      <w:pPr>
        <w:jc w:val="both"/>
        <w:rPr>
          <w:b/>
          <w:color w:val="0070C0"/>
          <w:sz w:val="12"/>
          <w:szCs w:val="12"/>
          <w:lang w:val="ru-RU"/>
        </w:rPr>
      </w:pPr>
    </w:p>
    <w:p w14:paraId="5070A971" w14:textId="02C7BB95" w:rsidR="005252F9" w:rsidRPr="00E56679" w:rsidRDefault="005252F9" w:rsidP="005252F9">
      <w:pPr>
        <w:tabs>
          <w:tab w:val="center" w:pos="4536"/>
          <w:tab w:val="right" w:pos="9072"/>
        </w:tabs>
        <w:jc w:val="both"/>
        <w:rPr>
          <w:color w:val="0070C0"/>
        </w:rPr>
      </w:pPr>
      <w:r w:rsidRPr="004C710B">
        <w:rPr>
          <w:color w:val="000000" w:themeColor="text1"/>
        </w:rPr>
        <w:t xml:space="preserve">Към 30.06.2024 г. общините са отчели общо разходи в </w:t>
      </w:r>
      <w:r w:rsidRPr="001E513D">
        <w:rPr>
          <w:color w:val="000000" w:themeColor="text1"/>
        </w:rPr>
        <w:t xml:space="preserve">размер на </w:t>
      </w:r>
      <w:r w:rsidRPr="005D4BE5">
        <w:rPr>
          <w:color w:val="000000" w:themeColor="text1"/>
          <w:lang w:val="ru-RU"/>
        </w:rPr>
        <w:t>6</w:t>
      </w:r>
      <w:r w:rsidRPr="001E513D">
        <w:rPr>
          <w:color w:val="000000" w:themeColor="text1"/>
        </w:rPr>
        <w:t> </w:t>
      </w:r>
      <w:r w:rsidRPr="005D4BE5">
        <w:rPr>
          <w:color w:val="000000" w:themeColor="text1"/>
          <w:lang w:val="ru-RU"/>
        </w:rPr>
        <w:t>263</w:t>
      </w:r>
      <w:r w:rsidRPr="001E513D">
        <w:rPr>
          <w:color w:val="000000" w:themeColor="text1"/>
        </w:rPr>
        <w:t>,9</w:t>
      </w:r>
      <w:r w:rsidR="00B36CE8">
        <w:rPr>
          <w:color w:val="000000" w:themeColor="text1"/>
        </w:rPr>
        <w:t xml:space="preserve"> млн. лв., които представляват 6</w:t>
      </w:r>
      <w:r w:rsidRPr="001E513D">
        <w:rPr>
          <w:color w:val="000000" w:themeColor="text1"/>
        </w:rPr>
        <w:t xml:space="preserve">2,5 % от разчетените по КФП за 2024 г. разходи. </w:t>
      </w:r>
    </w:p>
    <w:p w14:paraId="0D2145DF" w14:textId="3D7C1BE3" w:rsidR="005252F9" w:rsidRPr="00EE1924" w:rsidRDefault="005252F9" w:rsidP="005252F9">
      <w:pPr>
        <w:spacing w:before="120"/>
        <w:jc w:val="both"/>
      </w:pPr>
      <w:r w:rsidRPr="001E513D">
        <w:rPr>
          <w:i/>
          <w:color w:val="000000" w:themeColor="text1"/>
        </w:rPr>
        <w:t>Нелихвените разходи</w:t>
      </w:r>
      <w:r w:rsidRPr="001E513D">
        <w:rPr>
          <w:color w:val="000000" w:themeColor="text1"/>
        </w:rPr>
        <w:t xml:space="preserve"> възлизат на </w:t>
      </w:r>
      <w:r w:rsidRPr="005D4BE5">
        <w:rPr>
          <w:color w:val="000000" w:themeColor="text1"/>
          <w:lang w:val="ru-RU"/>
        </w:rPr>
        <w:t>6</w:t>
      </w:r>
      <w:r w:rsidRPr="001E513D">
        <w:rPr>
          <w:color w:val="000000" w:themeColor="text1"/>
        </w:rPr>
        <w:t xml:space="preserve"> 235,5 млн. лв. или </w:t>
      </w:r>
      <w:r w:rsidRPr="001E513D">
        <w:rPr>
          <w:color w:val="000000" w:themeColor="text1"/>
          <w:lang w:val="ru-RU"/>
        </w:rPr>
        <w:t>62</w:t>
      </w:r>
      <w:r w:rsidRPr="001E513D">
        <w:rPr>
          <w:color w:val="000000" w:themeColor="text1"/>
        </w:rPr>
        <w:t>,</w:t>
      </w:r>
      <w:r w:rsidRPr="001E513D">
        <w:rPr>
          <w:color w:val="000000" w:themeColor="text1"/>
          <w:lang w:val="ru-RU"/>
        </w:rPr>
        <w:t>4</w:t>
      </w:r>
      <w:r w:rsidRPr="001E513D">
        <w:rPr>
          <w:color w:val="000000" w:themeColor="text1"/>
        </w:rPr>
        <w:t xml:space="preserve"> % от годишния разчет. </w:t>
      </w:r>
      <w:r w:rsidRPr="00385CA6">
        <w:rPr>
          <w:lang w:val="ru-RU"/>
        </w:rPr>
        <w:t>С най-голям относителен дял са</w:t>
      </w:r>
      <w:r w:rsidRPr="00385CA6">
        <w:t xml:space="preserve"> разходите за персонал (</w:t>
      </w:r>
      <w:r w:rsidRPr="00385CA6">
        <w:rPr>
          <w:bCs/>
        </w:rPr>
        <w:t>заплати и възнаграждения, други възнаграждения и плащания за персонала и осигурителни вноски), които</w:t>
      </w:r>
      <w:r w:rsidRPr="00385CA6">
        <w:t xml:space="preserve"> са в размер на </w:t>
      </w:r>
      <w:r w:rsidRPr="00385CA6">
        <w:rPr>
          <w:lang w:val="ru-RU"/>
        </w:rPr>
        <w:t>3</w:t>
      </w:r>
      <w:r w:rsidRPr="00385CA6">
        <w:t> </w:t>
      </w:r>
      <w:r w:rsidRPr="00385CA6">
        <w:rPr>
          <w:lang w:val="ru-RU"/>
        </w:rPr>
        <w:t>644</w:t>
      </w:r>
      <w:r w:rsidR="00E934C1">
        <w:t>,2 млн. лв. – 58,4</w:t>
      </w:r>
      <w:r w:rsidR="00B36CE8">
        <w:t> </w:t>
      </w:r>
      <w:r w:rsidRPr="00385CA6">
        <w:t xml:space="preserve">%, следвани от  разходите за издръжка </w:t>
      </w:r>
      <w:r w:rsidRPr="00385CA6">
        <w:rPr>
          <w:bCs/>
        </w:rPr>
        <w:t>(вкл. разходи за членски внос и участие в нетърговски организации и дейности, платени данъци, такси и административни санкции), които</w:t>
      </w:r>
      <w:r w:rsidRPr="00385CA6">
        <w:t xml:space="preserve"> са в размер на</w:t>
      </w:r>
      <w:r>
        <w:rPr>
          <w:lang w:val="ru-RU"/>
        </w:rPr>
        <w:t xml:space="preserve"> 1 373</w:t>
      </w:r>
      <w:r w:rsidR="00E934C1">
        <w:t>,5 млн. лв. – 22,0</w:t>
      </w:r>
      <w:r w:rsidRPr="00385CA6">
        <w:rPr>
          <w:lang w:val="en-US"/>
        </w:rPr>
        <w:t> </w:t>
      </w:r>
      <w:r w:rsidRPr="00EE1924">
        <w:t>%.</w:t>
      </w:r>
      <w:r w:rsidRPr="001E513D">
        <w:t xml:space="preserve"> </w:t>
      </w:r>
      <w:r w:rsidRPr="00EE1924">
        <w:t>Разходите за субсидии възлизат на 317,3 млн. лв. В разходите за субсидии за нефинансови предприятия се отчитат предоставените от общините субсидии за вътрешноградски и междуселищни превози на транспортните фирми и дружества, които се планират в централния бюджет, както и тези, които се предоставят по решение на общинския съвет. Като разходи за субсидии за организации с нестопанска цел се отчитат отпусканите по решение на общинския съвет субсидии по реда на Закона за физкултурата и спорта за подпомагане дейността на спортните клубове в общините</w:t>
      </w:r>
      <w:r w:rsidRPr="00EE1924">
        <w:rPr>
          <w:lang w:val="ru-RU"/>
        </w:rPr>
        <w:t xml:space="preserve"> (</w:t>
      </w:r>
      <w:r w:rsidRPr="00EE1924">
        <w:t>отчитат се в местните дейности</w:t>
      </w:r>
      <w:r w:rsidRPr="00EE1924">
        <w:rPr>
          <w:lang w:val="ru-RU"/>
        </w:rPr>
        <w:t>)</w:t>
      </w:r>
      <w:r w:rsidRPr="00EE1924">
        <w:t xml:space="preserve">. </w:t>
      </w:r>
      <w:r w:rsidRPr="00EE1924">
        <w:rPr>
          <w:bCs/>
        </w:rPr>
        <w:t>Социалните разходи (</w:t>
      </w:r>
      <w:r w:rsidRPr="00EE1924">
        <w:t xml:space="preserve">текущи трансфери, обезщетения и помощи за домакинствата, </w:t>
      </w:r>
      <w:r w:rsidRPr="00EE1924">
        <w:rPr>
          <w:bCs/>
        </w:rPr>
        <w:t>вкл. разходите за стипендии)</w:t>
      </w:r>
      <w:r w:rsidRPr="00EE1924">
        <w:t xml:space="preserve"> са в размер на </w:t>
      </w:r>
      <w:r w:rsidRPr="00EE1924">
        <w:rPr>
          <w:lang w:val="ru-RU"/>
        </w:rPr>
        <w:t>145</w:t>
      </w:r>
      <w:r w:rsidR="00B36CE8">
        <w:t>,9</w:t>
      </w:r>
      <w:r w:rsidRPr="00EE1924">
        <w:t> млн. лева.</w:t>
      </w:r>
    </w:p>
    <w:p w14:paraId="50822C1D" w14:textId="17FCC6F7" w:rsidR="005252F9" w:rsidRPr="00EE1924" w:rsidRDefault="005252F9" w:rsidP="005252F9">
      <w:pPr>
        <w:widowControl w:val="0"/>
        <w:tabs>
          <w:tab w:val="center" w:pos="4153"/>
          <w:tab w:val="right" w:pos="8306"/>
        </w:tabs>
        <w:spacing w:before="120"/>
        <w:jc w:val="both"/>
      </w:pPr>
      <w:r w:rsidRPr="00EE1924">
        <w:t>Капиталовите разходи са в размер на 753,3 млн. лв. и в сравнение със същия период на 2023</w:t>
      </w:r>
      <w:r>
        <w:t> </w:t>
      </w:r>
      <w:r w:rsidRPr="00EE1924">
        <w:t>г. са се увеличили със 155,1 млн. лв. В общия размер на капиталовите разходи най-съществен дял (54,2%) заемат разходите за основен ремонт (408,</w:t>
      </w:r>
      <w:r w:rsidR="00BB261C">
        <w:t>5</w:t>
      </w:r>
      <w:r w:rsidRPr="00EE1924">
        <w:t xml:space="preserve"> млн. лв.) и за придобиване на ДМА (42,8% дял, 322,</w:t>
      </w:r>
      <w:r w:rsidR="00BB261C">
        <w:t>2</w:t>
      </w:r>
      <w:r w:rsidRPr="00EE1924">
        <w:t xml:space="preserve"> млн. лева).</w:t>
      </w:r>
    </w:p>
    <w:p w14:paraId="25FD81F1" w14:textId="78AD4318" w:rsidR="005252F9" w:rsidRPr="00E56679" w:rsidRDefault="005252F9" w:rsidP="005252F9">
      <w:pPr>
        <w:spacing w:before="120"/>
        <w:jc w:val="both"/>
        <w:rPr>
          <w:color w:val="0070C0"/>
        </w:rPr>
      </w:pPr>
      <w:r w:rsidRPr="00142EF3">
        <w:rPr>
          <w:i/>
          <w:color w:val="000000" w:themeColor="text1"/>
        </w:rPr>
        <w:t>Разходите за лихви</w:t>
      </w:r>
      <w:r w:rsidRPr="00142EF3">
        <w:rPr>
          <w:color w:val="000000" w:themeColor="text1"/>
        </w:rPr>
        <w:t xml:space="preserve"> в</w:t>
      </w:r>
      <w:r w:rsidR="00B36CE8">
        <w:rPr>
          <w:color w:val="000000" w:themeColor="text1"/>
        </w:rPr>
        <w:t>ъзлизат на 28,4 млн. лв. и са 65,0</w:t>
      </w:r>
      <w:r w:rsidRPr="00142EF3">
        <w:rPr>
          <w:color w:val="000000" w:themeColor="text1"/>
        </w:rPr>
        <w:t xml:space="preserve"> % от разчета за 2024 г., като от тях 9,</w:t>
      </w:r>
      <w:r w:rsidRPr="005D4BE5">
        <w:rPr>
          <w:color w:val="000000" w:themeColor="text1"/>
          <w:lang w:val="ru-RU"/>
        </w:rPr>
        <w:t>0</w:t>
      </w:r>
      <w:r w:rsidRPr="00142EF3">
        <w:rPr>
          <w:color w:val="000000" w:themeColor="text1"/>
        </w:rPr>
        <w:t> млн. лв. са лихви по външни заеми</w:t>
      </w:r>
      <w:r w:rsidRPr="00E56679">
        <w:rPr>
          <w:color w:val="0070C0"/>
        </w:rPr>
        <w:t>.</w:t>
      </w:r>
    </w:p>
    <w:p w14:paraId="096EB7EC" w14:textId="77777777" w:rsidR="005252F9" w:rsidRPr="00142EF3" w:rsidRDefault="005252F9" w:rsidP="005252F9">
      <w:pPr>
        <w:tabs>
          <w:tab w:val="center" w:pos="4153"/>
          <w:tab w:val="right" w:pos="8306"/>
        </w:tabs>
        <w:jc w:val="both"/>
        <w:rPr>
          <w:rFonts w:eastAsia="Calibri"/>
          <w:color w:val="000000" w:themeColor="text1"/>
        </w:rPr>
      </w:pPr>
      <w:r w:rsidRPr="00142EF3">
        <w:rPr>
          <w:color w:val="000000" w:themeColor="text1"/>
        </w:rPr>
        <w:t xml:space="preserve">Общият размер на отчетените разходи за </w:t>
      </w:r>
      <w:proofErr w:type="spellStart"/>
      <w:r w:rsidRPr="00142EF3">
        <w:rPr>
          <w:color w:val="000000" w:themeColor="text1"/>
        </w:rPr>
        <w:t>дофинансиране</w:t>
      </w:r>
      <w:proofErr w:type="spellEnd"/>
      <w:r w:rsidRPr="00142EF3">
        <w:rPr>
          <w:color w:val="000000" w:themeColor="text1"/>
        </w:rPr>
        <w:t xml:space="preserve"> на делегираните от държавата дейности с местни приходи е 119,2 млн. лв.</w:t>
      </w:r>
    </w:p>
    <w:p w14:paraId="77928324" w14:textId="77777777" w:rsidR="005252F9" w:rsidRPr="00E56679" w:rsidRDefault="005252F9" w:rsidP="005252F9">
      <w:pPr>
        <w:tabs>
          <w:tab w:val="center" w:pos="4536"/>
          <w:tab w:val="right" w:pos="9072"/>
        </w:tabs>
        <w:jc w:val="both"/>
        <w:rPr>
          <w:color w:val="0070C0"/>
        </w:rPr>
      </w:pPr>
    </w:p>
    <w:p w14:paraId="4ABDF4F0" w14:textId="77777777" w:rsidR="005252F9" w:rsidRPr="00F7222D" w:rsidRDefault="005252F9" w:rsidP="005252F9">
      <w:pPr>
        <w:numPr>
          <w:ilvl w:val="0"/>
          <w:numId w:val="13"/>
        </w:numPr>
        <w:tabs>
          <w:tab w:val="num" w:pos="540"/>
        </w:tabs>
        <w:spacing w:after="120"/>
        <w:jc w:val="both"/>
        <w:rPr>
          <w:b/>
          <w:color w:val="000000" w:themeColor="text1"/>
        </w:rPr>
      </w:pPr>
      <w:r w:rsidRPr="00F7222D">
        <w:rPr>
          <w:b/>
          <w:color w:val="000000" w:themeColor="text1"/>
        </w:rPr>
        <w:t>Финансиране</w:t>
      </w:r>
    </w:p>
    <w:p w14:paraId="746A7493" w14:textId="77777777" w:rsidR="005252F9" w:rsidRPr="00F7222D" w:rsidRDefault="005252F9" w:rsidP="005252F9">
      <w:pPr>
        <w:spacing w:before="120"/>
        <w:jc w:val="both"/>
        <w:rPr>
          <w:color w:val="000000" w:themeColor="text1"/>
        </w:rPr>
      </w:pPr>
      <w:r w:rsidRPr="00F7222D">
        <w:rPr>
          <w:color w:val="000000" w:themeColor="text1"/>
        </w:rPr>
        <w:t>През второто тримесечие на 2024 г. по общинските бюджети са получени заемни средства, в размер на 82,1 млн. лв., които са по договори с чуждестранни кредитори. Средствата са отчетени от Столична община и са за финансиране на проекти за изграждане и реконструкция на основни пътни артерии в град София и за осигуряване на транспортна свързаност и достъпна среда.</w:t>
      </w:r>
    </w:p>
    <w:p w14:paraId="33071FFE" w14:textId="77777777" w:rsidR="005252F9" w:rsidRPr="00F7222D" w:rsidRDefault="005252F9" w:rsidP="005252F9">
      <w:pPr>
        <w:spacing w:before="120"/>
        <w:jc w:val="both"/>
        <w:rPr>
          <w:color w:val="000000" w:themeColor="text1"/>
        </w:rPr>
      </w:pPr>
      <w:r w:rsidRPr="00F7222D">
        <w:rPr>
          <w:color w:val="000000" w:themeColor="text1"/>
        </w:rPr>
        <w:t xml:space="preserve">Изплатените главници от общинските бюджети по външните заеми от началото на годината до 30.06.2024 г. са в размер на 23,0 млн. лв. (от Столична община са 17,4 млн. лв., от Бургас – 2,0 млн. лв.; от Варна – 1,9 млн. лв.; Пловдив – 1,5 млн. лв., а от община Ловеч са 0,2 млн. лв.). </w:t>
      </w:r>
    </w:p>
    <w:p w14:paraId="33631F07" w14:textId="507C4683" w:rsidR="005252F9" w:rsidRPr="00F7222D" w:rsidRDefault="005252F9" w:rsidP="005252F9">
      <w:pPr>
        <w:spacing w:before="120"/>
        <w:jc w:val="both"/>
        <w:rPr>
          <w:color w:val="000000" w:themeColor="text1"/>
        </w:rPr>
      </w:pPr>
      <w:r w:rsidRPr="00F7222D">
        <w:rPr>
          <w:color w:val="000000" w:themeColor="text1"/>
        </w:rPr>
        <w:t>За периода получените заемни средства от банки в страната са в размер на 3</w:t>
      </w:r>
      <w:r w:rsidR="00BB261C">
        <w:rPr>
          <w:color w:val="000000" w:themeColor="text1"/>
        </w:rPr>
        <w:t>3</w:t>
      </w:r>
      <w:r w:rsidRPr="00F7222D">
        <w:rPr>
          <w:color w:val="000000" w:themeColor="text1"/>
        </w:rPr>
        <w:t xml:space="preserve">,6 млн. лв., а от други местни лица са 26,7 млн. лв. („ФЛАГ“ ЕАД) или общо получените заемни средства са </w:t>
      </w:r>
      <w:r w:rsidR="00BB261C">
        <w:rPr>
          <w:color w:val="000000" w:themeColor="text1"/>
        </w:rPr>
        <w:t>60</w:t>
      </w:r>
      <w:r w:rsidRPr="00F7222D">
        <w:rPr>
          <w:color w:val="000000" w:themeColor="text1"/>
        </w:rPr>
        <w:t>,3 млн. лв. Отчетените изплатени главници по банкови заеми от страната са 5</w:t>
      </w:r>
      <w:r w:rsidR="00BB261C">
        <w:rPr>
          <w:color w:val="000000" w:themeColor="text1"/>
        </w:rPr>
        <w:t>4</w:t>
      </w:r>
      <w:r w:rsidRPr="00F7222D">
        <w:rPr>
          <w:color w:val="000000" w:themeColor="text1"/>
        </w:rPr>
        <w:t xml:space="preserve">,4 млн. лв., а по заеми от др. лица са 88,1 млн. лв., в т.ч. 83,6 млн. лв. към „ФЛАГ“ ЕАД, 0,2 млн. лв. по заеми към Фонд „Енергийна ефективност и възобновяеми източници“, а останалите 4,3 млн. лв. към други кредитори по договори за заеми по финансов инструмент, управляван от „Фонд Мениджър на финансови инструменти в България“ ЕАД. Погашенията за периода по заемите от страната е по-голям от получените средства, поради което нетният размер на операциите по тези заеми е отрицателен (-82,2) млн. лв. За същия период на 2023 г. получените заемни средства от банки в страната и др. местни лица са били повече от погашенията т.е. имало е положителен нетен размер по тези заеми (88,4 млн. лв.). </w:t>
      </w:r>
    </w:p>
    <w:p w14:paraId="7CAA1B84" w14:textId="77777777" w:rsidR="005252F9" w:rsidRPr="00F7222D" w:rsidRDefault="005252F9" w:rsidP="005252F9">
      <w:pPr>
        <w:spacing w:before="120"/>
        <w:jc w:val="both"/>
        <w:rPr>
          <w:color w:val="000000" w:themeColor="text1"/>
        </w:rPr>
      </w:pPr>
      <w:r w:rsidRPr="00F7222D">
        <w:rPr>
          <w:color w:val="000000" w:themeColor="text1"/>
        </w:rPr>
        <w:t xml:space="preserve">Погашенията по емитирани през предходни периоди общински ценни книжа са в размер на 3,2 млн. лв. и са отчетени от 6 общини. За отчетния период няма емитиран нов дълг. </w:t>
      </w:r>
    </w:p>
    <w:p w14:paraId="24EE9E33" w14:textId="77777777" w:rsidR="005252F9" w:rsidRPr="00F7222D" w:rsidRDefault="005252F9" w:rsidP="005252F9">
      <w:pPr>
        <w:spacing w:before="120"/>
        <w:jc w:val="both"/>
        <w:rPr>
          <w:color w:val="000000" w:themeColor="text1"/>
        </w:rPr>
      </w:pPr>
      <w:r w:rsidRPr="00F7222D">
        <w:rPr>
          <w:color w:val="000000" w:themeColor="text1"/>
        </w:rPr>
        <w:t xml:space="preserve">Другото финансиране /нето/ по общинските бюджети към 30.06.2024 г. е 98,9 млн. лв., като съществена част от него представляват отчетените операции по Закона за управление на отпадъците. Нетният размер за периода на задълженията и погашенията по финансов лизинг и търговски кредити, като форми на дълг, е в размер на (-0,5) млн. лв. </w:t>
      </w:r>
    </w:p>
    <w:p w14:paraId="7137DF1E" w14:textId="77777777" w:rsidR="005252F9" w:rsidRPr="00F7222D" w:rsidRDefault="005252F9" w:rsidP="005252F9">
      <w:pPr>
        <w:spacing w:before="120"/>
        <w:jc w:val="both"/>
        <w:rPr>
          <w:color w:val="000000" w:themeColor="text1"/>
        </w:rPr>
      </w:pPr>
      <w:r w:rsidRPr="00F7222D">
        <w:rPr>
          <w:color w:val="000000" w:themeColor="text1"/>
        </w:rPr>
        <w:t>Нетният размер на събраните средства и извършени плащания от общините за сметка на други бюджети, сметки и фондове е в размер на (-20,2) млн. лв.</w:t>
      </w:r>
    </w:p>
    <w:p w14:paraId="077784E0" w14:textId="77777777" w:rsidR="005252F9" w:rsidRPr="00F7222D" w:rsidRDefault="005252F9" w:rsidP="005252F9">
      <w:pPr>
        <w:spacing w:before="120"/>
        <w:jc w:val="both"/>
        <w:rPr>
          <w:color w:val="000000" w:themeColor="text1"/>
        </w:rPr>
      </w:pPr>
      <w:r w:rsidRPr="00F7222D">
        <w:rPr>
          <w:color w:val="000000" w:themeColor="text1"/>
        </w:rPr>
        <w:t xml:space="preserve">Към 30.06.2024 г. отчетеният от общините нетен размер на операциите по придобиване на дялове, акции и съучастия е в размер на (-1,7) млн. лв. </w:t>
      </w:r>
    </w:p>
    <w:p w14:paraId="0F314C56" w14:textId="77777777" w:rsidR="005252F9" w:rsidRPr="00F7222D" w:rsidRDefault="005252F9" w:rsidP="005252F9">
      <w:pPr>
        <w:spacing w:before="120"/>
        <w:jc w:val="both"/>
        <w:rPr>
          <w:color w:val="000000" w:themeColor="text1"/>
        </w:rPr>
      </w:pPr>
      <w:r w:rsidRPr="00F7222D">
        <w:rPr>
          <w:color w:val="000000" w:themeColor="text1"/>
        </w:rPr>
        <w:t>Средства по общинските бюджети от приватизация на дялове, акции и участия за периода не са отчетени.</w:t>
      </w:r>
    </w:p>
    <w:p w14:paraId="714A333D" w14:textId="77777777" w:rsidR="005252F9" w:rsidRPr="00F7222D" w:rsidRDefault="005252F9" w:rsidP="005252F9">
      <w:pPr>
        <w:spacing w:before="120"/>
        <w:jc w:val="both"/>
        <w:rPr>
          <w:color w:val="000000" w:themeColor="text1"/>
        </w:rPr>
      </w:pPr>
      <w:r w:rsidRPr="00F7222D">
        <w:rPr>
          <w:color w:val="000000" w:themeColor="text1"/>
        </w:rPr>
        <w:t xml:space="preserve">Отчетеният нетен размер по общинските бюджети на възмездната финансова помощ е (-0,1) млн. лв., а на предоставените кредити (-0,7 млн. лв.). </w:t>
      </w:r>
    </w:p>
    <w:p w14:paraId="469CAD9C" w14:textId="47E52868" w:rsidR="005252F9" w:rsidRPr="001F17EE" w:rsidRDefault="005252F9" w:rsidP="005252F9">
      <w:pPr>
        <w:spacing w:before="120"/>
        <w:jc w:val="both"/>
        <w:rPr>
          <w:color w:val="000000" w:themeColor="text1"/>
        </w:rPr>
      </w:pPr>
      <w:r w:rsidRPr="00F7222D">
        <w:rPr>
          <w:color w:val="000000" w:themeColor="text1"/>
        </w:rPr>
        <w:t xml:space="preserve">Общините отчитат 2 131,5 млн. лв. бюджетен преходен остатък, а наличността към края на второто тримесечие на 2024 г. (по банкови сметки и каса) нараства и е в размер на 3 168,5 млн. лв. (с 479,3 млн. лв. повече от същия период на миналата година). Преводите в процес на </w:t>
      </w:r>
      <w:proofErr w:type="spellStart"/>
      <w:r w:rsidRPr="00F7222D">
        <w:rPr>
          <w:color w:val="000000" w:themeColor="text1"/>
        </w:rPr>
        <w:t>сетълмент</w:t>
      </w:r>
      <w:proofErr w:type="spellEnd"/>
      <w:r w:rsidR="00B36CE8">
        <w:rPr>
          <w:color w:val="000000" w:themeColor="text1"/>
        </w:rPr>
        <w:t xml:space="preserve"> са (– 2,5) млн. лв. при (– 13,1</w:t>
      </w:r>
      <w:r w:rsidRPr="00F7222D">
        <w:rPr>
          <w:color w:val="000000" w:themeColor="text1"/>
        </w:rPr>
        <w:t xml:space="preserve">) млн. лв. към същия </w:t>
      </w:r>
      <w:r w:rsidRPr="001F17EE">
        <w:rPr>
          <w:color w:val="000000" w:themeColor="text1"/>
        </w:rPr>
        <w:t xml:space="preserve">период на миналата година. </w:t>
      </w:r>
    </w:p>
    <w:p w14:paraId="03BD1CA8" w14:textId="77777777" w:rsidR="005252F9" w:rsidRDefault="005252F9" w:rsidP="005252F9">
      <w:pPr>
        <w:spacing w:before="120"/>
        <w:jc w:val="both"/>
        <w:rPr>
          <w:color w:val="000000" w:themeColor="text1"/>
        </w:rPr>
      </w:pPr>
      <w:r w:rsidRPr="001F17EE">
        <w:rPr>
          <w:color w:val="000000" w:themeColor="text1"/>
        </w:rPr>
        <w:t xml:space="preserve">Отчетеният остатък в делегираните от държавата дейности е 1 506,6 млн. лв. (47,5% от общата наличност), а 1 661,9 млн. лв. (52,5%) е в местни дейности. </w:t>
      </w:r>
    </w:p>
    <w:p w14:paraId="59BE6915" w14:textId="77777777" w:rsidR="000470AB" w:rsidRPr="00C14C50" w:rsidRDefault="000470AB" w:rsidP="0079339B">
      <w:pPr>
        <w:pStyle w:val="Heading2"/>
        <w:numPr>
          <w:ilvl w:val="0"/>
          <w:numId w:val="9"/>
        </w:numPr>
        <w:tabs>
          <w:tab w:val="clear" w:pos="1620"/>
          <w:tab w:val="center" w:pos="284"/>
        </w:tabs>
        <w:ind w:left="0" w:firstLine="0"/>
        <w:rPr>
          <w:rFonts w:ascii="Times New Roman" w:hAnsi="Times New Roman"/>
          <w:i w:val="0"/>
          <w:sz w:val="24"/>
        </w:rPr>
      </w:pPr>
      <w:bookmarkStart w:id="273" w:name="_Toc176351953"/>
      <w:proofErr w:type="spellStart"/>
      <w:r w:rsidRPr="00C14C50">
        <w:rPr>
          <w:rFonts w:ascii="Times New Roman" w:hAnsi="Times New Roman"/>
          <w:i w:val="0"/>
          <w:sz w:val="24"/>
        </w:rPr>
        <w:t>Социалноосигурителни</w:t>
      </w:r>
      <w:proofErr w:type="spellEnd"/>
      <w:r w:rsidRPr="00C14C50">
        <w:rPr>
          <w:rFonts w:ascii="Times New Roman" w:hAnsi="Times New Roman"/>
          <w:i w:val="0"/>
          <w:sz w:val="24"/>
        </w:rPr>
        <w:t xml:space="preserve"> фондове</w:t>
      </w:r>
      <w:bookmarkEnd w:id="258"/>
      <w:bookmarkEnd w:id="259"/>
      <w:bookmarkEnd w:id="260"/>
      <w:bookmarkEnd w:id="273"/>
    </w:p>
    <w:p w14:paraId="7E8EEE15" w14:textId="77777777" w:rsidR="002C44F3" w:rsidRPr="00C14C50" w:rsidRDefault="002C44F3" w:rsidP="002C44F3">
      <w:pPr>
        <w:pStyle w:val="Heading3"/>
        <w:numPr>
          <w:ilvl w:val="1"/>
          <w:numId w:val="22"/>
        </w:numPr>
        <w:ind w:left="851" w:hanging="567"/>
        <w:rPr>
          <w:rFonts w:ascii="Times New Roman" w:hAnsi="Times New Roman" w:cs="Times New Roman"/>
          <w:sz w:val="24"/>
          <w:szCs w:val="24"/>
        </w:rPr>
      </w:pPr>
      <w:bookmarkStart w:id="274" w:name="_Toc173668689"/>
      <w:bookmarkStart w:id="275" w:name="_Toc365649321"/>
      <w:bookmarkStart w:id="276" w:name="_Toc365897058"/>
      <w:bookmarkStart w:id="277" w:name="_Toc113440856"/>
      <w:bookmarkStart w:id="278" w:name="_Toc176351954"/>
      <w:bookmarkStart w:id="279" w:name="_Toc18400791"/>
      <w:bookmarkStart w:id="280" w:name="_Toc427666948"/>
      <w:bookmarkStart w:id="281" w:name="_Toc173668692"/>
      <w:bookmarkStart w:id="282" w:name="_Toc269992235"/>
      <w:bookmarkStart w:id="283" w:name="_Toc365649324"/>
      <w:bookmarkStart w:id="284" w:name="_Toc365897061"/>
      <w:bookmarkStart w:id="285" w:name="_Toc173668696"/>
      <w:bookmarkStart w:id="286" w:name="_Toc269992239"/>
      <w:bookmarkStart w:id="287" w:name="_Toc365649329"/>
      <w:bookmarkStart w:id="288" w:name="_Toc365897066"/>
      <w:r w:rsidRPr="00C14C50">
        <w:rPr>
          <w:rFonts w:ascii="Times New Roman" w:hAnsi="Times New Roman" w:cs="Times New Roman"/>
          <w:sz w:val="24"/>
          <w:szCs w:val="24"/>
        </w:rPr>
        <w:t>Държавно обществено осигуряване</w:t>
      </w:r>
      <w:bookmarkEnd w:id="274"/>
      <w:bookmarkEnd w:id="275"/>
      <w:bookmarkEnd w:id="276"/>
      <w:bookmarkEnd w:id="277"/>
      <w:bookmarkEnd w:id="278"/>
    </w:p>
    <w:p w14:paraId="7E8CDBF3" w14:textId="77777777" w:rsidR="0017622D" w:rsidRPr="001176E4" w:rsidRDefault="0017622D" w:rsidP="0017622D">
      <w:pPr>
        <w:spacing w:after="120"/>
        <w:jc w:val="both"/>
      </w:pPr>
      <w:bookmarkStart w:id="289" w:name="_Toc173668690"/>
      <w:bookmarkStart w:id="290" w:name="_Toc365649322"/>
      <w:bookmarkStart w:id="291" w:name="_Toc365897059"/>
      <w:bookmarkStart w:id="292" w:name="_Toc18400790"/>
      <w:r w:rsidRPr="001176E4">
        <w:t xml:space="preserve">Общата сума на </w:t>
      </w:r>
      <w:r w:rsidRPr="001176E4">
        <w:rPr>
          <w:b/>
        </w:rPr>
        <w:t xml:space="preserve">приходите, помощите и даренията </w:t>
      </w:r>
      <w:r w:rsidRPr="001176E4">
        <w:t>по бюджета на Държавното обществено осигуряване (ДОО) към 30.06.202</w:t>
      </w:r>
      <w:r w:rsidRPr="005D4BE5">
        <w:rPr>
          <w:lang w:val="ru-RU"/>
        </w:rPr>
        <w:t>4</w:t>
      </w:r>
      <w:r w:rsidRPr="001176E4">
        <w:t xml:space="preserve"> г. възлиза на </w:t>
      </w:r>
      <w:r w:rsidRPr="005D4BE5">
        <w:rPr>
          <w:lang w:val="ru-RU"/>
        </w:rPr>
        <w:t>6</w:t>
      </w:r>
      <w:r w:rsidRPr="001176E4">
        <w:t> </w:t>
      </w:r>
      <w:r w:rsidRPr="005D4BE5">
        <w:rPr>
          <w:lang w:val="ru-RU"/>
        </w:rPr>
        <w:t>312</w:t>
      </w:r>
      <w:r w:rsidRPr="001176E4">
        <w:t>,</w:t>
      </w:r>
      <w:r w:rsidRPr="005D4BE5">
        <w:rPr>
          <w:lang w:val="ru-RU"/>
        </w:rPr>
        <w:t>1</w:t>
      </w:r>
      <w:r w:rsidRPr="001176E4">
        <w:t xml:space="preserve"> млн. лв., което представлява </w:t>
      </w:r>
      <w:r w:rsidRPr="001176E4">
        <w:rPr>
          <w:lang w:val="ru-RU"/>
        </w:rPr>
        <w:t>49</w:t>
      </w:r>
      <w:r w:rsidRPr="001176E4">
        <w:t>,0 % от заложените в бюджета на ДОО за 202</w:t>
      </w:r>
      <w:r w:rsidRPr="005D4BE5">
        <w:rPr>
          <w:lang w:val="ru-RU"/>
        </w:rPr>
        <w:t>4</w:t>
      </w:r>
      <w:r w:rsidRPr="001176E4">
        <w:rPr>
          <w:lang w:val="en-US"/>
        </w:rPr>
        <w:t> </w:t>
      </w:r>
      <w:r w:rsidRPr="001176E4">
        <w:t xml:space="preserve">г. </w:t>
      </w:r>
      <w:r w:rsidRPr="001176E4">
        <w:rPr>
          <w:lang w:val="ru-RU"/>
        </w:rPr>
        <w:t>1</w:t>
      </w:r>
      <w:r w:rsidRPr="005D4BE5">
        <w:rPr>
          <w:lang w:val="ru-RU"/>
        </w:rPr>
        <w:t>2</w:t>
      </w:r>
      <w:r w:rsidRPr="001176E4">
        <w:t> </w:t>
      </w:r>
      <w:r w:rsidRPr="005D4BE5">
        <w:rPr>
          <w:lang w:val="ru-RU"/>
        </w:rPr>
        <w:t>883</w:t>
      </w:r>
      <w:r w:rsidRPr="001176E4">
        <w:t>,</w:t>
      </w:r>
      <w:r w:rsidRPr="005D4BE5">
        <w:rPr>
          <w:lang w:val="ru-RU"/>
        </w:rPr>
        <w:t>9</w:t>
      </w:r>
      <w:r w:rsidRPr="001176E4">
        <w:t> млн. лева. Най-голям е делът на приходите от осигурителни вноски (9</w:t>
      </w:r>
      <w:r w:rsidRPr="001176E4">
        <w:rPr>
          <w:lang w:val="ru-RU"/>
        </w:rPr>
        <w:t>8</w:t>
      </w:r>
      <w:r w:rsidRPr="001176E4">
        <w:t>,5 % от общите приходи), които за отчетния период са в размер на 6 220,</w:t>
      </w:r>
      <w:r w:rsidRPr="001176E4">
        <w:rPr>
          <w:lang w:val="ru-RU"/>
        </w:rPr>
        <w:t>5</w:t>
      </w:r>
      <w:r w:rsidRPr="001176E4">
        <w:t xml:space="preserve"> млн. лв., </w:t>
      </w:r>
      <w:r w:rsidRPr="001176E4">
        <w:rPr>
          <w:lang w:val="ru-RU"/>
        </w:rPr>
        <w:t>48</w:t>
      </w:r>
      <w:r w:rsidRPr="001176E4">
        <w:t xml:space="preserve">,9 % от заложените в бюджета на ДОО за 2024 година. </w:t>
      </w:r>
    </w:p>
    <w:p w14:paraId="7CDEF415" w14:textId="2126E7D9" w:rsidR="0017622D" w:rsidRPr="007A44B6" w:rsidRDefault="0017622D" w:rsidP="0017622D">
      <w:pPr>
        <w:spacing w:after="120"/>
        <w:jc w:val="both"/>
        <w:rPr>
          <w:lang w:eastAsia="en-US"/>
        </w:rPr>
      </w:pPr>
      <w:r w:rsidRPr="001176E4">
        <w:t>Съпоставени с първото полугодие на 2023 г., приходите по бюджета на ДОО нарастват с 882,2</w:t>
      </w:r>
      <w:r w:rsidR="00BF284A">
        <w:t> </w:t>
      </w:r>
      <w:r w:rsidRPr="001176E4">
        <w:t xml:space="preserve">млн. лв. (16,2 %). </w:t>
      </w:r>
      <w:r w:rsidRPr="001176E4">
        <w:rPr>
          <w:bCs/>
        </w:rPr>
        <w:t xml:space="preserve">Върху състоянието на приходите през 2024 г. влияние оказват следните основни фактори: минималния осигурителен доход за </w:t>
      </w:r>
      <w:proofErr w:type="spellStart"/>
      <w:r w:rsidRPr="001176E4">
        <w:rPr>
          <w:bCs/>
        </w:rPr>
        <w:t>самоосигуряващите</w:t>
      </w:r>
      <w:proofErr w:type="spellEnd"/>
      <w:r w:rsidRPr="001176E4">
        <w:rPr>
          <w:bCs/>
        </w:rPr>
        <w:t xml:space="preserve"> се лица през </w:t>
      </w:r>
      <w:r w:rsidRPr="002E017B">
        <w:rPr>
          <w:bCs/>
        </w:rPr>
        <w:t>целия отчитан шестмесечен период</w:t>
      </w:r>
      <w:r w:rsidRPr="002E017B">
        <w:rPr>
          <w:bCs/>
          <w:lang w:val="ru-RU"/>
        </w:rPr>
        <w:t xml:space="preserve"> </w:t>
      </w:r>
      <w:r w:rsidRPr="002E017B">
        <w:rPr>
          <w:bCs/>
          <w:lang w:val="en-US"/>
        </w:rPr>
        <w:t>e</w:t>
      </w:r>
      <w:r w:rsidRPr="002E017B">
        <w:rPr>
          <w:bCs/>
        </w:rPr>
        <w:t xml:space="preserve"> в размер на 933 лв., при 710 лв. през първото полугодие на 2023</w:t>
      </w:r>
      <w:r w:rsidR="00BF284A">
        <w:rPr>
          <w:bCs/>
        </w:rPr>
        <w:t> </w:t>
      </w:r>
      <w:r w:rsidRPr="002E017B">
        <w:rPr>
          <w:bCs/>
        </w:rPr>
        <w:t xml:space="preserve">г.; нивата на минималните осигурителни доходи по основните икономически дейности и квалификационни групи професии също са приравнени на минималната работна заплата </w:t>
      </w:r>
      <w:r w:rsidR="00BF284A">
        <w:rPr>
          <w:bCs/>
        </w:rPr>
        <w:t>–</w:t>
      </w:r>
      <w:r w:rsidRPr="002E017B">
        <w:rPr>
          <w:bCs/>
        </w:rPr>
        <w:t xml:space="preserve"> 933</w:t>
      </w:r>
      <w:r w:rsidR="00BF284A">
        <w:rPr>
          <w:bCs/>
        </w:rPr>
        <w:t> </w:t>
      </w:r>
      <w:r w:rsidRPr="002E017B">
        <w:rPr>
          <w:bCs/>
        </w:rPr>
        <w:t>лв., като това е повече от нивото на показателя през (710 лв.) през първото полугодие на 2023 г</w:t>
      </w:r>
      <w:r w:rsidRPr="007A44B6">
        <w:rPr>
          <w:bCs/>
        </w:rPr>
        <w:t>.;</w:t>
      </w:r>
      <w:r>
        <w:rPr>
          <w:bCs/>
        </w:rPr>
        <w:t xml:space="preserve"> увеличението на максималния осигурителен доход на 3 750 лв.;</w:t>
      </w:r>
      <w:r w:rsidRPr="007A44B6">
        <w:rPr>
          <w:bCs/>
        </w:rPr>
        <w:t xml:space="preserve"> </w:t>
      </w:r>
      <w:r w:rsidRPr="007A44B6">
        <w:rPr>
          <w:rFonts w:eastAsia="Calibri"/>
          <w:noProof/>
          <w:lang w:eastAsia="en-US"/>
        </w:rPr>
        <w:t xml:space="preserve">увеличението на възнагражденията </w:t>
      </w:r>
      <w:r>
        <w:rPr>
          <w:rFonts w:eastAsia="Calibri"/>
          <w:noProof/>
          <w:lang w:eastAsia="en-US"/>
        </w:rPr>
        <w:t>в бюджетния сектор</w:t>
      </w:r>
      <w:r w:rsidRPr="007A44B6">
        <w:rPr>
          <w:rFonts w:eastAsia="Calibri"/>
          <w:noProof/>
          <w:lang w:eastAsia="en-US"/>
        </w:rPr>
        <w:t xml:space="preserve"> със ЗДБРБ за 2023 г. и ЗДБРБ за 2024 г.</w:t>
      </w:r>
      <w:r>
        <w:rPr>
          <w:rFonts w:eastAsia="Calibri"/>
          <w:noProof/>
          <w:lang w:eastAsia="en-US"/>
        </w:rPr>
        <w:t xml:space="preserve"> </w:t>
      </w:r>
      <w:r w:rsidRPr="007A44B6">
        <w:rPr>
          <w:bCs/>
        </w:rPr>
        <w:t xml:space="preserve">и увеличението на възнагражденията в частния сектор. </w:t>
      </w:r>
    </w:p>
    <w:p w14:paraId="1046BEBF" w14:textId="3426474C" w:rsidR="0017622D" w:rsidRPr="00991523" w:rsidRDefault="0017622D" w:rsidP="0017622D">
      <w:pPr>
        <w:spacing w:after="120"/>
        <w:jc w:val="both"/>
        <w:rPr>
          <w:bCs/>
        </w:rPr>
      </w:pPr>
      <w:r w:rsidRPr="00991523">
        <w:rPr>
          <w:bCs/>
        </w:rPr>
        <w:t>Отчетените неданъчни приходи към края на юни 2024 г. по бюджета на ДОО възлизат на 91,6</w:t>
      </w:r>
      <w:r w:rsidR="00BF284A">
        <w:rPr>
          <w:bCs/>
        </w:rPr>
        <w:t> </w:t>
      </w:r>
      <w:r w:rsidRPr="00991523">
        <w:rPr>
          <w:bCs/>
        </w:rPr>
        <w:t>млн. лв., в т.ч. 82,7 млн. лв. постъпили средства по чл. 4б, чл. 4в и чл. 69б от Кодекса за социално осигуряване (КСО)</w:t>
      </w:r>
      <w:r w:rsidRPr="00991523">
        <w:t>.</w:t>
      </w:r>
      <w:r w:rsidRPr="00991523">
        <w:rPr>
          <w:bCs/>
        </w:rPr>
        <w:t xml:space="preserve"> Тази група приходи са нараснали с 6,2 млн. лв. в сравнение със същия период на миналата година и представляват 59,7 % от годишния разчет.</w:t>
      </w:r>
    </w:p>
    <w:p w14:paraId="05105545" w14:textId="77777777" w:rsidR="0017622D" w:rsidRPr="008D4C18" w:rsidRDefault="0017622D" w:rsidP="0017622D">
      <w:pPr>
        <w:spacing w:after="120"/>
        <w:jc w:val="both"/>
        <w:rPr>
          <w:bCs/>
        </w:rPr>
      </w:pPr>
      <w:r w:rsidRPr="008D4C18">
        <w:rPr>
          <w:bCs/>
        </w:rPr>
        <w:t>Получените трансфери от централния бюджет (вкл. за поети осигурителни вноски) за периода са 5 324,3 млн. лв.</w:t>
      </w:r>
    </w:p>
    <w:p w14:paraId="5EA3EE2A" w14:textId="77777777" w:rsidR="0017622D" w:rsidRPr="00E56679" w:rsidRDefault="0017622D" w:rsidP="0017622D">
      <w:pPr>
        <w:spacing w:after="120"/>
        <w:jc w:val="both"/>
        <w:rPr>
          <w:bCs/>
          <w:color w:val="0070C0"/>
        </w:rPr>
      </w:pPr>
      <w:r w:rsidRPr="00001E22">
        <w:rPr>
          <w:bCs/>
        </w:rPr>
        <w:t xml:space="preserve">Размерът на извършените </w:t>
      </w:r>
      <w:r w:rsidRPr="00001E22">
        <w:rPr>
          <w:b/>
          <w:bCs/>
        </w:rPr>
        <w:t xml:space="preserve">разходи </w:t>
      </w:r>
      <w:r w:rsidRPr="00001E22">
        <w:rPr>
          <w:bCs/>
        </w:rPr>
        <w:t xml:space="preserve">за първото полугодие на 2024 г. по бюджета на ДОО е </w:t>
      </w:r>
      <w:r w:rsidRPr="00001E22">
        <w:rPr>
          <w:bCs/>
          <w:lang w:val="ru-RU"/>
        </w:rPr>
        <w:t>11 568</w:t>
      </w:r>
      <w:r w:rsidRPr="00001E22">
        <w:rPr>
          <w:bCs/>
        </w:rPr>
        <w:t>,8 млн. лв., което представлява 47,5 % от предвидените в бюджет</w:t>
      </w:r>
      <w:r w:rsidRPr="00001E22">
        <w:rPr>
          <w:bCs/>
          <w:lang w:val="ru-RU"/>
        </w:rPr>
        <w:t>а</w:t>
      </w:r>
      <w:r w:rsidRPr="00001E22">
        <w:rPr>
          <w:bCs/>
        </w:rPr>
        <w:t xml:space="preserve"> за 2024 г. средства. От структурна гледна точка с най-голям относителен дял в общите разходи са разходите за пенсии, обезщетения и помощи, изплащани на основание Кодекса за социално осигуряване – общо 11 478,5 млн. лв. или 99,2 % от общия размер на разходите за отчетния период. Спрямо същия период на миналата година, общите разходите по бюджета на ДОО са с 1 411,9 млн. лв. (13,9 %) повече. Отчетените разходи за </w:t>
      </w:r>
      <w:r w:rsidRPr="00001E22">
        <w:rPr>
          <w:b/>
          <w:bCs/>
        </w:rPr>
        <w:t>пенсии</w:t>
      </w:r>
      <w:r w:rsidRPr="00001E22">
        <w:rPr>
          <w:bCs/>
        </w:rPr>
        <w:t xml:space="preserve"> по бюджета на ДОО към 30.06.2024 г. възлизат на 10 201,6 млн. лв., което е с 1 165,9  млн. </w:t>
      </w:r>
      <w:r w:rsidRPr="00947769">
        <w:rPr>
          <w:bCs/>
        </w:rPr>
        <w:t>лв. повече спрямо първото полугодие на 2023 год. Основната причина за това е изплащането на увеличените с 12 % от 1 юли 2023 г. пенсии, вкл. увеличението на минималната пенсия.</w:t>
      </w:r>
    </w:p>
    <w:p w14:paraId="51F4A0A4" w14:textId="306281B5" w:rsidR="0017622D" w:rsidRPr="00E56679" w:rsidRDefault="0017622D" w:rsidP="0017622D">
      <w:pPr>
        <w:spacing w:after="120"/>
        <w:jc w:val="both"/>
        <w:rPr>
          <w:color w:val="0070C0"/>
        </w:rPr>
      </w:pPr>
      <w:r w:rsidRPr="003D4BB4">
        <w:t xml:space="preserve">Изплатените разходи за </w:t>
      </w:r>
      <w:r w:rsidRPr="003D4BB4">
        <w:rPr>
          <w:b/>
        </w:rPr>
        <w:t>краткосрочни обезщетения и помощи по КСО</w:t>
      </w:r>
      <w:r w:rsidRPr="003D4BB4">
        <w:t xml:space="preserve"> са в размер на 1 276,8</w:t>
      </w:r>
      <w:r w:rsidR="007E1B7E">
        <w:t> </w:t>
      </w:r>
      <w:r w:rsidRPr="003D4BB4">
        <w:t>млн. лева. С най-голям размер са изплатените обезщетения за временна нетрудоспособност поради общо заболяване – 450,7 млн. лв., следвани от обезщетенията и помощи за безработица – 297,4 млн. лв., обезщетенията за бременност и раждане – 287,2 млн. лв., обезщетенията за отглеждане на малко дете – 138,2 млн. лв. и др. Спрямо същия период на миналата година изплатените обезщетения по КСО са повече с 234,4 млн. лв. (22,5</w:t>
      </w:r>
      <w:r>
        <w:t xml:space="preserve"> %), като най-голямо е увеличението при </w:t>
      </w:r>
      <w:r w:rsidRPr="003D4BB4">
        <w:t>обезщетени</w:t>
      </w:r>
      <w:r>
        <w:t>ята</w:t>
      </w:r>
      <w:r w:rsidRPr="003D4BB4">
        <w:t xml:space="preserve"> за временна нетрудоспособност поради общо заболяване</w:t>
      </w:r>
      <w:r>
        <w:t xml:space="preserve"> (103,6 млн. лв.), което е свързано с</w:t>
      </w:r>
      <w:r w:rsidRPr="003D4BB4">
        <w:t xml:space="preserve"> </w:t>
      </w:r>
      <w:r>
        <w:t xml:space="preserve">поемане изплащането на обезщетението за третия ден от периода на неработоспособност от ДОО. </w:t>
      </w:r>
    </w:p>
    <w:p w14:paraId="30C3962F" w14:textId="77777777" w:rsidR="0017622D" w:rsidRPr="00B352DE" w:rsidRDefault="0017622D" w:rsidP="0017622D">
      <w:pPr>
        <w:jc w:val="both"/>
      </w:pPr>
      <w:r w:rsidRPr="00B352DE">
        <w:t>По бюджета на ДОО за 2024 година са утвърдени 178,8 млн. лв. за административни разходи на институцията, които включват разходите за персонал и за текуща издръжка. За първите шест месеца на годината са отчетени 90,2 млн. лв., което представлява 50,5 % от годишния разчет. Отчетените капиталови разходи за периода възлизат на 0,2 млн. лева.</w:t>
      </w:r>
    </w:p>
    <w:p w14:paraId="7EC9FA17" w14:textId="77777777" w:rsidR="0017622D" w:rsidRPr="0078118E" w:rsidRDefault="0017622D" w:rsidP="0017622D">
      <w:pPr>
        <w:pStyle w:val="Heading3"/>
        <w:numPr>
          <w:ilvl w:val="1"/>
          <w:numId w:val="22"/>
        </w:numPr>
        <w:ind w:left="851" w:hanging="567"/>
        <w:rPr>
          <w:rFonts w:ascii="Times New Roman" w:hAnsi="Times New Roman" w:cs="Times New Roman"/>
          <w:sz w:val="24"/>
          <w:szCs w:val="24"/>
        </w:rPr>
      </w:pPr>
      <w:bookmarkStart w:id="293" w:name="_Toc113440857"/>
      <w:bookmarkStart w:id="294" w:name="_Toc174117357"/>
      <w:bookmarkStart w:id="295" w:name="_Toc176351955"/>
      <w:r w:rsidRPr="0078118E">
        <w:rPr>
          <w:rFonts w:ascii="Times New Roman" w:hAnsi="Times New Roman" w:cs="Times New Roman"/>
          <w:sz w:val="24"/>
          <w:szCs w:val="24"/>
        </w:rPr>
        <w:t>Национална здравноосигурителна каса</w:t>
      </w:r>
      <w:bookmarkEnd w:id="289"/>
      <w:bookmarkEnd w:id="290"/>
      <w:bookmarkEnd w:id="291"/>
      <w:bookmarkEnd w:id="292"/>
      <w:bookmarkEnd w:id="293"/>
      <w:bookmarkEnd w:id="294"/>
      <w:bookmarkEnd w:id="295"/>
    </w:p>
    <w:p w14:paraId="258C3E6A" w14:textId="77777777" w:rsidR="0017622D" w:rsidRPr="0078118E" w:rsidRDefault="0017622D" w:rsidP="0017622D">
      <w:pPr>
        <w:rPr>
          <w:sz w:val="8"/>
          <w:szCs w:val="8"/>
        </w:rPr>
      </w:pPr>
    </w:p>
    <w:p w14:paraId="10433E4E" w14:textId="0F1A68E6" w:rsidR="0017622D" w:rsidRPr="00E56679" w:rsidRDefault="0017622D" w:rsidP="0017622D">
      <w:pPr>
        <w:spacing w:after="120"/>
        <w:jc w:val="both"/>
        <w:rPr>
          <w:color w:val="0070C0"/>
        </w:rPr>
      </w:pPr>
      <w:r w:rsidRPr="0078118E">
        <w:t>Общият размер на събраните приходи по бюджета на НЗОК към края на първото полугодие на 2024 г. възлиза на 2 434,1 млн. лв., което представлява 49,6 % от предвидените със Закона за бюджета на Националната здравноосигурителна каса за 2024 г. (</w:t>
      </w:r>
      <w:r w:rsidRPr="006F4E28">
        <w:t>ЗБНЗОК за 2024 г.) – 4 910,9</w:t>
      </w:r>
      <w:r w:rsidR="007E1B7E">
        <w:t> </w:t>
      </w:r>
      <w:r w:rsidRPr="006F4E28">
        <w:t xml:space="preserve">млн. лева. Постъпленията от здравноосигурителни вноски са в размер на 2 420,5 млн. лв., 49,6 % изпълнение на утвърдените със ЗБНЗОК за 2024 г. средства в размер на 4 880,1 млн. лева. Събраните неданъчни приходи за първото полугодие на 2024 г. са 13,6 млн. лв., 44,1 % от заложените в ЗБНЗОК за 2024 г., като основната част от тях са приходи от глоби, санкции и наказателни лихви. </w:t>
      </w:r>
    </w:p>
    <w:p w14:paraId="7EB9E8FC" w14:textId="77777777" w:rsidR="0017622D" w:rsidRPr="00202F36" w:rsidRDefault="0017622D" w:rsidP="0017622D">
      <w:pPr>
        <w:spacing w:after="120"/>
        <w:jc w:val="both"/>
      </w:pPr>
      <w:r w:rsidRPr="009E6752">
        <w:rPr>
          <w:color w:val="000000" w:themeColor="text1"/>
        </w:rPr>
        <w:t>Полученият трансфер от МЗ за</w:t>
      </w:r>
      <w:r w:rsidRPr="009E6752">
        <w:rPr>
          <w:color w:val="000000" w:themeColor="text1"/>
          <w:szCs w:val="20"/>
        </w:rPr>
        <w:t xml:space="preserve"> финансиране на разходите за лекарствени продукти – ваксини и дейности по прилагането им за здравните дейности по чл. 82, ал. 2, т. 3 от Закона за здравето; за дейности за здравно неосигурени лица, включващи: комплексно диспансерно (амбулаторно) наблюдение при пациенти с кожно-венерически и психиатрични заболявания; интензивно лечение; дейности по чл. 82, ал. 1, т. 2 от ЗЗ, за сумите по чл. 37, ал. 6 от Закона за здравното осигуряване и за медицински изделия, помощни средства, приспособления и съоръжения за хората с увреждания извън обхвата </w:t>
      </w:r>
      <w:r w:rsidRPr="00202F36">
        <w:rPr>
          <w:szCs w:val="20"/>
        </w:rPr>
        <w:t>на задължителното здравно осигуряване</w:t>
      </w:r>
      <w:r w:rsidRPr="00202F36">
        <w:t xml:space="preserve"> </w:t>
      </w:r>
      <w:r w:rsidRPr="00202F36">
        <w:rPr>
          <w:szCs w:val="20"/>
        </w:rPr>
        <w:t xml:space="preserve">за отчетния период e в размер на 105,8 </w:t>
      </w:r>
      <w:r w:rsidRPr="00202F36">
        <w:t xml:space="preserve">млн. лева. </w:t>
      </w:r>
    </w:p>
    <w:p w14:paraId="3D2C03A8" w14:textId="77777777" w:rsidR="0017622D" w:rsidRPr="00202F36" w:rsidRDefault="0017622D" w:rsidP="0017622D">
      <w:pPr>
        <w:spacing w:after="120"/>
        <w:jc w:val="both"/>
      </w:pPr>
      <w:r w:rsidRPr="00202F36">
        <w:t xml:space="preserve">Трансферите за здравно осигуряване (вкл. за поети осигурителни вноски) от централния бюджет за периода са </w:t>
      </w:r>
      <w:r w:rsidRPr="00202F36">
        <w:rPr>
          <w:lang w:val="ru-RU"/>
        </w:rPr>
        <w:t>1</w:t>
      </w:r>
      <w:r w:rsidRPr="00202F36">
        <w:rPr>
          <w:lang w:val="en-US"/>
        </w:rPr>
        <w:t> </w:t>
      </w:r>
      <w:r w:rsidRPr="00202F36">
        <w:t xml:space="preserve">542,4 млн. лв. </w:t>
      </w:r>
    </w:p>
    <w:p w14:paraId="5C952476" w14:textId="77777777" w:rsidR="0017622D" w:rsidRPr="00202F36" w:rsidRDefault="0017622D" w:rsidP="0017622D">
      <w:pPr>
        <w:spacing w:after="120"/>
        <w:jc w:val="both"/>
      </w:pPr>
      <w:r w:rsidRPr="00202F36">
        <w:t>Отчетените разходи към 30.06.2024 г. са в размер на 3 957,2 млн. лв. и представляват 48,4 % от предвидените в ЗБНЗОК за 2024 г. 8 168,4 млн. лева. Спрямо същия период на 2023 г. разходите нарастват с 760,7 млн. лв. (23,8 %).</w:t>
      </w:r>
    </w:p>
    <w:p w14:paraId="60A4BA4D" w14:textId="77777777" w:rsidR="0017622D" w:rsidRPr="00202F36" w:rsidRDefault="0017622D" w:rsidP="0017622D">
      <w:pPr>
        <w:spacing w:after="120"/>
        <w:jc w:val="both"/>
      </w:pPr>
      <w:r w:rsidRPr="00202F36">
        <w:t>Най-голям относителен дял (96,7 %) заемат здравноосигурителните плащания, които възлизат на 3 827,5 млн. лева. В отделните направления на здравноосигурителни плащания изпълнението на бюджета за първото полугодие на 2024 г. е следното:</w:t>
      </w:r>
    </w:p>
    <w:p w14:paraId="2A8C0A58" w14:textId="77777777" w:rsidR="0017622D" w:rsidRPr="00202F36" w:rsidRDefault="0017622D" w:rsidP="0017622D">
      <w:pPr>
        <w:numPr>
          <w:ilvl w:val="0"/>
          <w:numId w:val="14"/>
        </w:numPr>
        <w:tabs>
          <w:tab w:val="clear" w:pos="357"/>
          <w:tab w:val="num" w:pos="0"/>
          <w:tab w:val="left" w:pos="720"/>
          <w:tab w:val="left" w:pos="1134"/>
          <w:tab w:val="num" w:pos="6878"/>
        </w:tabs>
        <w:spacing w:before="120" w:line="276" w:lineRule="auto"/>
        <w:ind w:left="6878" w:hanging="6169"/>
        <w:jc w:val="both"/>
        <w:rPr>
          <w:bCs/>
        </w:rPr>
      </w:pPr>
      <w:r w:rsidRPr="00202F36">
        <w:rPr>
          <w:b/>
          <w:i/>
        </w:rPr>
        <w:t xml:space="preserve">първична </w:t>
      </w:r>
      <w:proofErr w:type="spellStart"/>
      <w:r w:rsidRPr="00202F36">
        <w:rPr>
          <w:b/>
          <w:i/>
        </w:rPr>
        <w:t>извънболнична</w:t>
      </w:r>
      <w:proofErr w:type="spellEnd"/>
      <w:r w:rsidRPr="00202F36">
        <w:rPr>
          <w:b/>
          <w:i/>
        </w:rPr>
        <w:t xml:space="preserve"> медицинска помощ</w:t>
      </w:r>
      <w:r w:rsidRPr="00202F36">
        <w:rPr>
          <w:i/>
        </w:rPr>
        <w:t xml:space="preserve"> –</w:t>
      </w:r>
      <w:r w:rsidRPr="00202F36">
        <w:t xml:space="preserve"> 266,1 млн. лева;</w:t>
      </w:r>
      <w:r w:rsidRPr="00202F36">
        <w:rPr>
          <w:bCs/>
        </w:rPr>
        <w:t xml:space="preserve"> </w:t>
      </w:r>
    </w:p>
    <w:p w14:paraId="59759ACC" w14:textId="77777777" w:rsidR="0017622D" w:rsidRPr="00202F36" w:rsidRDefault="0017622D" w:rsidP="0017622D">
      <w:pPr>
        <w:numPr>
          <w:ilvl w:val="0"/>
          <w:numId w:val="14"/>
        </w:numPr>
        <w:tabs>
          <w:tab w:val="clear" w:pos="357"/>
          <w:tab w:val="num" w:pos="0"/>
          <w:tab w:val="left" w:pos="720"/>
          <w:tab w:val="left" w:pos="1134"/>
          <w:tab w:val="num" w:pos="6878"/>
        </w:tabs>
        <w:spacing w:line="276" w:lineRule="auto"/>
        <w:ind w:left="6878" w:hanging="6169"/>
        <w:jc w:val="both"/>
        <w:rPr>
          <w:i/>
        </w:rPr>
      </w:pPr>
      <w:r w:rsidRPr="00202F36">
        <w:rPr>
          <w:b/>
          <w:i/>
        </w:rPr>
        <w:t xml:space="preserve">специализирана </w:t>
      </w:r>
      <w:proofErr w:type="spellStart"/>
      <w:r w:rsidRPr="00202F36">
        <w:rPr>
          <w:b/>
          <w:i/>
        </w:rPr>
        <w:t>извънболнична</w:t>
      </w:r>
      <w:proofErr w:type="spellEnd"/>
      <w:r w:rsidRPr="00202F36">
        <w:rPr>
          <w:b/>
          <w:i/>
        </w:rPr>
        <w:t xml:space="preserve"> медицинска помощ </w:t>
      </w:r>
      <w:r w:rsidRPr="00202F36">
        <w:t xml:space="preserve"> – 283,1 млн. лева;</w:t>
      </w:r>
    </w:p>
    <w:p w14:paraId="0FC0733B" w14:textId="77777777" w:rsidR="0017622D" w:rsidRPr="00202F36" w:rsidRDefault="0017622D" w:rsidP="0017622D">
      <w:pPr>
        <w:numPr>
          <w:ilvl w:val="0"/>
          <w:numId w:val="14"/>
        </w:numPr>
        <w:tabs>
          <w:tab w:val="clear" w:pos="357"/>
          <w:tab w:val="num" w:pos="0"/>
          <w:tab w:val="left" w:pos="720"/>
          <w:tab w:val="left" w:pos="1134"/>
          <w:tab w:val="num" w:pos="6878"/>
        </w:tabs>
        <w:spacing w:line="276" w:lineRule="auto"/>
        <w:ind w:left="6878" w:hanging="6169"/>
        <w:jc w:val="both"/>
        <w:rPr>
          <w:b/>
        </w:rPr>
      </w:pPr>
      <w:r w:rsidRPr="00202F36">
        <w:rPr>
          <w:b/>
          <w:i/>
        </w:rPr>
        <w:t xml:space="preserve">дентална помощ </w:t>
      </w:r>
      <w:r w:rsidRPr="00202F36">
        <w:rPr>
          <w:b/>
        </w:rPr>
        <w:t xml:space="preserve">– </w:t>
      </w:r>
      <w:r w:rsidRPr="00202F36">
        <w:t>200,2 млн. лева;</w:t>
      </w:r>
    </w:p>
    <w:p w14:paraId="65116038" w14:textId="77777777" w:rsidR="0017622D" w:rsidRPr="00202F36" w:rsidRDefault="0017622D" w:rsidP="0017622D">
      <w:pPr>
        <w:numPr>
          <w:ilvl w:val="0"/>
          <w:numId w:val="14"/>
        </w:numPr>
        <w:tabs>
          <w:tab w:val="clear" w:pos="357"/>
          <w:tab w:val="num" w:pos="0"/>
          <w:tab w:val="left" w:pos="720"/>
          <w:tab w:val="left" w:pos="1134"/>
          <w:tab w:val="num" w:pos="6878"/>
        </w:tabs>
        <w:spacing w:line="276" w:lineRule="auto"/>
        <w:ind w:left="6878" w:hanging="6169"/>
        <w:jc w:val="both"/>
        <w:rPr>
          <w:b/>
          <w:i/>
        </w:rPr>
      </w:pPr>
      <w:r w:rsidRPr="00202F36">
        <w:rPr>
          <w:b/>
          <w:i/>
        </w:rPr>
        <w:t xml:space="preserve">медико-диагностични дейности </w:t>
      </w:r>
      <w:r w:rsidRPr="00202F36">
        <w:rPr>
          <w:b/>
        </w:rPr>
        <w:t xml:space="preserve">– </w:t>
      </w:r>
      <w:r w:rsidRPr="00202F36">
        <w:t>99,3 млн. лева;</w:t>
      </w:r>
      <w:r w:rsidRPr="00202F36">
        <w:rPr>
          <w:b/>
          <w:i/>
        </w:rPr>
        <w:t xml:space="preserve"> </w:t>
      </w:r>
    </w:p>
    <w:p w14:paraId="66A5309D" w14:textId="77777777" w:rsidR="0017622D" w:rsidRPr="00202F36" w:rsidRDefault="0017622D" w:rsidP="0017622D">
      <w:pPr>
        <w:numPr>
          <w:ilvl w:val="0"/>
          <w:numId w:val="14"/>
        </w:numPr>
        <w:tabs>
          <w:tab w:val="clear" w:pos="357"/>
          <w:tab w:val="num" w:pos="0"/>
          <w:tab w:val="left" w:pos="1134"/>
          <w:tab w:val="num" w:pos="6878"/>
        </w:tabs>
        <w:spacing w:line="276" w:lineRule="auto"/>
        <w:ind w:left="1134" w:hanging="425"/>
        <w:jc w:val="both"/>
      </w:pPr>
      <w:r w:rsidRPr="00202F36">
        <w:rPr>
          <w:b/>
          <w:i/>
        </w:rPr>
        <w:t xml:space="preserve">лекарствени продукти, медицински изделия и диетични храни за домашно лечение на територията на страната  - </w:t>
      </w:r>
      <w:r w:rsidRPr="00202F36">
        <w:t>547,5 млн. лева;</w:t>
      </w:r>
    </w:p>
    <w:p w14:paraId="6A46E2EE" w14:textId="77777777" w:rsidR="0017622D" w:rsidRPr="00202F36" w:rsidRDefault="0017622D" w:rsidP="0017622D">
      <w:pPr>
        <w:numPr>
          <w:ilvl w:val="0"/>
          <w:numId w:val="14"/>
        </w:numPr>
        <w:tabs>
          <w:tab w:val="clear" w:pos="357"/>
          <w:tab w:val="num" w:pos="0"/>
          <w:tab w:val="left" w:pos="1134"/>
          <w:tab w:val="num" w:pos="6096"/>
          <w:tab w:val="num" w:pos="6878"/>
        </w:tabs>
        <w:spacing w:line="276" w:lineRule="auto"/>
        <w:ind w:left="1134" w:hanging="425"/>
        <w:jc w:val="both"/>
      </w:pPr>
      <w:r w:rsidRPr="00202F36">
        <w:rPr>
          <w:b/>
          <w:i/>
        </w:rPr>
        <w:t xml:space="preserve"> лекарствени продукти за лечение на злокачествени заболявания в условията на болнична медицинска помощ </w:t>
      </w:r>
      <w:r w:rsidRPr="00202F36">
        <w:t xml:space="preserve"> – 501,3 млн. лева;</w:t>
      </w:r>
    </w:p>
    <w:p w14:paraId="3C7CB3E1" w14:textId="77777777" w:rsidR="0017622D" w:rsidRPr="00202F36" w:rsidRDefault="0017622D" w:rsidP="0017622D">
      <w:pPr>
        <w:numPr>
          <w:ilvl w:val="0"/>
          <w:numId w:val="14"/>
        </w:numPr>
        <w:tabs>
          <w:tab w:val="clear" w:pos="357"/>
          <w:tab w:val="num" w:pos="0"/>
          <w:tab w:val="left" w:pos="720"/>
          <w:tab w:val="num" w:pos="1134"/>
          <w:tab w:val="num" w:pos="6878"/>
        </w:tabs>
        <w:spacing w:line="276" w:lineRule="auto"/>
        <w:ind w:left="1134" w:hanging="425"/>
        <w:jc w:val="both"/>
      </w:pPr>
      <w:r w:rsidRPr="00202F36">
        <w:rPr>
          <w:b/>
          <w:i/>
        </w:rPr>
        <w:t>медицински изделия, прилагани в болничната  помощ –</w:t>
      </w:r>
      <w:r w:rsidRPr="00202F36">
        <w:t xml:space="preserve"> 75,9 млн. лева;</w:t>
      </w:r>
    </w:p>
    <w:p w14:paraId="170D9C67" w14:textId="77777777" w:rsidR="0017622D" w:rsidRPr="003C6F77" w:rsidRDefault="0017622D" w:rsidP="0017622D">
      <w:pPr>
        <w:numPr>
          <w:ilvl w:val="0"/>
          <w:numId w:val="14"/>
        </w:numPr>
        <w:tabs>
          <w:tab w:val="clear" w:pos="357"/>
          <w:tab w:val="num" w:pos="0"/>
          <w:tab w:val="left" w:pos="720"/>
          <w:tab w:val="left" w:pos="1134"/>
          <w:tab w:val="num" w:pos="6878"/>
        </w:tabs>
        <w:spacing w:line="276" w:lineRule="auto"/>
        <w:ind w:left="6878" w:hanging="6169"/>
        <w:jc w:val="both"/>
      </w:pPr>
      <w:r w:rsidRPr="003C6F77">
        <w:rPr>
          <w:b/>
          <w:i/>
        </w:rPr>
        <w:t>болнична медицинска помощ –</w:t>
      </w:r>
      <w:r w:rsidRPr="003C6F77">
        <w:t xml:space="preserve"> 1 827,2 млн. лева;</w:t>
      </w:r>
      <w:r w:rsidRPr="003C6F77">
        <w:tab/>
        <w:t xml:space="preserve"> </w:t>
      </w:r>
    </w:p>
    <w:p w14:paraId="0035D0D9" w14:textId="77777777" w:rsidR="0017622D" w:rsidRPr="003C6F77" w:rsidRDefault="0017622D" w:rsidP="0017622D">
      <w:pPr>
        <w:numPr>
          <w:ilvl w:val="0"/>
          <w:numId w:val="14"/>
        </w:numPr>
        <w:tabs>
          <w:tab w:val="clear" w:pos="357"/>
          <w:tab w:val="num" w:pos="0"/>
          <w:tab w:val="left" w:pos="720"/>
          <w:tab w:val="left" w:pos="1134"/>
          <w:tab w:val="num" w:pos="6878"/>
        </w:tabs>
        <w:spacing w:line="276" w:lineRule="auto"/>
        <w:ind w:left="6878" w:hanging="6169"/>
        <w:jc w:val="both"/>
      </w:pPr>
      <w:r w:rsidRPr="003C6F77">
        <w:rPr>
          <w:b/>
          <w:i/>
        </w:rPr>
        <w:t xml:space="preserve">други здравноосигурителни плащания – </w:t>
      </w:r>
      <w:r w:rsidRPr="003C6F77">
        <w:t>26,9 млн. лева.</w:t>
      </w:r>
    </w:p>
    <w:p w14:paraId="2B99B581" w14:textId="77777777" w:rsidR="0017622D" w:rsidRPr="00E56679" w:rsidRDefault="0017622D" w:rsidP="0017622D">
      <w:pPr>
        <w:spacing w:after="120"/>
        <w:jc w:val="both"/>
        <w:rPr>
          <w:color w:val="0070C0"/>
        </w:rPr>
      </w:pPr>
    </w:p>
    <w:p w14:paraId="42D4D0D5" w14:textId="3E90DABF" w:rsidR="0017622D" w:rsidRPr="00681424" w:rsidRDefault="0017622D" w:rsidP="0017622D">
      <w:pPr>
        <w:spacing w:after="120"/>
        <w:jc w:val="both"/>
        <w:rPr>
          <w:szCs w:val="20"/>
          <w:lang w:eastAsia="en-US"/>
        </w:rPr>
      </w:pPr>
      <w:r w:rsidRPr="00681424">
        <w:rPr>
          <w:szCs w:val="20"/>
          <w:lang w:eastAsia="en-US"/>
        </w:rPr>
        <w:t>Като здравноосигурителни плащания следва да се третират и преведените 93,6 млн. лв. трансфери по договори за извършване на медицински услуги към бюджетни организации, в структурата на които има лечебни заведения по чл. 5 от Закона за лечебните заведения. Заедно с преведените трансфери усвоените средства за здравноосигурителни плащания възлизат на 3 921,0 млн. л</w:t>
      </w:r>
      <w:r w:rsidR="00B36CE8">
        <w:rPr>
          <w:szCs w:val="20"/>
          <w:lang w:eastAsia="en-US"/>
        </w:rPr>
        <w:t>е</w:t>
      </w:r>
      <w:r w:rsidRPr="00681424">
        <w:rPr>
          <w:szCs w:val="20"/>
          <w:lang w:eastAsia="en-US"/>
        </w:rPr>
        <w:t>в</w:t>
      </w:r>
      <w:r w:rsidR="00B36CE8">
        <w:rPr>
          <w:szCs w:val="20"/>
          <w:lang w:eastAsia="en-US"/>
        </w:rPr>
        <w:t>а</w:t>
      </w:r>
      <w:r w:rsidRPr="00681424">
        <w:rPr>
          <w:szCs w:val="20"/>
          <w:lang w:eastAsia="en-US"/>
        </w:rPr>
        <w:t>.</w:t>
      </w:r>
    </w:p>
    <w:p w14:paraId="795C61BA" w14:textId="77777777" w:rsidR="0017622D" w:rsidRPr="000C63B8" w:rsidRDefault="0017622D" w:rsidP="0017622D">
      <w:pPr>
        <w:spacing w:after="120"/>
        <w:jc w:val="both"/>
      </w:pPr>
      <w:r w:rsidRPr="00CB0EA3">
        <w:t xml:space="preserve">За периода са отчетени плащания в размер на 75,2  млн. лв. от предоставения трансфер  от Министерството на здравеопазването за дейности за </w:t>
      </w:r>
      <w:proofErr w:type="spellStart"/>
      <w:r w:rsidRPr="00CB0EA3">
        <w:t>здравнонеосигурени</w:t>
      </w:r>
      <w:proofErr w:type="spellEnd"/>
      <w:r w:rsidRPr="00CB0EA3">
        <w:t xml:space="preserve"> лица, лекарствени продукти, потребителска такса, медицински изделия за хората с увреждания и за лечение на лица до 18</w:t>
      </w:r>
      <w:r w:rsidRPr="00CB0EA3">
        <w:rPr>
          <w:lang w:val="ru-RU"/>
        </w:rPr>
        <w:t>-</w:t>
      </w:r>
      <w:r w:rsidRPr="00CB0EA3">
        <w:t xml:space="preserve">годишна възраст по чл.82, ал.1а, 3 и 6 от Закона за здравето и </w:t>
      </w:r>
      <w:r w:rsidRPr="000C63B8">
        <w:t>на лица над 18</w:t>
      </w:r>
      <w:r w:rsidRPr="000C63B8">
        <w:rPr>
          <w:lang w:val="ru-RU"/>
        </w:rPr>
        <w:t>-</w:t>
      </w:r>
      <w:r w:rsidRPr="000C63B8">
        <w:t>годишна възраст по чл.82, ал.1а и 6.</w:t>
      </w:r>
    </w:p>
    <w:p w14:paraId="681E216B" w14:textId="77777777" w:rsidR="0017622D" w:rsidRPr="00E56679" w:rsidRDefault="0017622D" w:rsidP="0017622D">
      <w:pPr>
        <w:jc w:val="both"/>
        <w:rPr>
          <w:color w:val="0070C0"/>
        </w:rPr>
      </w:pPr>
      <w:r w:rsidRPr="000C63B8">
        <w:t>По бюджета на НЗОК за 2024 година са утвърдени 114,9 млн. лв. за административни разходи на институцията, които включват разходите за персонал и за текуща издръжка. За първите шест месеца на годината са отчетени 51,7 млн. лв., което представлява 45,0 % от годишния разчет. Усвоените средства за административни разходи заемат 1,3 на сто в структурата на общите разходи за отчетния период. Отчетените капиталови разходи за периода възлизат на 2,9 млн. лева.</w:t>
      </w:r>
    </w:p>
    <w:p w14:paraId="0BAAAC1C" w14:textId="77777777" w:rsidR="006530FE" w:rsidRPr="007E2675" w:rsidRDefault="006530FE" w:rsidP="0079339B">
      <w:pPr>
        <w:pStyle w:val="Heading2"/>
        <w:numPr>
          <w:ilvl w:val="1"/>
          <w:numId w:val="7"/>
        </w:numPr>
        <w:tabs>
          <w:tab w:val="clear" w:pos="1440"/>
          <w:tab w:val="center" w:pos="284"/>
          <w:tab w:val="num" w:pos="502"/>
        </w:tabs>
        <w:ind w:left="0" w:firstLine="0"/>
        <w:jc w:val="both"/>
        <w:rPr>
          <w:rFonts w:ascii="Times New Roman" w:hAnsi="Times New Roman"/>
          <w:i w:val="0"/>
          <w:sz w:val="24"/>
        </w:rPr>
      </w:pPr>
      <w:bookmarkStart w:id="296" w:name="_Toc176351956"/>
      <w:r w:rsidRPr="007E2675">
        <w:rPr>
          <w:rFonts w:ascii="Times New Roman" w:hAnsi="Times New Roman"/>
          <w:i w:val="0"/>
          <w:sz w:val="24"/>
        </w:rPr>
        <w:t>Бюджети по чл. 13, ал. 3 на Закона за публичните финанси</w:t>
      </w:r>
      <w:bookmarkEnd w:id="279"/>
      <w:r w:rsidRPr="007E2675">
        <w:rPr>
          <w:rFonts w:ascii="Times New Roman" w:hAnsi="Times New Roman" w:cs="Times New Roman"/>
          <w:i w:val="0"/>
          <w:iCs w:val="0"/>
          <w:sz w:val="24"/>
        </w:rPr>
        <w:t xml:space="preserve"> и бюджет на  Селскостопанска академия</w:t>
      </w:r>
      <w:bookmarkEnd w:id="296"/>
    </w:p>
    <w:p w14:paraId="3D5E4753" w14:textId="77777777" w:rsidR="00E633C6" w:rsidRPr="007E2675" w:rsidRDefault="00E633C6" w:rsidP="00E633C6">
      <w:pPr>
        <w:pStyle w:val="Heading3"/>
        <w:numPr>
          <w:ilvl w:val="1"/>
          <w:numId w:val="17"/>
        </w:numPr>
        <w:rPr>
          <w:rFonts w:ascii="Times New Roman" w:hAnsi="Times New Roman"/>
          <w:sz w:val="24"/>
        </w:rPr>
      </w:pPr>
      <w:bookmarkStart w:id="297" w:name="_Toc81485897"/>
      <w:bookmarkStart w:id="298" w:name="_Toc176351957"/>
      <w:bookmarkStart w:id="299" w:name="_Toc173668693"/>
      <w:bookmarkStart w:id="300" w:name="_Toc269992236"/>
      <w:bookmarkStart w:id="301" w:name="_Toc365649325"/>
      <w:bookmarkStart w:id="302" w:name="_Toc365897062"/>
      <w:bookmarkStart w:id="303" w:name="_Toc521343533"/>
      <w:bookmarkStart w:id="304" w:name="_Toc18400795"/>
      <w:bookmarkStart w:id="305" w:name="_Toc173668695"/>
      <w:bookmarkStart w:id="306" w:name="_Toc269992238"/>
      <w:bookmarkStart w:id="307" w:name="_Toc365649328"/>
      <w:bookmarkStart w:id="308" w:name="_Toc365897065"/>
      <w:bookmarkStart w:id="309" w:name="_Toc427666953"/>
      <w:bookmarkEnd w:id="280"/>
      <w:bookmarkEnd w:id="281"/>
      <w:bookmarkEnd w:id="282"/>
      <w:bookmarkEnd w:id="283"/>
      <w:bookmarkEnd w:id="284"/>
      <w:r w:rsidRPr="007E2675">
        <w:rPr>
          <w:rFonts w:ascii="Times New Roman" w:hAnsi="Times New Roman"/>
          <w:sz w:val="24"/>
        </w:rPr>
        <w:t>Държавни висши училища</w:t>
      </w:r>
      <w:bookmarkEnd w:id="297"/>
      <w:bookmarkEnd w:id="298"/>
    </w:p>
    <w:p w14:paraId="0139759C" w14:textId="4131D13C" w:rsidR="007E2675" w:rsidRPr="00E56679" w:rsidRDefault="007E2675" w:rsidP="007E2675">
      <w:pPr>
        <w:jc w:val="both"/>
        <w:rPr>
          <w:color w:val="0070C0"/>
        </w:rPr>
      </w:pPr>
      <w:bookmarkStart w:id="310" w:name="_Toc427666949"/>
      <w:bookmarkStart w:id="311" w:name="_Toc521343531"/>
      <w:bookmarkEnd w:id="299"/>
      <w:bookmarkEnd w:id="300"/>
      <w:bookmarkEnd w:id="301"/>
      <w:bookmarkEnd w:id="302"/>
      <w:bookmarkEnd w:id="303"/>
      <w:bookmarkEnd w:id="304"/>
      <w:bookmarkEnd w:id="305"/>
      <w:bookmarkEnd w:id="306"/>
      <w:bookmarkEnd w:id="307"/>
      <w:bookmarkEnd w:id="308"/>
      <w:r w:rsidRPr="001F17EE">
        <w:rPr>
          <w:b/>
          <w:color w:val="000000" w:themeColor="text1"/>
        </w:rPr>
        <w:t>Приходите</w:t>
      </w:r>
      <w:r w:rsidRPr="001F17EE">
        <w:rPr>
          <w:color w:val="000000" w:themeColor="text1"/>
        </w:rPr>
        <w:t xml:space="preserve"> на висшите училища за първото полугодие на 2024 г. са в размер на 222,0 млн.</w:t>
      </w:r>
      <w:r w:rsidRPr="001F17EE">
        <w:rPr>
          <w:color w:val="000000" w:themeColor="text1"/>
          <w:lang w:val="en-US"/>
        </w:rPr>
        <w:t> </w:t>
      </w:r>
      <w:r w:rsidRPr="00127CA6">
        <w:rPr>
          <w:color w:val="000000" w:themeColor="text1"/>
        </w:rPr>
        <w:t xml:space="preserve">лв. или 57,4 % от </w:t>
      </w:r>
      <w:r w:rsidRPr="00693B82">
        <w:rPr>
          <w:color w:val="000000" w:themeColor="text1"/>
        </w:rPr>
        <w:t>планираните за годината. Спрямо същия период на 2023 г. постъпленията на ДВУ са се увеличили с 15,</w:t>
      </w:r>
      <w:r w:rsidRPr="00693B82">
        <w:rPr>
          <w:color w:val="000000" w:themeColor="text1"/>
          <w:lang w:val="ru-RU"/>
        </w:rPr>
        <w:t>4</w:t>
      </w:r>
      <w:r w:rsidRPr="00693B82">
        <w:rPr>
          <w:color w:val="000000" w:themeColor="text1"/>
        </w:rPr>
        <w:t xml:space="preserve"> млн. лева. Преобладаваща част от приходите – 89,9 % (199,6 млн. лв.) са приходите от продажба на услуги, стоки и продукция, където се включват събраните такси, заплащани от студентите и докторантите</w:t>
      </w:r>
      <w:r w:rsidRPr="00693B82">
        <w:rPr>
          <w:color w:val="000000" w:themeColor="text1"/>
          <w:lang w:val="ru-RU"/>
        </w:rPr>
        <w:t xml:space="preserve"> </w:t>
      </w:r>
      <w:r w:rsidRPr="00693B82">
        <w:rPr>
          <w:color w:val="000000" w:themeColor="text1"/>
        </w:rPr>
        <w:t>за летния семестър на учебната 202</w:t>
      </w:r>
      <w:r w:rsidRPr="00693B82">
        <w:rPr>
          <w:color w:val="000000" w:themeColor="text1"/>
          <w:lang w:val="ru-RU"/>
        </w:rPr>
        <w:t xml:space="preserve">3/2024 </w:t>
      </w:r>
      <w:r w:rsidRPr="00693B82">
        <w:rPr>
          <w:color w:val="000000" w:themeColor="text1"/>
        </w:rPr>
        <w:t>г. Приходите от наеми на имущество са 22,</w:t>
      </w:r>
      <w:r w:rsidRPr="00693B82">
        <w:rPr>
          <w:color w:val="000000" w:themeColor="text1"/>
          <w:lang w:val="ru-RU"/>
        </w:rPr>
        <w:t>5</w:t>
      </w:r>
      <w:r w:rsidRPr="00693B82">
        <w:rPr>
          <w:color w:val="000000" w:themeColor="text1"/>
        </w:rPr>
        <w:t xml:space="preserve"> млн. л</w:t>
      </w:r>
      <w:r w:rsidR="00B36CE8">
        <w:rPr>
          <w:color w:val="000000" w:themeColor="text1"/>
          <w:lang w:val="en-US"/>
        </w:rPr>
        <w:t>e</w:t>
      </w:r>
      <w:r w:rsidRPr="00693B82">
        <w:rPr>
          <w:color w:val="000000" w:themeColor="text1"/>
        </w:rPr>
        <w:t>в</w:t>
      </w:r>
      <w:r w:rsidR="00B36CE8">
        <w:rPr>
          <w:color w:val="000000" w:themeColor="text1"/>
        </w:rPr>
        <w:t>а</w:t>
      </w:r>
      <w:r w:rsidRPr="00693B82">
        <w:rPr>
          <w:color w:val="000000" w:themeColor="text1"/>
        </w:rPr>
        <w:t>.</w:t>
      </w:r>
    </w:p>
    <w:p w14:paraId="00CB8BA7" w14:textId="77777777" w:rsidR="007E2675" w:rsidRPr="00E56679" w:rsidRDefault="007E2675" w:rsidP="007E2675">
      <w:pPr>
        <w:spacing w:before="120"/>
        <w:jc w:val="both"/>
        <w:rPr>
          <w:color w:val="0070C0"/>
          <w:lang w:val="ru-RU"/>
        </w:rPr>
      </w:pPr>
      <w:r w:rsidRPr="00693B82">
        <w:rPr>
          <w:b/>
          <w:color w:val="000000" w:themeColor="text1"/>
        </w:rPr>
        <w:t>Разходите</w:t>
      </w:r>
      <w:r w:rsidRPr="00693B82">
        <w:rPr>
          <w:color w:val="000000" w:themeColor="text1"/>
        </w:rPr>
        <w:t xml:space="preserve"> на висшите училища към края на месец юни 2024 г. са в размер на 728,2 млн. лв. и представляват 57,1 % от разчетите за 2024 г. С най-голям относителен дял са разходите за персонал (заплати, други възнаграждения и плащания за персонала и </w:t>
      </w:r>
      <w:r w:rsidRPr="00280A4F">
        <w:rPr>
          <w:color w:val="000000" w:themeColor="text1"/>
        </w:rPr>
        <w:t xml:space="preserve">осигурителни вноски) – 70,9 %, следвани от плащанията за издръжка (14,7 %). Разходите за стипендии са 7,0 % от общите разходи. Капиталовите разходи на ДВУ към 30.06.2024 г. са в размер на 52,3 млн. лв. </w:t>
      </w:r>
      <w:r w:rsidRPr="00280A4F">
        <w:rPr>
          <w:color w:val="000000" w:themeColor="text1"/>
          <w:lang w:val="ru-RU"/>
        </w:rPr>
        <w:t>(</w:t>
      </w:r>
      <w:r w:rsidRPr="00280A4F">
        <w:rPr>
          <w:color w:val="000000" w:themeColor="text1"/>
        </w:rPr>
        <w:t>7,2 % от общите разходи</w:t>
      </w:r>
      <w:r w:rsidRPr="00280A4F">
        <w:rPr>
          <w:color w:val="000000" w:themeColor="text1"/>
          <w:lang w:val="ru-RU"/>
        </w:rPr>
        <w:t>).</w:t>
      </w:r>
    </w:p>
    <w:p w14:paraId="1BB92C39" w14:textId="77777777" w:rsidR="007E2675" w:rsidRPr="002D5318" w:rsidRDefault="007E2675" w:rsidP="007E2675">
      <w:pPr>
        <w:pStyle w:val="Heading3"/>
        <w:numPr>
          <w:ilvl w:val="1"/>
          <w:numId w:val="17"/>
        </w:numPr>
        <w:rPr>
          <w:rFonts w:ascii="Times New Roman" w:hAnsi="Times New Roman"/>
          <w:color w:val="000000" w:themeColor="text1"/>
          <w:sz w:val="24"/>
        </w:rPr>
      </w:pPr>
      <w:bookmarkStart w:id="312" w:name="_Toc18400793"/>
      <w:bookmarkStart w:id="313" w:name="_Toc81485898"/>
      <w:bookmarkStart w:id="314" w:name="_Toc176351958"/>
      <w:r w:rsidRPr="00280A4F">
        <w:rPr>
          <w:rFonts w:ascii="Times New Roman" w:hAnsi="Times New Roman"/>
          <w:color w:val="000000" w:themeColor="text1"/>
          <w:sz w:val="24"/>
        </w:rPr>
        <w:t xml:space="preserve">Българска академия на </w:t>
      </w:r>
      <w:r w:rsidRPr="002D5318">
        <w:rPr>
          <w:rFonts w:ascii="Times New Roman" w:hAnsi="Times New Roman"/>
          <w:color w:val="000000" w:themeColor="text1"/>
          <w:sz w:val="24"/>
        </w:rPr>
        <w:t>науките</w:t>
      </w:r>
      <w:bookmarkEnd w:id="310"/>
      <w:bookmarkEnd w:id="311"/>
      <w:bookmarkEnd w:id="312"/>
      <w:bookmarkEnd w:id="313"/>
      <w:bookmarkEnd w:id="314"/>
    </w:p>
    <w:p w14:paraId="29E2386D" w14:textId="77777777" w:rsidR="007E2675" w:rsidRPr="008A6D10" w:rsidRDefault="007E2675" w:rsidP="007E2675">
      <w:pPr>
        <w:jc w:val="both"/>
        <w:rPr>
          <w:lang w:eastAsia="en-US"/>
        </w:rPr>
      </w:pPr>
      <w:bookmarkStart w:id="315" w:name="_Toc521343532"/>
      <w:r w:rsidRPr="002D5318">
        <w:rPr>
          <w:b/>
          <w:color w:val="000000" w:themeColor="text1"/>
        </w:rPr>
        <w:t>Реализираните приходи на БАН</w:t>
      </w:r>
      <w:r w:rsidRPr="002D5318">
        <w:rPr>
          <w:color w:val="000000" w:themeColor="text1"/>
        </w:rPr>
        <w:t xml:space="preserve"> към 30.06.2024 г. възлизат на 11,8 млн. лв. или 37</w:t>
      </w:r>
      <w:r w:rsidRPr="002D5318">
        <w:rPr>
          <w:color w:val="000000" w:themeColor="text1"/>
          <w:lang w:val="ru-RU"/>
        </w:rPr>
        <w:t>,</w:t>
      </w:r>
      <w:r w:rsidRPr="002D5318">
        <w:rPr>
          <w:color w:val="000000" w:themeColor="text1"/>
        </w:rPr>
        <w:t>8 % от разчетите към ЗДБРБ за 2024 година</w:t>
      </w:r>
      <w:r w:rsidRPr="008A6D10">
        <w:t>. Сравнени с приходите към първото полугодие на 2023</w:t>
      </w:r>
      <w:r w:rsidRPr="008A6D10">
        <w:rPr>
          <w:lang w:val="en-US"/>
        </w:rPr>
        <w:t> </w:t>
      </w:r>
      <w:r w:rsidRPr="008A6D10">
        <w:t>г., постъпленията са по-високи с 0,2 млн. лв. С н</w:t>
      </w:r>
      <w:r w:rsidRPr="008A6D10">
        <w:rPr>
          <w:lang w:eastAsia="en-US"/>
        </w:rPr>
        <w:t>ай-голям дял от реализираните приходи са тези от продажби на услуги, стоки и продукция (</w:t>
      </w:r>
      <w:r w:rsidRPr="008A6D10">
        <w:rPr>
          <w:lang w:val="ru-RU" w:eastAsia="en-US"/>
        </w:rPr>
        <w:t xml:space="preserve">9,6 </w:t>
      </w:r>
      <w:r w:rsidRPr="008A6D10">
        <w:rPr>
          <w:lang w:eastAsia="en-US"/>
        </w:rPr>
        <w:t xml:space="preserve">млн. лв. или 81,5 % от общите приходи). </w:t>
      </w:r>
    </w:p>
    <w:p w14:paraId="669B6D49" w14:textId="77777777" w:rsidR="007E2675" w:rsidRPr="00E56679" w:rsidRDefault="007E2675" w:rsidP="007E2675">
      <w:pPr>
        <w:jc w:val="both"/>
        <w:rPr>
          <w:b/>
          <w:color w:val="0070C0"/>
        </w:rPr>
      </w:pPr>
      <w:r w:rsidRPr="008A6D10">
        <w:t xml:space="preserve">Към края на първото полугодие на 2024 г. </w:t>
      </w:r>
      <w:r w:rsidRPr="008A6D10">
        <w:rPr>
          <w:b/>
        </w:rPr>
        <w:t>БАН отчита разходи</w:t>
      </w:r>
      <w:r w:rsidRPr="008A6D10">
        <w:t xml:space="preserve"> в размер на 119</w:t>
      </w:r>
      <w:r w:rsidRPr="008A6D10">
        <w:rPr>
          <w:lang w:val="ru-RU"/>
        </w:rPr>
        <w:t>,8</w:t>
      </w:r>
      <w:r w:rsidRPr="008A6D10">
        <w:t xml:space="preserve"> млн. лв., което представлява 56</w:t>
      </w:r>
      <w:r w:rsidRPr="008A6D10">
        <w:rPr>
          <w:lang w:val="ru-RU"/>
        </w:rPr>
        <w:t>,1</w:t>
      </w:r>
      <w:r w:rsidRPr="008A6D10">
        <w:t xml:space="preserve"> % от годишния разчет. Спрямо първото полугодие на предходната година се отчита увеличение на разходите с 27,2</w:t>
      </w:r>
      <w:r w:rsidRPr="008A6D10">
        <w:rPr>
          <w:lang w:val="ru-RU"/>
        </w:rPr>
        <w:t xml:space="preserve"> млн. лв. С н</w:t>
      </w:r>
      <w:r w:rsidRPr="008A6D10">
        <w:rPr>
          <w:lang w:eastAsia="en-US"/>
        </w:rPr>
        <w:t xml:space="preserve">ай-голям относителен дял са разходите за персонал – </w:t>
      </w:r>
      <w:r w:rsidRPr="008A6D10">
        <w:rPr>
          <w:lang w:val="ru-RU" w:eastAsia="en-US"/>
        </w:rPr>
        <w:t>94</w:t>
      </w:r>
      <w:r w:rsidRPr="008A6D10">
        <w:rPr>
          <w:lang w:eastAsia="en-US"/>
        </w:rPr>
        <w:t>,</w:t>
      </w:r>
      <w:r w:rsidRPr="008A6D10">
        <w:rPr>
          <w:lang w:val="ru-RU" w:eastAsia="en-US"/>
        </w:rPr>
        <w:t>5</w:t>
      </w:r>
      <w:r w:rsidRPr="008A6D10">
        <w:rPr>
          <w:lang w:eastAsia="en-US"/>
        </w:rPr>
        <w:t xml:space="preserve"> млн. лв. или </w:t>
      </w:r>
      <w:r w:rsidRPr="008A6D10">
        <w:rPr>
          <w:lang w:val="ru-RU" w:eastAsia="en-US"/>
        </w:rPr>
        <w:t>78</w:t>
      </w:r>
      <w:r w:rsidRPr="008A6D10">
        <w:rPr>
          <w:lang w:eastAsia="en-US"/>
        </w:rPr>
        <w:t>,</w:t>
      </w:r>
      <w:r w:rsidRPr="008A6D10">
        <w:rPr>
          <w:lang w:val="ru-RU" w:eastAsia="en-US"/>
        </w:rPr>
        <w:t>9</w:t>
      </w:r>
      <w:r w:rsidRPr="008A6D10">
        <w:rPr>
          <w:lang w:eastAsia="en-US"/>
        </w:rPr>
        <w:t xml:space="preserve"> % от отчетените общо разходи.</w:t>
      </w:r>
    </w:p>
    <w:p w14:paraId="73BC727E" w14:textId="77777777" w:rsidR="007E2675" w:rsidRPr="008A6D10" w:rsidRDefault="007E2675" w:rsidP="007E2675">
      <w:pPr>
        <w:pStyle w:val="Heading3"/>
        <w:numPr>
          <w:ilvl w:val="1"/>
          <w:numId w:val="17"/>
        </w:numPr>
        <w:rPr>
          <w:rFonts w:ascii="Times New Roman" w:hAnsi="Times New Roman"/>
          <w:sz w:val="24"/>
        </w:rPr>
      </w:pPr>
      <w:bookmarkStart w:id="316" w:name="_Toc176351959"/>
      <w:bookmarkStart w:id="317" w:name="_Toc81485899"/>
      <w:r w:rsidRPr="008A6D10">
        <w:rPr>
          <w:rFonts w:ascii="Times New Roman" w:hAnsi="Times New Roman"/>
          <w:sz w:val="24"/>
        </w:rPr>
        <w:t>Селскостопанска академия</w:t>
      </w:r>
      <w:bookmarkEnd w:id="316"/>
      <w:r w:rsidRPr="008A6D10">
        <w:rPr>
          <w:rFonts w:ascii="Times New Roman" w:hAnsi="Times New Roman"/>
          <w:sz w:val="24"/>
        </w:rPr>
        <w:t xml:space="preserve"> </w:t>
      </w:r>
      <w:bookmarkEnd w:id="317"/>
    </w:p>
    <w:p w14:paraId="1F8137F9" w14:textId="77777777" w:rsidR="007E2675" w:rsidRPr="008A6D10" w:rsidRDefault="007E2675" w:rsidP="007E2675">
      <w:pPr>
        <w:jc w:val="both"/>
      </w:pPr>
      <w:r w:rsidRPr="008A6D10">
        <w:rPr>
          <w:b/>
        </w:rPr>
        <w:t>Приходите</w:t>
      </w:r>
      <w:r w:rsidRPr="008A6D10">
        <w:t xml:space="preserve"> на Селскостопанската академия (ССА) за първото полугодие на 2024 г. са в размер на 9,5 млн. лв. или 52,7 % спрямо разчетените за 2024 г.  </w:t>
      </w:r>
    </w:p>
    <w:p w14:paraId="3B4D0A06" w14:textId="77777777" w:rsidR="007E2675" w:rsidRPr="00E56679" w:rsidRDefault="007E2675" w:rsidP="00DD2FED">
      <w:pPr>
        <w:spacing w:before="120"/>
        <w:jc w:val="both"/>
        <w:rPr>
          <w:color w:val="0070C0"/>
        </w:rPr>
      </w:pPr>
      <w:r w:rsidRPr="008A6D10">
        <w:rPr>
          <w:b/>
        </w:rPr>
        <w:t>Разходите</w:t>
      </w:r>
      <w:r w:rsidRPr="008A6D10">
        <w:t xml:space="preserve"> на ССА към края на месец юни са в размер на 38,9 млн. лв., което </w:t>
      </w:r>
      <w:r w:rsidRPr="00EE08AE">
        <w:t>представлява 54,2 % от предвидените в разчетите за 2024 г.,</w:t>
      </w:r>
      <w:r w:rsidRPr="00EE08AE">
        <w:rPr>
          <w:bCs/>
          <w:lang w:eastAsia="en-US"/>
        </w:rPr>
        <w:t xml:space="preserve">  в т.ч. разходи за персонал – 27,3 млн. лв., разходи за издръжка – 10,7 млн. лв. и капиталови разходи – 0,8 млн. лв.</w:t>
      </w:r>
    </w:p>
    <w:p w14:paraId="1586555C" w14:textId="77777777" w:rsidR="007E2675" w:rsidRPr="00EE08AE" w:rsidRDefault="007E2675" w:rsidP="007E2675">
      <w:pPr>
        <w:pStyle w:val="Heading3"/>
        <w:numPr>
          <w:ilvl w:val="1"/>
          <w:numId w:val="17"/>
        </w:numPr>
        <w:rPr>
          <w:rFonts w:ascii="Times New Roman" w:hAnsi="Times New Roman"/>
          <w:sz w:val="24"/>
        </w:rPr>
      </w:pPr>
      <w:bookmarkStart w:id="318" w:name="_Toc18400794"/>
      <w:r w:rsidRPr="00EE08AE">
        <w:rPr>
          <w:rFonts w:ascii="Times New Roman" w:hAnsi="Times New Roman"/>
          <w:sz w:val="24"/>
        </w:rPr>
        <w:t xml:space="preserve"> </w:t>
      </w:r>
      <w:bookmarkStart w:id="319" w:name="_Toc81485900"/>
      <w:bookmarkStart w:id="320" w:name="_Toc176351960"/>
      <w:r w:rsidRPr="00EE08AE">
        <w:rPr>
          <w:rFonts w:ascii="Times New Roman" w:hAnsi="Times New Roman"/>
          <w:sz w:val="24"/>
        </w:rPr>
        <w:t>Българско национално радио</w:t>
      </w:r>
      <w:bookmarkEnd w:id="315"/>
      <w:bookmarkEnd w:id="318"/>
      <w:bookmarkEnd w:id="319"/>
      <w:bookmarkEnd w:id="320"/>
    </w:p>
    <w:p w14:paraId="5D856158" w14:textId="77777777" w:rsidR="007E2675" w:rsidRPr="009E6752" w:rsidRDefault="007E2675" w:rsidP="00175F7E">
      <w:pPr>
        <w:jc w:val="both"/>
        <w:rPr>
          <w:szCs w:val="20"/>
        </w:rPr>
      </w:pPr>
      <w:r w:rsidRPr="00CF75DB">
        <w:rPr>
          <w:b/>
        </w:rPr>
        <w:t>Приходите по бюджета на Българското национално радио (БНР)</w:t>
      </w:r>
      <w:r w:rsidRPr="00BF414A">
        <w:t xml:space="preserve"> към 30.06.2024 г. са в размер на </w:t>
      </w:r>
      <w:r w:rsidRPr="009E6752">
        <w:rPr>
          <w:szCs w:val="20"/>
        </w:rPr>
        <w:t>0,9 млн. лв., което представлява 49,4</w:t>
      </w:r>
      <w:r>
        <w:rPr>
          <w:szCs w:val="20"/>
        </w:rPr>
        <w:t xml:space="preserve"> </w:t>
      </w:r>
      <w:r w:rsidRPr="009E6752">
        <w:rPr>
          <w:szCs w:val="20"/>
        </w:rPr>
        <w:t>% изпълнение на заложените приходи в разчетите към ЗДБРБ за 2024 г. (</w:t>
      </w:r>
      <w:r w:rsidRPr="009E6752">
        <w:t>1,8 млн. лв.).</w:t>
      </w:r>
    </w:p>
    <w:p w14:paraId="60F44C47" w14:textId="77777777" w:rsidR="007E2675" w:rsidRPr="009E6752" w:rsidRDefault="007E2675" w:rsidP="00175F7E">
      <w:pPr>
        <w:jc w:val="both"/>
        <w:rPr>
          <w:szCs w:val="20"/>
        </w:rPr>
      </w:pPr>
      <w:r w:rsidRPr="009E6752">
        <w:rPr>
          <w:szCs w:val="20"/>
        </w:rPr>
        <w:t>Отчетените приходи са постъпления от продажба на услуги, стоки и продукция (реклама, спонсорство, технически услуги, съвместни продукции, приходи от концертна дейност), наеми на имущество и други неданъчни приходи.</w:t>
      </w:r>
    </w:p>
    <w:p w14:paraId="171F1B6F" w14:textId="0C92DAA0" w:rsidR="007E2675" w:rsidRPr="00BF414A" w:rsidRDefault="007E2675" w:rsidP="00175F7E">
      <w:pPr>
        <w:spacing w:before="120"/>
        <w:jc w:val="both"/>
        <w:rPr>
          <w:szCs w:val="20"/>
        </w:rPr>
      </w:pPr>
      <w:r w:rsidRPr="00BF414A">
        <w:rPr>
          <w:szCs w:val="20"/>
        </w:rPr>
        <w:t xml:space="preserve">Изпълнението на </w:t>
      </w:r>
      <w:r w:rsidRPr="00BF414A">
        <w:rPr>
          <w:b/>
          <w:szCs w:val="20"/>
        </w:rPr>
        <w:t>разходите</w:t>
      </w:r>
      <w:r w:rsidRPr="00BF414A">
        <w:rPr>
          <w:szCs w:val="20"/>
        </w:rPr>
        <w:t xml:space="preserve"> </w:t>
      </w:r>
      <w:r w:rsidRPr="00BF414A">
        <w:rPr>
          <w:b/>
          <w:szCs w:val="20"/>
        </w:rPr>
        <w:t>по бюджета на</w:t>
      </w:r>
      <w:r w:rsidRPr="00BF414A">
        <w:rPr>
          <w:szCs w:val="20"/>
        </w:rPr>
        <w:t xml:space="preserve"> </w:t>
      </w:r>
      <w:r w:rsidRPr="00BF414A">
        <w:rPr>
          <w:b/>
          <w:szCs w:val="20"/>
        </w:rPr>
        <w:t xml:space="preserve">БНР </w:t>
      </w:r>
      <w:r w:rsidRPr="00BF414A">
        <w:rPr>
          <w:szCs w:val="20"/>
        </w:rPr>
        <w:t>възлиза на 33,9 млн. лв., което представлява 51,2</w:t>
      </w:r>
      <w:r w:rsidR="00B36CE8">
        <w:rPr>
          <w:szCs w:val="20"/>
        </w:rPr>
        <w:t xml:space="preserve"> </w:t>
      </w:r>
      <w:r w:rsidRPr="00BF414A">
        <w:rPr>
          <w:szCs w:val="20"/>
        </w:rPr>
        <w:t xml:space="preserve">% от предвидените разходи в разчетите към ЗДБРБ за 2024 г. – 66,3 млн. лв. </w:t>
      </w:r>
    </w:p>
    <w:p w14:paraId="1F6C2A6C" w14:textId="4D1ED9B9" w:rsidR="007E2675" w:rsidRPr="009E6752" w:rsidRDefault="007E2675" w:rsidP="00175F7E">
      <w:pPr>
        <w:jc w:val="both"/>
        <w:rPr>
          <w:szCs w:val="20"/>
        </w:rPr>
      </w:pPr>
      <w:r w:rsidRPr="009E6752">
        <w:rPr>
          <w:szCs w:val="20"/>
        </w:rPr>
        <w:t>Българското национално радио съставя, изпълнява, приключва и отчита бюджет, съгласно чл. 70, ал. 1 от Закона за радиото и телевизията (ЗРТ). За периода са отчетени 31,9 млн. лв. текущи разходи и 2,0 млн. лв. капиталови разходи. Общият размер на отчетените текущи разходи включва: 21,1 млн. лв. разходи за персонал и 10,8 млн. лв. разходи за издръжка (вкл. разходи за членски внос, платени данъци, такси и административни санкции). Отчетените разходи за персонал представляват 62,2</w:t>
      </w:r>
      <w:r w:rsidR="00B36CE8">
        <w:rPr>
          <w:szCs w:val="20"/>
        </w:rPr>
        <w:t xml:space="preserve"> </w:t>
      </w:r>
      <w:r w:rsidRPr="009E6752">
        <w:rPr>
          <w:szCs w:val="20"/>
        </w:rPr>
        <w:t>% от отчетените за периода разходи.</w:t>
      </w:r>
    </w:p>
    <w:p w14:paraId="13A43473" w14:textId="77777777" w:rsidR="007E2675" w:rsidRPr="009E6752" w:rsidRDefault="007E2675" w:rsidP="00175F7E">
      <w:pPr>
        <w:jc w:val="both"/>
        <w:rPr>
          <w:szCs w:val="20"/>
        </w:rPr>
      </w:pPr>
      <w:r w:rsidRPr="009E6752">
        <w:rPr>
          <w:szCs w:val="20"/>
        </w:rPr>
        <w:t>В разпределението  на разходите по бюджета на БНР е включен преходния остатък за 2023</w:t>
      </w:r>
      <w:r>
        <w:rPr>
          <w:szCs w:val="20"/>
        </w:rPr>
        <w:t> </w:t>
      </w:r>
      <w:r w:rsidRPr="009E6752">
        <w:rPr>
          <w:szCs w:val="20"/>
        </w:rPr>
        <w:t xml:space="preserve"> г. (съгл. чл. 70, ал. 6 от ЗРТ) в размер на 3,9 млн. лв.</w:t>
      </w:r>
    </w:p>
    <w:p w14:paraId="1D7CD0A2" w14:textId="77777777" w:rsidR="007E2675" w:rsidRPr="009E6752" w:rsidRDefault="007E2675" w:rsidP="00175F7E">
      <w:pPr>
        <w:jc w:val="both"/>
        <w:rPr>
          <w:szCs w:val="20"/>
        </w:rPr>
      </w:pPr>
      <w:r w:rsidRPr="009E6752">
        <w:rPr>
          <w:szCs w:val="20"/>
        </w:rPr>
        <w:t xml:space="preserve">За отчетния период средствата са усвоени за реализирането на основните цели и дейности на БНР по подготовката, създаването и разпространението на национални и регионални програми съгласно разпоредбите на Закона за радиото и телевизията. </w:t>
      </w:r>
    </w:p>
    <w:p w14:paraId="585C9ACF" w14:textId="77777777" w:rsidR="007E2675" w:rsidRDefault="007E2675" w:rsidP="00175F7E">
      <w:pPr>
        <w:spacing w:before="120"/>
        <w:jc w:val="both"/>
        <w:rPr>
          <w:szCs w:val="20"/>
        </w:rPr>
      </w:pPr>
      <w:r w:rsidRPr="009E6752">
        <w:rPr>
          <w:b/>
          <w:szCs w:val="20"/>
        </w:rPr>
        <w:t xml:space="preserve">Бюджетни взаимоотношения </w:t>
      </w:r>
      <w:r w:rsidRPr="00A930DF">
        <w:rPr>
          <w:b/>
          <w:szCs w:val="20"/>
        </w:rPr>
        <w:t>на БНР</w:t>
      </w:r>
      <w:r w:rsidRPr="00BF414A">
        <w:rPr>
          <w:szCs w:val="20"/>
        </w:rPr>
        <w:t xml:space="preserve"> с централния бюджет</w:t>
      </w:r>
      <w:r>
        <w:rPr>
          <w:szCs w:val="20"/>
        </w:rPr>
        <w:t xml:space="preserve"> по уточнен план възлизат на</w:t>
      </w:r>
      <w:r w:rsidRPr="009E6752">
        <w:rPr>
          <w:szCs w:val="20"/>
        </w:rPr>
        <w:t xml:space="preserve"> 63,8 млн. лв., в т.ч.: 63,0 млн. лв. съгласно чл. 50, т. 1 от ЗДБРБ за 2024 г. и 0,8 млн. лв. одобрен допълнителен трансфер съгласно ПМС № 100 от 2024 г. за разходи по подготовката и произвеждането на изборите за народни представители и за членове на Европейския парламент от Република България на 9 юни 2024 г. За отчетния период е усвоена сума в размер на 32,9 млн. лв. или 51,5</w:t>
      </w:r>
      <w:r>
        <w:rPr>
          <w:szCs w:val="20"/>
        </w:rPr>
        <w:t xml:space="preserve"> </w:t>
      </w:r>
      <w:r w:rsidRPr="009E6752">
        <w:rPr>
          <w:szCs w:val="20"/>
        </w:rPr>
        <w:t>% от размера на бюджетните взаимоотношения на БНР с централния бюджет по уточнен план.</w:t>
      </w:r>
    </w:p>
    <w:p w14:paraId="73ABEDBC" w14:textId="77777777" w:rsidR="007E2675" w:rsidRPr="00EE08AE" w:rsidRDefault="007E2675" w:rsidP="007E2675">
      <w:pPr>
        <w:pStyle w:val="Heading3"/>
        <w:numPr>
          <w:ilvl w:val="1"/>
          <w:numId w:val="31"/>
        </w:numPr>
        <w:rPr>
          <w:rFonts w:ascii="Times New Roman" w:hAnsi="Times New Roman"/>
          <w:sz w:val="24"/>
        </w:rPr>
      </w:pPr>
      <w:bookmarkStart w:id="321" w:name="_Toc176351961"/>
      <w:r w:rsidRPr="00EE08AE">
        <w:rPr>
          <w:rFonts w:ascii="Times New Roman" w:hAnsi="Times New Roman"/>
          <w:sz w:val="24"/>
        </w:rPr>
        <w:t>Българска национална телевизия</w:t>
      </w:r>
      <w:bookmarkEnd w:id="321"/>
    </w:p>
    <w:p w14:paraId="25CC2CC6" w14:textId="2A651C8D" w:rsidR="007E2675" w:rsidRPr="00793C4E" w:rsidRDefault="007E2675" w:rsidP="00175F7E">
      <w:pPr>
        <w:jc w:val="both"/>
        <w:rPr>
          <w:color w:val="0070C0"/>
        </w:rPr>
      </w:pPr>
      <w:bookmarkStart w:id="322" w:name="_Toc365649326"/>
      <w:bookmarkStart w:id="323" w:name="_Toc365897063"/>
      <w:bookmarkStart w:id="324" w:name="_Toc521343534"/>
      <w:bookmarkStart w:id="325" w:name="_Toc173668694"/>
      <w:bookmarkStart w:id="326" w:name="_Toc269992237"/>
      <w:r w:rsidRPr="00A84C41">
        <w:rPr>
          <w:b/>
        </w:rPr>
        <w:t xml:space="preserve">Приходите на Българската национална телевизия (БНТ) </w:t>
      </w:r>
      <w:r w:rsidRPr="00A84C41">
        <w:t xml:space="preserve">към 30.06.2024 г. са в размер на </w:t>
      </w:r>
      <w:r w:rsidRPr="00A84C41">
        <w:rPr>
          <w:lang w:val="ru-RU"/>
        </w:rPr>
        <w:t>4</w:t>
      </w:r>
      <w:r w:rsidR="00B36CE8">
        <w:t>,3 млн. лв.,</w:t>
      </w:r>
      <w:r w:rsidRPr="008820CC">
        <w:t xml:space="preserve"> което представлява 43,4</w:t>
      </w:r>
      <w:r w:rsidR="00B36CE8">
        <w:t xml:space="preserve"> </w:t>
      </w:r>
      <w:r w:rsidRPr="008820CC">
        <w:t>% изпълнение на заложените приходи в разчетите към ЗДБРБ за 2024 г. (10,0 млн. лв.).  В сравнение с първото шестмесечие на 2023 г. приходите са с 2,8 млн. лв. по-малко. Отчетените приходи са постъпления от продажба на услуги, стоки и продукция (реклама, технически услуги, продажба на програми, приходи от почивно дело, приходи от участия в предизборни форми), наеми на имущество и други неданъчни приходи.</w:t>
      </w:r>
    </w:p>
    <w:p w14:paraId="24DE7BED" w14:textId="77777777" w:rsidR="007E2675" w:rsidRPr="009E6752" w:rsidRDefault="007E2675" w:rsidP="00175F7E">
      <w:pPr>
        <w:spacing w:before="120"/>
        <w:jc w:val="both"/>
        <w:rPr>
          <w:szCs w:val="20"/>
        </w:rPr>
      </w:pPr>
      <w:r w:rsidRPr="00FD2865">
        <w:rPr>
          <w:b/>
          <w:szCs w:val="20"/>
        </w:rPr>
        <w:t>Отчетените разходи по бюджета на БНТ</w:t>
      </w:r>
      <w:r w:rsidRPr="009E6752">
        <w:rPr>
          <w:szCs w:val="20"/>
        </w:rPr>
        <w:t xml:space="preserve"> са в размер на 45,3 млн. лв., което представлява 46,0</w:t>
      </w:r>
      <w:r>
        <w:rPr>
          <w:szCs w:val="20"/>
        </w:rPr>
        <w:t xml:space="preserve"> </w:t>
      </w:r>
      <w:r w:rsidRPr="009E6752">
        <w:rPr>
          <w:szCs w:val="20"/>
        </w:rPr>
        <w:t>% от предвидените разходи в разчетите към ЗДБРБ за 2024 г. – 98,5 млн. лв.</w:t>
      </w:r>
    </w:p>
    <w:p w14:paraId="0644FE54" w14:textId="0B85CB3F" w:rsidR="007E2675" w:rsidRPr="009E6752" w:rsidRDefault="007E2675" w:rsidP="00175F7E">
      <w:pPr>
        <w:jc w:val="both"/>
        <w:rPr>
          <w:szCs w:val="20"/>
        </w:rPr>
      </w:pPr>
      <w:r w:rsidRPr="009E6752">
        <w:rPr>
          <w:szCs w:val="20"/>
        </w:rPr>
        <w:t>Българската национална телевизия съставя, изпълнява, приключва и отчита бюджет, съгласно чл. 70, ал. 1 от Закона за радиото и телевизията (ЗРТ). За периода са отчетени 39,7 млн. лв. текущи разходи и 5,6 млн. лв. капиталови разходи. Общият размер на отчетените текущи разходи включва: 22,9 млн. лв. разходи за персонал и 16,8 млн. лв. разходи за издръжка (вкл. разходи за членски внос, платени данъци, такси и административни санкции). Отчетените разходи за персонал представляват 50,5</w:t>
      </w:r>
      <w:r w:rsidR="00B36CE8">
        <w:rPr>
          <w:szCs w:val="20"/>
        </w:rPr>
        <w:t xml:space="preserve"> </w:t>
      </w:r>
      <w:r w:rsidRPr="009E6752">
        <w:rPr>
          <w:szCs w:val="20"/>
        </w:rPr>
        <w:t>% от отчетените за периода разходи.</w:t>
      </w:r>
    </w:p>
    <w:p w14:paraId="1FDD9E15" w14:textId="77777777" w:rsidR="007E2675" w:rsidRPr="009E6752" w:rsidRDefault="007E2675" w:rsidP="00175F7E">
      <w:pPr>
        <w:jc w:val="both"/>
        <w:rPr>
          <w:szCs w:val="20"/>
        </w:rPr>
      </w:pPr>
      <w:r w:rsidRPr="009E6752">
        <w:rPr>
          <w:szCs w:val="20"/>
        </w:rPr>
        <w:t>В разпределението  на разходите по бюджета на обществената медия е в</w:t>
      </w:r>
      <w:r>
        <w:rPr>
          <w:szCs w:val="20"/>
        </w:rPr>
        <w:t>ключен преходния остатък за 2023</w:t>
      </w:r>
      <w:r w:rsidRPr="009E6752">
        <w:rPr>
          <w:szCs w:val="20"/>
        </w:rPr>
        <w:t xml:space="preserve"> г. (съгл. чл. 70, ал. 6 от ЗРТ) в размер на 1,0 млн. лв. </w:t>
      </w:r>
    </w:p>
    <w:p w14:paraId="14063CA3" w14:textId="77777777" w:rsidR="007E2675" w:rsidRPr="00793C4E" w:rsidRDefault="007E2675" w:rsidP="00175F7E">
      <w:pPr>
        <w:jc w:val="both"/>
        <w:rPr>
          <w:color w:val="0070C0"/>
        </w:rPr>
      </w:pPr>
      <w:r w:rsidRPr="009E6752">
        <w:rPr>
          <w:szCs w:val="20"/>
        </w:rPr>
        <w:t>За отчетния период средствата са усвоени за 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w:t>
      </w:r>
      <w:r w:rsidRPr="00793C4E">
        <w:rPr>
          <w:color w:val="0070C0"/>
        </w:rPr>
        <w:t xml:space="preserve"> </w:t>
      </w:r>
    </w:p>
    <w:p w14:paraId="4E50E4BF" w14:textId="77777777" w:rsidR="007E2675" w:rsidRDefault="007E2675" w:rsidP="00175F7E">
      <w:pPr>
        <w:spacing w:before="120"/>
        <w:jc w:val="both"/>
        <w:rPr>
          <w:szCs w:val="20"/>
        </w:rPr>
      </w:pPr>
      <w:r w:rsidRPr="00BF414A">
        <w:rPr>
          <w:b/>
        </w:rPr>
        <w:t xml:space="preserve">Бюджетни </w:t>
      </w:r>
      <w:r w:rsidRPr="00FB215F">
        <w:rPr>
          <w:b/>
        </w:rPr>
        <w:t>взаимоотношения на БНТ</w:t>
      </w:r>
      <w:r w:rsidRPr="00BF414A">
        <w:t xml:space="preserve"> с централния бюджет</w:t>
      </w:r>
      <w:r w:rsidRPr="00153C68">
        <w:rPr>
          <w:lang w:val="ru-RU"/>
        </w:rPr>
        <w:t xml:space="preserve"> </w:t>
      </w:r>
      <w:r w:rsidRPr="00BF414A">
        <w:t>по уточнен план възлизат на 89,0 млн. лв</w:t>
      </w:r>
      <w:r w:rsidRPr="00BF414A">
        <w:rPr>
          <w:szCs w:val="20"/>
        </w:rPr>
        <w:t xml:space="preserve">., в т.ч.: 87,0 млн. лв. съгласно чл. 50, т. 2 от ЗДБРБ за 2024 г. и 2,0 млн. лв. одобрен допълнителен трансфер съгласно ПМС № 100 от 2024 г. за </w:t>
      </w:r>
      <w:r w:rsidRPr="009E6752">
        <w:rPr>
          <w:szCs w:val="20"/>
        </w:rPr>
        <w:t>разходи по подготовката и произвеждането на изборите за народни представители и за членове на Европейския парламент от Република България на 9 юни 2024 г. За отчетния период е усвоена сума в размер на 45,4 млн. лв. или 51,1</w:t>
      </w:r>
      <w:r>
        <w:rPr>
          <w:szCs w:val="20"/>
        </w:rPr>
        <w:t xml:space="preserve"> </w:t>
      </w:r>
      <w:r w:rsidRPr="009E6752">
        <w:rPr>
          <w:szCs w:val="20"/>
        </w:rPr>
        <w:t>% от размера на бюджетните взаимоотношения на БНТ с централния бюджет по уточнен план.</w:t>
      </w:r>
    </w:p>
    <w:p w14:paraId="106461AF" w14:textId="77777777" w:rsidR="007E2675" w:rsidRPr="00E56679" w:rsidRDefault="007E2675" w:rsidP="007E2675">
      <w:pPr>
        <w:jc w:val="both"/>
        <w:rPr>
          <w:b/>
          <w:color w:val="0070C0"/>
          <w:lang w:eastAsia="en-US"/>
        </w:rPr>
      </w:pPr>
    </w:p>
    <w:p w14:paraId="7604386F" w14:textId="77777777" w:rsidR="007E2675" w:rsidRPr="00EE08AE" w:rsidRDefault="007E2675" w:rsidP="007E2675">
      <w:pPr>
        <w:pStyle w:val="Heading3"/>
        <w:numPr>
          <w:ilvl w:val="1"/>
          <w:numId w:val="31"/>
        </w:numPr>
        <w:rPr>
          <w:rFonts w:ascii="Times New Roman" w:hAnsi="Times New Roman"/>
          <w:sz w:val="24"/>
        </w:rPr>
      </w:pPr>
      <w:bookmarkStart w:id="327" w:name="_Toc18400796"/>
      <w:bookmarkStart w:id="328" w:name="_Toc81485902"/>
      <w:r>
        <w:rPr>
          <w:rFonts w:ascii="Times New Roman" w:hAnsi="Times New Roman"/>
          <w:sz w:val="24"/>
        </w:rPr>
        <w:t xml:space="preserve"> </w:t>
      </w:r>
      <w:bookmarkStart w:id="329" w:name="_Toc176351962"/>
      <w:r w:rsidRPr="00EE08AE">
        <w:rPr>
          <w:rFonts w:ascii="Times New Roman" w:hAnsi="Times New Roman"/>
          <w:sz w:val="24"/>
        </w:rPr>
        <w:t>Българска телеграфна агенция</w:t>
      </w:r>
      <w:bookmarkEnd w:id="322"/>
      <w:bookmarkEnd w:id="323"/>
      <w:bookmarkEnd w:id="324"/>
      <w:bookmarkEnd w:id="327"/>
      <w:bookmarkEnd w:id="328"/>
      <w:bookmarkEnd w:id="329"/>
    </w:p>
    <w:bookmarkEnd w:id="325"/>
    <w:bookmarkEnd w:id="326"/>
    <w:p w14:paraId="1AF5ED91" w14:textId="77777777" w:rsidR="007E2675" w:rsidRPr="00793C4E" w:rsidRDefault="007E2675" w:rsidP="00E62575">
      <w:pPr>
        <w:jc w:val="both"/>
        <w:rPr>
          <w:b/>
          <w:color w:val="0070C0"/>
          <w:szCs w:val="20"/>
        </w:rPr>
      </w:pPr>
      <w:r w:rsidRPr="00BF414A">
        <w:rPr>
          <w:b/>
          <w:szCs w:val="20"/>
        </w:rPr>
        <w:t xml:space="preserve">Приходите на </w:t>
      </w:r>
      <w:r w:rsidRPr="00BF414A">
        <w:rPr>
          <w:b/>
        </w:rPr>
        <w:t>Българската телеграфна агенция (БТА)</w:t>
      </w:r>
      <w:r w:rsidRPr="00BF414A">
        <w:t xml:space="preserve"> </w:t>
      </w:r>
      <w:r w:rsidRPr="00BF414A">
        <w:rPr>
          <w:szCs w:val="20"/>
        </w:rPr>
        <w:t>към 30.06.2024 г. са в размер на 0,4 млн. лв</w:t>
      </w:r>
      <w:r w:rsidRPr="00BF414A">
        <w:t xml:space="preserve">., което представлява 66,0 % от заложените приходи в разчетите към ЗДБРБ за 2024 г. (0,6 млн. лв.). Средствата са основно от продажба на услуги, стоки и продукция (реклама, технически услуги, продажба на продукция), наеми на имущество и др. </w:t>
      </w:r>
    </w:p>
    <w:p w14:paraId="67A7953C" w14:textId="77777777" w:rsidR="007E2675" w:rsidRPr="00BF414A" w:rsidRDefault="007E2675" w:rsidP="00E62575">
      <w:pPr>
        <w:pStyle w:val="Title"/>
        <w:spacing w:before="120"/>
        <w:jc w:val="both"/>
        <w:rPr>
          <w:b w:val="0"/>
        </w:rPr>
      </w:pPr>
      <w:r w:rsidRPr="00BF414A">
        <w:rPr>
          <w:b w:val="0"/>
        </w:rPr>
        <w:t xml:space="preserve">Отчетените </w:t>
      </w:r>
      <w:r w:rsidRPr="00BF414A">
        <w:t>разходи</w:t>
      </w:r>
      <w:r w:rsidRPr="00BF414A">
        <w:rPr>
          <w:b w:val="0"/>
        </w:rPr>
        <w:t xml:space="preserve"> </w:t>
      </w:r>
      <w:r w:rsidRPr="00A930DF">
        <w:t>по бюджета на БТА</w:t>
      </w:r>
      <w:r w:rsidRPr="00BF414A">
        <w:rPr>
          <w:b w:val="0"/>
        </w:rPr>
        <w:t xml:space="preserve"> са в размер на 7,7 млн. лв., което представлява 61,9</w:t>
      </w:r>
      <w:r>
        <w:rPr>
          <w:b w:val="0"/>
        </w:rPr>
        <w:t> </w:t>
      </w:r>
      <w:r w:rsidRPr="00BF414A">
        <w:rPr>
          <w:b w:val="0"/>
        </w:rPr>
        <w:t xml:space="preserve">% от предвидените разходи в разчетите към ЗДБРБ за 2024 г. </w:t>
      </w:r>
    </w:p>
    <w:p w14:paraId="23151C87" w14:textId="77777777" w:rsidR="007E2675" w:rsidRPr="009E6752" w:rsidRDefault="007E2675" w:rsidP="00E62575">
      <w:pPr>
        <w:pStyle w:val="Title"/>
        <w:jc w:val="both"/>
        <w:rPr>
          <w:b w:val="0"/>
        </w:rPr>
      </w:pPr>
      <w:r w:rsidRPr="00A43070">
        <w:rPr>
          <w:b w:val="0"/>
        </w:rPr>
        <w:t>Българската телеграфна агенция съставя, изпълнява, приключва и отчита бюджет, съгласно чл. 19, ал. 1 от Закона за Българска телеграфна агенция (ЗБТА).</w:t>
      </w:r>
      <w:r w:rsidRPr="00BF414A">
        <w:t xml:space="preserve"> </w:t>
      </w:r>
      <w:r>
        <w:rPr>
          <w:b w:val="0"/>
        </w:rPr>
        <w:t>За периода са отчетени 6,8</w:t>
      </w:r>
      <w:r w:rsidRPr="009E6752">
        <w:rPr>
          <w:b w:val="0"/>
        </w:rPr>
        <w:t xml:space="preserve"> млн. лв. текущи разходи и 0,9 млн. лв. капиталови разходи. Общият размер на отчетените текущи разходи включва: 5</w:t>
      </w:r>
      <w:r w:rsidRPr="00153C68">
        <w:rPr>
          <w:b w:val="0"/>
          <w:lang w:val="ru-RU"/>
        </w:rPr>
        <w:t>,0</w:t>
      </w:r>
      <w:r w:rsidRPr="009E6752">
        <w:rPr>
          <w:b w:val="0"/>
        </w:rPr>
        <w:t xml:space="preserve"> млн.</w:t>
      </w:r>
      <w:r>
        <w:rPr>
          <w:b w:val="0"/>
        </w:rPr>
        <w:t xml:space="preserve"> лв. разходи за персонал и </w:t>
      </w:r>
      <w:r w:rsidRPr="009E6752">
        <w:rPr>
          <w:b w:val="0"/>
        </w:rPr>
        <w:t xml:space="preserve"> </w:t>
      </w:r>
      <w:r>
        <w:rPr>
          <w:b w:val="0"/>
        </w:rPr>
        <w:t>1</w:t>
      </w:r>
      <w:r w:rsidRPr="00153C68">
        <w:rPr>
          <w:b w:val="0"/>
          <w:lang w:val="ru-RU"/>
        </w:rPr>
        <w:t>,</w:t>
      </w:r>
      <w:r>
        <w:rPr>
          <w:b w:val="0"/>
          <w:lang w:val="ru-RU"/>
        </w:rPr>
        <w:t>8</w:t>
      </w:r>
      <w:r w:rsidRPr="009E6752">
        <w:rPr>
          <w:b w:val="0"/>
        </w:rPr>
        <w:t xml:space="preserve"> млн. лв. разходи за издръжка (вкл. разходи за членски внос, платени данъци, такси и административни санкции). Отчетените разх</w:t>
      </w:r>
      <w:r>
        <w:rPr>
          <w:b w:val="0"/>
        </w:rPr>
        <w:t>оди за персонал представляват 74,0</w:t>
      </w:r>
      <w:r w:rsidRPr="00153C68">
        <w:rPr>
          <w:b w:val="0"/>
          <w:lang w:val="ru-RU"/>
        </w:rPr>
        <w:t xml:space="preserve"> </w:t>
      </w:r>
      <w:r w:rsidRPr="009E6752">
        <w:rPr>
          <w:b w:val="0"/>
        </w:rPr>
        <w:t>% от отчетените текущи разходи.</w:t>
      </w:r>
    </w:p>
    <w:p w14:paraId="7BF438F0" w14:textId="77777777" w:rsidR="007E2675" w:rsidRDefault="007E2675" w:rsidP="00E62575">
      <w:pPr>
        <w:pStyle w:val="Title"/>
        <w:jc w:val="both"/>
        <w:rPr>
          <w:b w:val="0"/>
        </w:rPr>
      </w:pPr>
      <w:r w:rsidRPr="009E6752">
        <w:rPr>
          <w:b w:val="0"/>
        </w:rPr>
        <w:t>В разпределението на разходите по бюджета на агенцията е включен преходния остатък за 2023 г. (съгл. чл. 20, ал. 3 от ЗБТА) в размер на 1,7 млн. л</w:t>
      </w:r>
      <w:r>
        <w:rPr>
          <w:b w:val="0"/>
        </w:rPr>
        <w:t>е</w:t>
      </w:r>
      <w:r w:rsidRPr="009E6752">
        <w:rPr>
          <w:b w:val="0"/>
        </w:rPr>
        <w:t>в</w:t>
      </w:r>
      <w:r>
        <w:rPr>
          <w:b w:val="0"/>
        </w:rPr>
        <w:t>а.</w:t>
      </w:r>
    </w:p>
    <w:p w14:paraId="63393D7B" w14:textId="77777777" w:rsidR="007E2675" w:rsidRPr="009E6752" w:rsidRDefault="007E2675" w:rsidP="00E62575">
      <w:pPr>
        <w:pStyle w:val="Title"/>
        <w:jc w:val="both"/>
        <w:rPr>
          <w:b w:val="0"/>
        </w:rPr>
      </w:pPr>
      <w:r w:rsidRPr="009E6752">
        <w:rPr>
          <w:b w:val="0"/>
        </w:rPr>
        <w:t>За отчетния период средствата са усвоени за реализирането на основните цели и дейности на БТА като национален независим информационен институт на Република България, съгласно разпоредбите на Закона за Българска телеграфна агенция.</w:t>
      </w:r>
    </w:p>
    <w:p w14:paraId="25F87FE9" w14:textId="77777777" w:rsidR="007E2675" w:rsidRPr="009E6752" w:rsidRDefault="007E2675" w:rsidP="00E62575">
      <w:pPr>
        <w:pStyle w:val="Title"/>
        <w:spacing w:before="120"/>
        <w:jc w:val="both"/>
        <w:rPr>
          <w:b w:val="0"/>
        </w:rPr>
      </w:pPr>
      <w:r w:rsidRPr="009E6752">
        <w:t xml:space="preserve">Бюджетни взаимоотношения </w:t>
      </w:r>
      <w:r w:rsidRPr="009B4608">
        <w:t>на БТА</w:t>
      </w:r>
      <w:r w:rsidRPr="00A43070">
        <w:rPr>
          <w:b w:val="0"/>
        </w:rPr>
        <w:t xml:space="preserve"> с централния бюджет</w:t>
      </w:r>
      <w:r>
        <w:rPr>
          <w:b w:val="0"/>
        </w:rPr>
        <w:t xml:space="preserve"> възлизат на </w:t>
      </w:r>
      <w:r w:rsidRPr="009E6752">
        <w:rPr>
          <w:b w:val="0"/>
        </w:rPr>
        <w:t>11,9 млн. лв. съгласно чл. 50, т. 3 от ЗДБРБ за 2024 г., а след извършени промени по бюджета в изпълнение на ПМС № 204 от 2024 г., сумата е увеличена с 2</w:t>
      </w:r>
      <w:r>
        <w:rPr>
          <w:b w:val="0"/>
        </w:rPr>
        <w:t>,0</w:t>
      </w:r>
      <w:r w:rsidRPr="009E6752">
        <w:rPr>
          <w:b w:val="0"/>
        </w:rPr>
        <w:t xml:space="preserve"> млн. лв. и в изпълнение на ПМС № 100 от 2024</w:t>
      </w:r>
      <w:r>
        <w:rPr>
          <w:b w:val="0"/>
        </w:rPr>
        <w:t> </w:t>
      </w:r>
      <w:r w:rsidRPr="009E6752">
        <w:rPr>
          <w:b w:val="0"/>
        </w:rPr>
        <w:t>г. са добавени още 0,25 млн. лв.</w:t>
      </w:r>
      <w:r>
        <w:rPr>
          <w:b w:val="0"/>
        </w:rPr>
        <w:t xml:space="preserve"> </w:t>
      </w:r>
      <w:r w:rsidRPr="009E6752">
        <w:rPr>
          <w:b w:val="0"/>
        </w:rPr>
        <w:t>За отчетния период е усво</w:t>
      </w:r>
      <w:r>
        <w:rPr>
          <w:b w:val="0"/>
        </w:rPr>
        <w:t>ена сума в размер на 5,9 млн. лева.</w:t>
      </w:r>
    </w:p>
    <w:p w14:paraId="1532FC83" w14:textId="77777777" w:rsidR="008C4D7C" w:rsidRPr="00E56679" w:rsidRDefault="008C4D7C" w:rsidP="008C4D7C">
      <w:pPr>
        <w:spacing w:after="120"/>
        <w:jc w:val="both"/>
        <w:rPr>
          <w:b/>
          <w:color w:val="0070C0"/>
          <w:szCs w:val="20"/>
          <w:lang w:eastAsia="en-US"/>
        </w:rPr>
      </w:pPr>
    </w:p>
    <w:p w14:paraId="600DDE11" w14:textId="77777777" w:rsidR="000470AB" w:rsidRPr="005D4BE5" w:rsidRDefault="000470AB" w:rsidP="0079339B">
      <w:pPr>
        <w:pStyle w:val="Heading2"/>
        <w:numPr>
          <w:ilvl w:val="1"/>
          <w:numId w:val="7"/>
        </w:numPr>
        <w:tabs>
          <w:tab w:val="clear" w:pos="1440"/>
          <w:tab w:val="num" w:pos="426"/>
        </w:tabs>
        <w:ind w:hanging="1440"/>
        <w:rPr>
          <w:rFonts w:ascii="Times New Roman" w:hAnsi="Times New Roman" w:cs="Times New Roman"/>
          <w:i w:val="0"/>
          <w:iCs w:val="0"/>
          <w:color w:val="000000" w:themeColor="text1"/>
          <w:sz w:val="24"/>
        </w:rPr>
      </w:pPr>
      <w:bookmarkStart w:id="330" w:name="_Toc176351963"/>
      <w:r w:rsidRPr="005D4BE5">
        <w:rPr>
          <w:rFonts w:ascii="Times New Roman" w:hAnsi="Times New Roman" w:cs="Times New Roman"/>
          <w:i w:val="0"/>
          <w:iCs w:val="0"/>
          <w:color w:val="000000" w:themeColor="text1"/>
          <w:sz w:val="24"/>
        </w:rPr>
        <w:t>Сметки за средствата от Европейския съюз на бюджетни организации</w:t>
      </w:r>
      <w:bookmarkEnd w:id="309"/>
      <w:bookmarkEnd w:id="330"/>
    </w:p>
    <w:p w14:paraId="0F0D2006" w14:textId="77777777" w:rsidR="000470AB" w:rsidRPr="00A16A13" w:rsidRDefault="000470AB" w:rsidP="0079339B">
      <w:pPr>
        <w:pStyle w:val="Heading3"/>
        <w:numPr>
          <w:ilvl w:val="1"/>
          <w:numId w:val="24"/>
        </w:numPr>
        <w:rPr>
          <w:rFonts w:ascii="Times New Roman" w:hAnsi="Times New Roman"/>
          <w:sz w:val="24"/>
        </w:rPr>
      </w:pPr>
      <w:bookmarkStart w:id="331" w:name="_Toc427666954"/>
      <w:bookmarkStart w:id="332" w:name="_Toc176351964"/>
      <w:r w:rsidRPr="00A16A13">
        <w:rPr>
          <w:rFonts w:ascii="Times New Roman" w:hAnsi="Times New Roman"/>
          <w:sz w:val="24"/>
        </w:rPr>
        <w:t>Сметка за средствата от Европейския съюз на Национален фонд към Министерство на финансите</w:t>
      </w:r>
      <w:bookmarkEnd w:id="331"/>
      <w:bookmarkEnd w:id="332"/>
    </w:p>
    <w:p w14:paraId="117AA625" w14:textId="77777777" w:rsidR="00B61699" w:rsidRPr="008C7AFA" w:rsidRDefault="00B61699" w:rsidP="00B61699">
      <w:pPr>
        <w:ind w:firstLine="567"/>
        <w:jc w:val="both"/>
        <w:rPr>
          <w:bCs/>
        </w:rPr>
      </w:pPr>
      <w:bookmarkStart w:id="333" w:name="_Toc113440867"/>
      <w:bookmarkStart w:id="334" w:name="_Toc427666957"/>
      <w:bookmarkStart w:id="335" w:name="_Toc173668699"/>
      <w:bookmarkStart w:id="336" w:name="_Toc269992241"/>
      <w:bookmarkStart w:id="337" w:name="_Toc365649331"/>
      <w:bookmarkStart w:id="338" w:name="_Toc365897068"/>
      <w:bookmarkEnd w:id="285"/>
      <w:bookmarkEnd w:id="286"/>
      <w:bookmarkEnd w:id="287"/>
      <w:bookmarkEnd w:id="288"/>
      <w:r w:rsidRPr="008C7AFA">
        <w:rPr>
          <w:bCs/>
        </w:rPr>
        <w:t>По сметките на НФ към 3</w:t>
      </w:r>
      <w:r w:rsidRPr="008C7AFA">
        <w:rPr>
          <w:bCs/>
          <w:lang w:val="ru-RU"/>
        </w:rPr>
        <w:t>0</w:t>
      </w:r>
      <w:r w:rsidRPr="008C7AFA">
        <w:rPr>
          <w:bCs/>
        </w:rPr>
        <w:t>.</w:t>
      </w:r>
      <w:r w:rsidRPr="008C7AFA">
        <w:rPr>
          <w:bCs/>
          <w:lang w:val="ru-RU"/>
        </w:rPr>
        <w:t>06</w:t>
      </w:r>
      <w:r w:rsidRPr="008C7AFA">
        <w:rPr>
          <w:bCs/>
        </w:rPr>
        <w:t>.2024 г. са постъпили приходи (нето) в размер на 1</w:t>
      </w:r>
      <w:r>
        <w:rPr>
          <w:bCs/>
        </w:rPr>
        <w:t> </w:t>
      </w:r>
      <w:r w:rsidRPr="008C7AFA">
        <w:rPr>
          <w:bCs/>
        </w:rPr>
        <w:t>303</w:t>
      </w:r>
      <w:r>
        <w:rPr>
          <w:bCs/>
        </w:rPr>
        <w:t>,</w:t>
      </w:r>
      <w:r w:rsidRPr="008C7AFA">
        <w:rPr>
          <w:bCs/>
        </w:rPr>
        <w:t>0</w:t>
      </w:r>
      <w:r>
        <w:rPr>
          <w:bCs/>
          <w:lang w:val="ru-RU"/>
        </w:rPr>
        <w:t> </w:t>
      </w:r>
      <w:r w:rsidRPr="008C7AFA">
        <w:rPr>
          <w:bCs/>
        </w:rPr>
        <w:t>млн.</w:t>
      </w:r>
      <w:r>
        <w:rPr>
          <w:bCs/>
        </w:rPr>
        <w:t> </w:t>
      </w:r>
      <w:r w:rsidRPr="008C7AFA">
        <w:rPr>
          <w:bCs/>
        </w:rPr>
        <w:t>лв</w:t>
      </w:r>
      <w:r>
        <w:rPr>
          <w:bCs/>
        </w:rPr>
        <w:t>.</w:t>
      </w:r>
      <w:r w:rsidRPr="008C7AFA">
        <w:rPr>
          <w:bCs/>
        </w:rPr>
        <w:t xml:space="preserve"> по програмите, съфинансирани от Европейския фонд за регионално развитие, Европейския социален фонд (включително Инициативата за младежка заетост), Кохезионния фонд на ЕС за финансовата рамка, както Европейския социален фонд+, </w:t>
      </w:r>
      <w:r w:rsidRPr="00E405F6">
        <w:rPr>
          <w:bCs/>
        </w:rPr>
        <w:t>ФМ на ЕИП 2014–2021 г. и НФМ 2014–2021 г.</w:t>
      </w:r>
      <w:r>
        <w:rPr>
          <w:bCs/>
        </w:rPr>
        <w:t xml:space="preserve">, </w:t>
      </w:r>
      <w:r w:rsidRPr="008C7AFA">
        <w:rPr>
          <w:bCs/>
        </w:rPr>
        <w:t>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финансиране по двустранните програми за трансгранично сътрудничество по външните граници на EС (ПТСВГ) и изплатените средства от получения ресурс към бенефициенти извън страната.</w:t>
      </w:r>
    </w:p>
    <w:p w14:paraId="294484AD" w14:textId="77777777" w:rsidR="00B61699" w:rsidRPr="00966013" w:rsidRDefault="00B61699" w:rsidP="00B61699">
      <w:pPr>
        <w:ind w:firstLine="567"/>
        <w:jc w:val="both"/>
        <w:rPr>
          <w:bCs/>
        </w:rPr>
      </w:pPr>
      <w:r w:rsidRPr="00966013">
        <w:rPr>
          <w:bCs/>
        </w:rPr>
        <w:t>Извършените разходи (нето) за периода с натрупване чрез сметките на НФ възлизат на 4</w:t>
      </w:r>
      <w:r>
        <w:rPr>
          <w:bCs/>
        </w:rPr>
        <w:t>57,3</w:t>
      </w:r>
      <w:r w:rsidRPr="00966013">
        <w:rPr>
          <w:bCs/>
        </w:rPr>
        <w:t xml:space="preserve"> млн. лева. По видове разходи изпълнението е както следва: </w:t>
      </w:r>
      <w:r>
        <w:rPr>
          <w:bCs/>
        </w:rPr>
        <w:t xml:space="preserve">93,89 </w:t>
      </w:r>
      <w:r w:rsidRPr="00966013">
        <w:rPr>
          <w:bCs/>
        </w:rPr>
        <w:t xml:space="preserve">% от общата стойност са капиталови трансфери, </w:t>
      </w:r>
      <w:r>
        <w:rPr>
          <w:bCs/>
        </w:rPr>
        <w:t xml:space="preserve">5,83 </w:t>
      </w:r>
      <w:r w:rsidRPr="00966013">
        <w:rPr>
          <w:bCs/>
        </w:rPr>
        <w:t>% са субсидии, 0</w:t>
      </w:r>
      <w:r>
        <w:rPr>
          <w:bCs/>
        </w:rPr>
        <w:t>,</w:t>
      </w:r>
      <w:r w:rsidRPr="00966013">
        <w:rPr>
          <w:bCs/>
        </w:rPr>
        <w:t>2</w:t>
      </w:r>
      <w:r>
        <w:rPr>
          <w:bCs/>
        </w:rPr>
        <w:t xml:space="preserve">8 </w:t>
      </w:r>
      <w:r w:rsidRPr="00966013">
        <w:rPr>
          <w:bCs/>
        </w:rPr>
        <w:t>% предоставени текущи и капиталови трансфери за чужбина и 0</w:t>
      </w:r>
      <w:r>
        <w:rPr>
          <w:bCs/>
        </w:rPr>
        <w:t>,</w:t>
      </w:r>
      <w:r w:rsidRPr="00966013">
        <w:rPr>
          <w:bCs/>
        </w:rPr>
        <w:t>0002</w:t>
      </w:r>
      <w:r>
        <w:rPr>
          <w:bCs/>
        </w:rPr>
        <w:t xml:space="preserve"> </w:t>
      </w:r>
      <w:r w:rsidRPr="00966013">
        <w:rPr>
          <w:bCs/>
        </w:rPr>
        <w:t>% - издръжка.</w:t>
      </w:r>
    </w:p>
    <w:p w14:paraId="44A2B345" w14:textId="77777777" w:rsidR="00B61699" w:rsidRPr="008E0971" w:rsidRDefault="00B61699" w:rsidP="00B61699">
      <w:pPr>
        <w:ind w:firstLine="567"/>
        <w:jc w:val="both"/>
        <w:rPr>
          <w:bCs/>
          <w:color w:val="365F91" w:themeColor="accent1" w:themeShade="BF"/>
        </w:rPr>
      </w:pPr>
      <w:r w:rsidRPr="00B21935">
        <w:rPr>
          <w:bCs/>
        </w:rPr>
        <w:t>Трансферите (нето), временните безлихвени заеми (нето) и временна възмездна финансова помощ за разглеждания период са на стойност 571</w:t>
      </w:r>
      <w:r>
        <w:rPr>
          <w:bCs/>
        </w:rPr>
        <w:t>,</w:t>
      </w:r>
      <w:r w:rsidRPr="00B21935">
        <w:rPr>
          <w:bCs/>
        </w:rPr>
        <w:t>1 млн</w:t>
      </w:r>
      <w:r>
        <w:rPr>
          <w:bCs/>
        </w:rPr>
        <w:t>.</w:t>
      </w:r>
      <w:r w:rsidRPr="00B21935">
        <w:rPr>
          <w:bCs/>
        </w:rPr>
        <w:t xml:space="preserve"> лв. (включват предоставените трансфери към бенефициенти по Оперативните програми (ОП) на ЕС - програмен период 2014 – 2020 г. и програмен период 2021 – 2027 г., ПТСВГ за периода 2014 – 2020 г. и програмен период 2021 – 2027 г., Националния план за възстановяване и устойчивост (НПВУ), ФМ на ЕИП 2014–2021 г. и НФМ 2014–2021 г., както и възстановени трансфери от бенефициенти-бюджетни организации за неусвоени суми по приключили проекти, за недопустими разходи или други надплащания. В консолидираната отчетност на НФ са отразени и трансфери (нето) към бенефициенти – бюджетни организации, които са за сметка на средства, предоставени от държавите-партньори по ПТСВГ.</w:t>
      </w:r>
    </w:p>
    <w:p w14:paraId="30C4306A" w14:textId="77777777" w:rsidR="00B61699" w:rsidRPr="007A7F3D" w:rsidRDefault="00B61699" w:rsidP="00B61699">
      <w:pPr>
        <w:ind w:firstLine="567"/>
        <w:jc w:val="both"/>
        <w:rPr>
          <w:bCs/>
        </w:rPr>
      </w:pPr>
      <w:r w:rsidRPr="007A7F3D">
        <w:rPr>
          <w:bCs/>
        </w:rPr>
        <w:t>Във връзка с изпълнение на програмите и проектите по програмен период 2014 – 2020 г., 2021 – 2027 г., ФМ на ЕИП и НФМ и НПВУ по сметките на НФ са получени трансфери от централния бюджет на стойност 315</w:t>
      </w:r>
      <w:r>
        <w:rPr>
          <w:bCs/>
        </w:rPr>
        <w:t>,</w:t>
      </w:r>
      <w:r w:rsidRPr="007A7F3D">
        <w:rPr>
          <w:bCs/>
        </w:rPr>
        <w:t>9 млн. лева.</w:t>
      </w:r>
    </w:p>
    <w:p w14:paraId="71821DE2" w14:textId="77777777" w:rsidR="00B61699" w:rsidRPr="00C073FA" w:rsidRDefault="00B61699" w:rsidP="00B61699">
      <w:pPr>
        <w:ind w:firstLine="567"/>
        <w:jc w:val="both"/>
        <w:rPr>
          <w:bCs/>
        </w:rPr>
      </w:pPr>
      <w:r w:rsidRPr="00C073FA">
        <w:rPr>
          <w:bCs/>
        </w:rPr>
        <w:t>Общата сума от други приходи (корективи за касови постъпления, отчетени за дължими суми от бенефициенти), отчетени по сметката за средства от ЕС на НФ, са в размер на 0</w:t>
      </w:r>
      <w:r>
        <w:rPr>
          <w:bCs/>
        </w:rPr>
        <w:t>,</w:t>
      </w:r>
      <w:r w:rsidRPr="00C073FA">
        <w:rPr>
          <w:bCs/>
        </w:rPr>
        <w:t>3 млн.</w:t>
      </w:r>
      <w:r>
        <w:rPr>
          <w:bCs/>
        </w:rPr>
        <w:t> </w:t>
      </w:r>
      <w:r w:rsidRPr="00C073FA">
        <w:rPr>
          <w:bCs/>
        </w:rPr>
        <w:t>лева.</w:t>
      </w:r>
    </w:p>
    <w:p w14:paraId="27C15CF7" w14:textId="77777777" w:rsidR="00B61699" w:rsidRPr="000130CF" w:rsidRDefault="00B61699" w:rsidP="00B61699">
      <w:pPr>
        <w:spacing w:before="120"/>
        <w:ind w:firstLine="686"/>
        <w:jc w:val="both"/>
        <w:rPr>
          <w:b/>
          <w:bCs/>
        </w:rPr>
      </w:pPr>
      <w:r w:rsidRPr="000130CF">
        <w:rPr>
          <w:b/>
          <w:bCs/>
        </w:rPr>
        <w:t>Структурни и Кохезионен фондове (СКФ) 2007 – 2013 г.</w:t>
      </w:r>
    </w:p>
    <w:p w14:paraId="40183EEE" w14:textId="77777777" w:rsidR="00B61699" w:rsidRPr="000130CF" w:rsidRDefault="00B61699" w:rsidP="00B61699">
      <w:pPr>
        <w:ind w:firstLine="567"/>
        <w:jc w:val="both"/>
      </w:pPr>
      <w:r w:rsidRPr="000130CF">
        <w:rPr>
          <w:bCs/>
        </w:rPr>
        <w:t>През отчетния период са отчетени (нето) възстановени суми от бенефициенти на стойност на 0</w:t>
      </w:r>
      <w:r>
        <w:rPr>
          <w:bCs/>
        </w:rPr>
        <w:t>,</w:t>
      </w:r>
      <w:r w:rsidRPr="000130CF">
        <w:rPr>
          <w:bCs/>
        </w:rPr>
        <w:t>2 млн. лв. и възстановено</w:t>
      </w:r>
      <w:r w:rsidRPr="000130CF">
        <w:t xml:space="preserve"> </w:t>
      </w:r>
      <w:r w:rsidRPr="000130CF">
        <w:rPr>
          <w:bCs/>
        </w:rPr>
        <w:t>авансово финансиране по реда на ДДС6/2011 г. в размер на 0</w:t>
      </w:r>
      <w:r>
        <w:rPr>
          <w:bCs/>
        </w:rPr>
        <w:t>,</w:t>
      </w:r>
      <w:r w:rsidRPr="000130CF">
        <w:rPr>
          <w:bCs/>
        </w:rPr>
        <w:t>7 млн.</w:t>
      </w:r>
      <w:r>
        <w:rPr>
          <w:bCs/>
        </w:rPr>
        <w:t> </w:t>
      </w:r>
      <w:r w:rsidRPr="000130CF">
        <w:rPr>
          <w:bCs/>
        </w:rPr>
        <w:t>лева.</w:t>
      </w:r>
    </w:p>
    <w:p w14:paraId="7D330A12" w14:textId="77777777" w:rsidR="00B61699" w:rsidRPr="00C36C6A" w:rsidRDefault="00B61699" w:rsidP="00B61699">
      <w:pPr>
        <w:spacing w:before="120"/>
        <w:ind w:firstLine="686"/>
        <w:jc w:val="both"/>
        <w:rPr>
          <w:b/>
          <w:bCs/>
        </w:rPr>
      </w:pPr>
      <w:r w:rsidRPr="00C36C6A">
        <w:rPr>
          <w:b/>
          <w:bCs/>
        </w:rPr>
        <w:t>Европейски фонд за регионално развитие, Европейски социален фонд (включително Инициативата за младежка заетост), Кохезионния фонд и ФЕПНЛ на Европейския съюз за финансова рамка 2014 – 2020 г.</w:t>
      </w:r>
    </w:p>
    <w:p w14:paraId="2A165E09" w14:textId="77777777" w:rsidR="00B61699" w:rsidRPr="00F05C6B" w:rsidRDefault="00B61699" w:rsidP="00B61699">
      <w:pPr>
        <w:ind w:firstLine="567"/>
        <w:jc w:val="both"/>
        <w:rPr>
          <w:bCs/>
        </w:rPr>
      </w:pPr>
      <w:r w:rsidRPr="00C36C6A">
        <w:rPr>
          <w:bCs/>
        </w:rPr>
        <w:t>Общо получените средства (нето) от ЕК за периода са в размер на 611</w:t>
      </w:r>
      <w:r>
        <w:rPr>
          <w:bCs/>
        </w:rPr>
        <w:t>,</w:t>
      </w:r>
      <w:r w:rsidRPr="00C36C6A">
        <w:rPr>
          <w:bCs/>
        </w:rPr>
        <w:t>8 млн. лв. (вкл. за REACT-EU в размер на 9</w:t>
      </w:r>
      <w:r>
        <w:rPr>
          <w:bCs/>
        </w:rPr>
        <w:t>,</w:t>
      </w:r>
      <w:r w:rsidRPr="00C36C6A">
        <w:rPr>
          <w:bCs/>
        </w:rPr>
        <w:t>1 млн. лв</w:t>
      </w:r>
      <w:r>
        <w:rPr>
          <w:bCs/>
        </w:rPr>
        <w:t>.</w:t>
      </w:r>
      <w:r w:rsidRPr="00C36C6A">
        <w:rPr>
          <w:bCs/>
        </w:rPr>
        <w:t>) и са разпределени както следва</w:t>
      </w:r>
      <w:r w:rsidRPr="00F05C6B">
        <w:rPr>
          <w:bCs/>
        </w:rPr>
        <w:t>:</w:t>
      </w:r>
    </w:p>
    <w:p w14:paraId="37223EBC" w14:textId="77777777" w:rsidR="00B61699" w:rsidRPr="00335E6C" w:rsidRDefault="00B61699" w:rsidP="00B61699">
      <w:pPr>
        <w:numPr>
          <w:ilvl w:val="0"/>
          <w:numId w:val="16"/>
        </w:numPr>
        <w:tabs>
          <w:tab w:val="clear" w:pos="1101"/>
          <w:tab w:val="num" w:pos="786"/>
        </w:tabs>
        <w:ind w:left="786"/>
        <w:jc w:val="both"/>
        <w:rPr>
          <w:bCs/>
        </w:rPr>
      </w:pPr>
      <w:r w:rsidRPr="00335E6C">
        <w:rPr>
          <w:bCs/>
        </w:rPr>
        <w:t>ОП „Транспорт и транспортна инфраструктура” – 215</w:t>
      </w:r>
      <w:r>
        <w:rPr>
          <w:bCs/>
        </w:rPr>
        <w:t>,</w:t>
      </w:r>
      <w:r w:rsidRPr="00335E6C">
        <w:rPr>
          <w:bCs/>
        </w:rPr>
        <w:t>3 млн. лв.;</w:t>
      </w:r>
    </w:p>
    <w:p w14:paraId="37CD865E" w14:textId="77777777" w:rsidR="00B61699" w:rsidRPr="00335E6C" w:rsidRDefault="00B61699" w:rsidP="00B61699">
      <w:pPr>
        <w:numPr>
          <w:ilvl w:val="0"/>
          <w:numId w:val="16"/>
        </w:numPr>
        <w:tabs>
          <w:tab w:val="clear" w:pos="1101"/>
          <w:tab w:val="num" w:pos="786"/>
        </w:tabs>
        <w:ind w:left="786"/>
        <w:jc w:val="both"/>
        <w:rPr>
          <w:bCs/>
        </w:rPr>
      </w:pPr>
      <w:r w:rsidRPr="00335E6C">
        <w:rPr>
          <w:bCs/>
        </w:rPr>
        <w:t>ОП „Развитие на човешките ресурси 2014 - 2020 г.” – 37</w:t>
      </w:r>
      <w:r>
        <w:rPr>
          <w:bCs/>
        </w:rPr>
        <w:t>,</w:t>
      </w:r>
      <w:r w:rsidRPr="00335E6C">
        <w:rPr>
          <w:bCs/>
        </w:rPr>
        <w:t>8 млн. лв.;</w:t>
      </w:r>
    </w:p>
    <w:p w14:paraId="62A89658" w14:textId="77777777" w:rsidR="00B61699" w:rsidRPr="00335E6C" w:rsidRDefault="00B61699" w:rsidP="00B61699">
      <w:pPr>
        <w:numPr>
          <w:ilvl w:val="0"/>
          <w:numId w:val="16"/>
        </w:numPr>
        <w:tabs>
          <w:tab w:val="clear" w:pos="1101"/>
          <w:tab w:val="num" w:pos="786"/>
        </w:tabs>
        <w:ind w:left="786"/>
        <w:jc w:val="both"/>
        <w:rPr>
          <w:bCs/>
        </w:rPr>
      </w:pPr>
      <w:r w:rsidRPr="00335E6C">
        <w:rPr>
          <w:bCs/>
        </w:rPr>
        <w:t>Инициативата за младежка заетост – 9</w:t>
      </w:r>
      <w:r>
        <w:rPr>
          <w:bCs/>
        </w:rPr>
        <w:t>,</w:t>
      </w:r>
      <w:r w:rsidRPr="00335E6C">
        <w:rPr>
          <w:bCs/>
        </w:rPr>
        <w:t>2 млн. лв.;</w:t>
      </w:r>
    </w:p>
    <w:p w14:paraId="789C91C5" w14:textId="77777777" w:rsidR="00B61699" w:rsidRDefault="00B61699" w:rsidP="00B61699">
      <w:pPr>
        <w:numPr>
          <w:ilvl w:val="0"/>
          <w:numId w:val="16"/>
        </w:numPr>
        <w:tabs>
          <w:tab w:val="clear" w:pos="1101"/>
          <w:tab w:val="num" w:pos="786"/>
        </w:tabs>
        <w:ind w:left="786"/>
        <w:jc w:val="both"/>
        <w:rPr>
          <w:bCs/>
        </w:rPr>
      </w:pPr>
      <w:r w:rsidRPr="00162525">
        <w:rPr>
          <w:bCs/>
        </w:rPr>
        <w:t>ОП „Добро управление” – 34</w:t>
      </w:r>
      <w:r>
        <w:rPr>
          <w:bCs/>
        </w:rPr>
        <w:t>,</w:t>
      </w:r>
      <w:r w:rsidRPr="00162525">
        <w:rPr>
          <w:bCs/>
        </w:rPr>
        <w:t>7 млн. лв.;</w:t>
      </w:r>
    </w:p>
    <w:p w14:paraId="299130AC" w14:textId="77777777" w:rsidR="00B61699" w:rsidRPr="00162525" w:rsidRDefault="00B61699" w:rsidP="00B61699">
      <w:pPr>
        <w:numPr>
          <w:ilvl w:val="0"/>
          <w:numId w:val="16"/>
        </w:numPr>
        <w:tabs>
          <w:tab w:val="clear" w:pos="1101"/>
          <w:tab w:val="num" w:pos="786"/>
        </w:tabs>
        <w:ind w:left="786"/>
        <w:jc w:val="both"/>
        <w:rPr>
          <w:bCs/>
        </w:rPr>
      </w:pPr>
      <w:r w:rsidRPr="00C859F5">
        <w:rPr>
          <w:bCs/>
        </w:rPr>
        <w:t xml:space="preserve">ОП „Околна среда 2014 – 2020 </w:t>
      </w:r>
      <w:r>
        <w:rPr>
          <w:bCs/>
        </w:rPr>
        <w:t>г.“ – 111,3 млн. лв.;</w:t>
      </w:r>
    </w:p>
    <w:p w14:paraId="420504EF" w14:textId="77777777" w:rsidR="00B61699" w:rsidRPr="00F03694" w:rsidRDefault="00B61699" w:rsidP="00B61699">
      <w:pPr>
        <w:numPr>
          <w:ilvl w:val="0"/>
          <w:numId w:val="16"/>
        </w:numPr>
        <w:tabs>
          <w:tab w:val="clear" w:pos="1101"/>
          <w:tab w:val="num" w:pos="786"/>
        </w:tabs>
        <w:ind w:left="786"/>
        <w:jc w:val="both"/>
        <w:rPr>
          <w:bCs/>
        </w:rPr>
      </w:pPr>
      <w:r w:rsidRPr="00F03694">
        <w:rPr>
          <w:bCs/>
        </w:rPr>
        <w:t>ОП „Региони в растеж“ – 174</w:t>
      </w:r>
      <w:r w:rsidRPr="00B37971">
        <w:rPr>
          <w:bCs/>
          <w:lang w:val="ru-RU"/>
        </w:rPr>
        <w:t>.</w:t>
      </w:r>
      <w:r w:rsidRPr="00F03694">
        <w:rPr>
          <w:bCs/>
        </w:rPr>
        <w:t>5 млн. лв. (вкл. за REACT-EU в размер на 9</w:t>
      </w:r>
      <w:r w:rsidRPr="00B37971">
        <w:rPr>
          <w:bCs/>
          <w:lang w:val="ru-RU"/>
        </w:rPr>
        <w:t>.</w:t>
      </w:r>
      <w:r w:rsidRPr="00F03694">
        <w:rPr>
          <w:bCs/>
        </w:rPr>
        <w:t>1 млн. лева) и</w:t>
      </w:r>
    </w:p>
    <w:p w14:paraId="559B257B" w14:textId="77777777" w:rsidR="00B61699" w:rsidRPr="00F03694" w:rsidRDefault="00B61699" w:rsidP="00B61699">
      <w:pPr>
        <w:numPr>
          <w:ilvl w:val="0"/>
          <w:numId w:val="16"/>
        </w:numPr>
        <w:tabs>
          <w:tab w:val="clear" w:pos="1101"/>
          <w:tab w:val="num" w:pos="786"/>
        </w:tabs>
        <w:ind w:left="786"/>
        <w:jc w:val="both"/>
        <w:rPr>
          <w:bCs/>
        </w:rPr>
      </w:pPr>
      <w:r w:rsidRPr="00F03694">
        <w:rPr>
          <w:bCs/>
        </w:rPr>
        <w:t>ОП „Наука и образование за интелигентен растеж” – 29</w:t>
      </w:r>
      <w:r w:rsidRPr="00B37971">
        <w:rPr>
          <w:bCs/>
          <w:lang w:val="ru-RU"/>
        </w:rPr>
        <w:t>.</w:t>
      </w:r>
      <w:r w:rsidRPr="00F03694">
        <w:rPr>
          <w:bCs/>
        </w:rPr>
        <w:t>0 млн. лв.</w:t>
      </w:r>
    </w:p>
    <w:p w14:paraId="3BF9C5A9" w14:textId="77777777" w:rsidR="00B61699" w:rsidRPr="008B2ED3" w:rsidRDefault="00B61699" w:rsidP="00B61699">
      <w:pPr>
        <w:spacing w:before="120"/>
        <w:ind w:firstLine="567"/>
        <w:jc w:val="both"/>
        <w:rPr>
          <w:bCs/>
        </w:rPr>
      </w:pPr>
      <w:r w:rsidRPr="008B2ED3">
        <w:rPr>
          <w:bCs/>
        </w:rPr>
        <w:t xml:space="preserve">Направените разходи (нето) по Оперативни програми и трансферите (нето) към бюджетни организации и операции с активи към края на </w:t>
      </w:r>
      <w:r>
        <w:rPr>
          <w:bCs/>
        </w:rPr>
        <w:t>полугодието</w:t>
      </w:r>
      <w:r w:rsidRPr="008B2ED3">
        <w:rPr>
          <w:bCs/>
        </w:rPr>
        <w:t xml:space="preserve"> са на стойност 571</w:t>
      </w:r>
      <w:r>
        <w:rPr>
          <w:bCs/>
        </w:rPr>
        <w:t>,</w:t>
      </w:r>
      <w:r w:rsidRPr="008B2ED3">
        <w:rPr>
          <w:bCs/>
        </w:rPr>
        <w:t>0 млн. лв. (в тях влизат и извършените разходи по REACT-EU в размер на 7</w:t>
      </w:r>
      <w:r>
        <w:rPr>
          <w:bCs/>
        </w:rPr>
        <w:t>,</w:t>
      </w:r>
      <w:r w:rsidRPr="008B2ED3">
        <w:rPr>
          <w:bCs/>
        </w:rPr>
        <w:t>4 млн. лева), като разпределението по Оперативни програми е следното:</w:t>
      </w:r>
    </w:p>
    <w:p w14:paraId="7820C666" w14:textId="77777777" w:rsidR="00B61699" w:rsidRPr="00222792" w:rsidRDefault="00B61699" w:rsidP="00B61699">
      <w:pPr>
        <w:numPr>
          <w:ilvl w:val="0"/>
          <w:numId w:val="16"/>
        </w:numPr>
        <w:tabs>
          <w:tab w:val="clear" w:pos="1101"/>
          <w:tab w:val="num" w:pos="786"/>
        </w:tabs>
        <w:ind w:left="786"/>
        <w:jc w:val="both"/>
        <w:rPr>
          <w:bCs/>
        </w:rPr>
      </w:pPr>
      <w:r w:rsidRPr="00222792">
        <w:rPr>
          <w:bCs/>
        </w:rPr>
        <w:t xml:space="preserve">ОП „Развитие на човешките ресурси 2014 - 2020 г.” – </w:t>
      </w:r>
      <w:r w:rsidRPr="00DA63E5">
        <w:rPr>
          <w:bCs/>
          <w:lang w:val="ru-RU"/>
        </w:rPr>
        <w:t>95</w:t>
      </w:r>
      <w:r>
        <w:rPr>
          <w:bCs/>
          <w:lang w:val="ru-RU"/>
        </w:rPr>
        <w:t>,</w:t>
      </w:r>
      <w:r w:rsidRPr="00DA63E5">
        <w:rPr>
          <w:bCs/>
          <w:lang w:val="ru-RU"/>
        </w:rPr>
        <w:t>1</w:t>
      </w:r>
      <w:r w:rsidRPr="00222792">
        <w:rPr>
          <w:bCs/>
        </w:rPr>
        <w:t xml:space="preserve"> млн. лв.</w:t>
      </w:r>
      <w:r w:rsidRPr="00222792">
        <w:t xml:space="preserve"> </w:t>
      </w:r>
      <w:r w:rsidRPr="00222792">
        <w:rPr>
          <w:bCs/>
        </w:rPr>
        <w:t>(вкл. за REACT-EU в размер на 5</w:t>
      </w:r>
      <w:r>
        <w:rPr>
          <w:bCs/>
        </w:rPr>
        <w:t>,</w:t>
      </w:r>
      <w:r w:rsidRPr="00B37971">
        <w:rPr>
          <w:bCs/>
          <w:lang w:val="ru-RU"/>
        </w:rPr>
        <w:t>1</w:t>
      </w:r>
      <w:r w:rsidRPr="00222792">
        <w:rPr>
          <w:bCs/>
        </w:rPr>
        <w:t xml:space="preserve"> млн. лева);</w:t>
      </w:r>
    </w:p>
    <w:p w14:paraId="1C682760" w14:textId="77777777" w:rsidR="00B61699" w:rsidRPr="00222792" w:rsidRDefault="00B61699" w:rsidP="00B61699">
      <w:pPr>
        <w:numPr>
          <w:ilvl w:val="0"/>
          <w:numId w:val="16"/>
        </w:numPr>
        <w:tabs>
          <w:tab w:val="clear" w:pos="1101"/>
          <w:tab w:val="num" w:pos="786"/>
        </w:tabs>
        <w:ind w:left="786"/>
        <w:jc w:val="both"/>
        <w:rPr>
          <w:bCs/>
        </w:rPr>
      </w:pPr>
      <w:r w:rsidRPr="00222792">
        <w:rPr>
          <w:bCs/>
        </w:rPr>
        <w:t>Инициативата за младежка заетост –</w:t>
      </w:r>
      <w:r w:rsidRPr="00DA63E5">
        <w:rPr>
          <w:bCs/>
          <w:lang w:val="ru-RU"/>
        </w:rPr>
        <w:t xml:space="preserve"> 4</w:t>
      </w:r>
      <w:r>
        <w:rPr>
          <w:bCs/>
          <w:lang w:val="ru-RU"/>
        </w:rPr>
        <w:t>,</w:t>
      </w:r>
      <w:r w:rsidRPr="00DA63E5">
        <w:rPr>
          <w:bCs/>
          <w:lang w:val="ru-RU"/>
        </w:rPr>
        <w:t>5</w:t>
      </w:r>
      <w:r w:rsidRPr="00222792">
        <w:rPr>
          <w:bCs/>
        </w:rPr>
        <w:t xml:space="preserve"> млн. лв.;</w:t>
      </w:r>
    </w:p>
    <w:p w14:paraId="62BB4C23" w14:textId="77777777" w:rsidR="00B61699" w:rsidRPr="00CC0BF5" w:rsidRDefault="00B61699" w:rsidP="00B61699">
      <w:pPr>
        <w:numPr>
          <w:ilvl w:val="0"/>
          <w:numId w:val="16"/>
        </w:numPr>
        <w:tabs>
          <w:tab w:val="clear" w:pos="1101"/>
          <w:tab w:val="num" w:pos="786"/>
        </w:tabs>
        <w:ind w:left="786"/>
        <w:jc w:val="both"/>
        <w:rPr>
          <w:bCs/>
        </w:rPr>
      </w:pPr>
      <w:r w:rsidRPr="00CC0BF5">
        <w:rPr>
          <w:bCs/>
        </w:rPr>
        <w:t xml:space="preserve">ОП „Иновации и конкурентоспособност” – </w:t>
      </w:r>
      <w:r w:rsidRPr="00DA63E5">
        <w:rPr>
          <w:bCs/>
          <w:lang w:val="ru-RU"/>
        </w:rPr>
        <w:t>6</w:t>
      </w:r>
      <w:r>
        <w:rPr>
          <w:bCs/>
          <w:lang w:val="ru-RU"/>
        </w:rPr>
        <w:t>,</w:t>
      </w:r>
      <w:r w:rsidRPr="00DA63E5">
        <w:rPr>
          <w:bCs/>
          <w:lang w:val="ru-RU"/>
        </w:rPr>
        <w:t>8</w:t>
      </w:r>
      <w:r w:rsidRPr="00CC0BF5">
        <w:rPr>
          <w:bCs/>
        </w:rPr>
        <w:t xml:space="preserve"> млн. лв. (вкл. за REACT-EU в размер на </w:t>
      </w:r>
      <w:r w:rsidRPr="00DA63E5">
        <w:rPr>
          <w:bCs/>
          <w:lang w:val="ru-RU"/>
        </w:rPr>
        <w:t>3</w:t>
      </w:r>
      <w:r>
        <w:rPr>
          <w:bCs/>
          <w:lang w:val="ru-RU"/>
        </w:rPr>
        <w:t>,</w:t>
      </w:r>
      <w:r w:rsidRPr="00DA63E5">
        <w:rPr>
          <w:bCs/>
          <w:lang w:val="ru-RU"/>
        </w:rPr>
        <w:t>3</w:t>
      </w:r>
      <w:r w:rsidRPr="00CC0BF5">
        <w:rPr>
          <w:bCs/>
        </w:rPr>
        <w:t xml:space="preserve"> млн. лева);</w:t>
      </w:r>
    </w:p>
    <w:p w14:paraId="4664D8BF" w14:textId="77777777" w:rsidR="00B61699" w:rsidRPr="00CC0BF5" w:rsidRDefault="00B61699" w:rsidP="00B61699">
      <w:pPr>
        <w:numPr>
          <w:ilvl w:val="0"/>
          <w:numId w:val="16"/>
        </w:numPr>
        <w:tabs>
          <w:tab w:val="clear" w:pos="1101"/>
          <w:tab w:val="num" w:pos="786"/>
        </w:tabs>
        <w:ind w:left="786"/>
        <w:jc w:val="both"/>
        <w:rPr>
          <w:bCs/>
        </w:rPr>
      </w:pPr>
      <w:r w:rsidRPr="00CC0BF5">
        <w:rPr>
          <w:bCs/>
        </w:rPr>
        <w:t xml:space="preserve">ОП „Добро управление” – </w:t>
      </w:r>
      <w:r w:rsidRPr="00DA63E5">
        <w:rPr>
          <w:bCs/>
          <w:lang w:val="ru-RU"/>
        </w:rPr>
        <w:t>29</w:t>
      </w:r>
      <w:r>
        <w:rPr>
          <w:bCs/>
          <w:lang w:val="ru-RU"/>
        </w:rPr>
        <w:t>,</w:t>
      </w:r>
      <w:r w:rsidRPr="00DA63E5">
        <w:rPr>
          <w:bCs/>
          <w:lang w:val="ru-RU"/>
        </w:rPr>
        <w:t>8</w:t>
      </w:r>
      <w:r w:rsidRPr="00CC0BF5">
        <w:rPr>
          <w:bCs/>
        </w:rPr>
        <w:t xml:space="preserve"> млн. лв.;</w:t>
      </w:r>
    </w:p>
    <w:p w14:paraId="25DBDECC" w14:textId="77777777" w:rsidR="00B61699" w:rsidRPr="00DF2E9F" w:rsidRDefault="00B61699" w:rsidP="00B61699">
      <w:pPr>
        <w:numPr>
          <w:ilvl w:val="0"/>
          <w:numId w:val="16"/>
        </w:numPr>
        <w:tabs>
          <w:tab w:val="clear" w:pos="1101"/>
          <w:tab w:val="num" w:pos="786"/>
        </w:tabs>
        <w:ind w:left="786"/>
        <w:jc w:val="both"/>
        <w:rPr>
          <w:bCs/>
        </w:rPr>
      </w:pPr>
      <w:r w:rsidRPr="00DF2E9F">
        <w:rPr>
          <w:bCs/>
        </w:rPr>
        <w:t xml:space="preserve">ОП „Региони в растеж“ – </w:t>
      </w:r>
      <w:r w:rsidRPr="00DA63E5">
        <w:rPr>
          <w:bCs/>
          <w:lang w:val="ru-RU"/>
        </w:rPr>
        <w:t>63</w:t>
      </w:r>
      <w:r>
        <w:rPr>
          <w:bCs/>
          <w:lang w:val="ru-RU"/>
        </w:rPr>
        <w:t>,</w:t>
      </w:r>
      <w:r w:rsidRPr="00DA63E5">
        <w:rPr>
          <w:bCs/>
          <w:lang w:val="ru-RU"/>
        </w:rPr>
        <w:t>3</w:t>
      </w:r>
      <w:r w:rsidRPr="00DF2E9F">
        <w:rPr>
          <w:bCs/>
        </w:rPr>
        <w:t xml:space="preserve"> млн. лв.</w:t>
      </w:r>
      <w:r w:rsidRPr="00DA63E5">
        <w:rPr>
          <w:bCs/>
          <w:lang w:val="ru-RU"/>
        </w:rPr>
        <w:t xml:space="preserve"> </w:t>
      </w:r>
      <w:r w:rsidRPr="00DF2E9F">
        <w:rPr>
          <w:bCs/>
        </w:rPr>
        <w:t>(вкл. възстановени средства от бенефициенти по REACT-EU в размер на 0</w:t>
      </w:r>
      <w:r>
        <w:rPr>
          <w:bCs/>
        </w:rPr>
        <w:t>,</w:t>
      </w:r>
      <w:r w:rsidRPr="00DA63E5">
        <w:rPr>
          <w:bCs/>
          <w:lang w:val="ru-RU"/>
        </w:rPr>
        <w:t>9</w:t>
      </w:r>
      <w:r w:rsidRPr="00DF2E9F">
        <w:rPr>
          <w:bCs/>
        </w:rPr>
        <w:t xml:space="preserve"> млн. лева);</w:t>
      </w:r>
    </w:p>
    <w:p w14:paraId="7EFEEF8E" w14:textId="77777777" w:rsidR="00B61699" w:rsidRPr="00222792" w:rsidRDefault="00B61699" w:rsidP="00B61699">
      <w:pPr>
        <w:numPr>
          <w:ilvl w:val="0"/>
          <w:numId w:val="16"/>
        </w:numPr>
        <w:tabs>
          <w:tab w:val="clear" w:pos="1101"/>
          <w:tab w:val="num" w:pos="786"/>
        </w:tabs>
        <w:ind w:left="786"/>
        <w:jc w:val="both"/>
        <w:rPr>
          <w:bCs/>
        </w:rPr>
      </w:pPr>
      <w:r w:rsidRPr="00222792">
        <w:rPr>
          <w:bCs/>
        </w:rPr>
        <w:t>ОП „Транспорт и транспортна инфраструктура” – 1</w:t>
      </w:r>
      <w:r w:rsidRPr="00DA63E5">
        <w:rPr>
          <w:bCs/>
          <w:lang w:val="ru-RU"/>
        </w:rPr>
        <w:t>50</w:t>
      </w:r>
      <w:r>
        <w:rPr>
          <w:bCs/>
          <w:lang w:val="ru-RU"/>
        </w:rPr>
        <w:t>,</w:t>
      </w:r>
      <w:r w:rsidRPr="00DA63E5">
        <w:rPr>
          <w:bCs/>
          <w:lang w:val="ru-RU"/>
        </w:rPr>
        <w:t>5</w:t>
      </w:r>
      <w:r w:rsidRPr="00222792">
        <w:rPr>
          <w:bCs/>
        </w:rPr>
        <w:t xml:space="preserve"> млн. лв.;</w:t>
      </w:r>
    </w:p>
    <w:p w14:paraId="15390450" w14:textId="77777777" w:rsidR="00B61699" w:rsidRPr="00777B46" w:rsidRDefault="00B61699" w:rsidP="00B61699">
      <w:pPr>
        <w:numPr>
          <w:ilvl w:val="0"/>
          <w:numId w:val="16"/>
        </w:numPr>
        <w:tabs>
          <w:tab w:val="clear" w:pos="1101"/>
          <w:tab w:val="num" w:pos="786"/>
        </w:tabs>
        <w:ind w:left="786"/>
        <w:jc w:val="both"/>
        <w:rPr>
          <w:bCs/>
        </w:rPr>
      </w:pPr>
      <w:r w:rsidRPr="00777B46">
        <w:rPr>
          <w:bCs/>
        </w:rPr>
        <w:t xml:space="preserve">ОП „Наука и образование за интелигентен растеж” – </w:t>
      </w:r>
      <w:r w:rsidRPr="00DA63E5">
        <w:rPr>
          <w:bCs/>
          <w:lang w:val="ru-RU"/>
        </w:rPr>
        <w:t>26</w:t>
      </w:r>
      <w:r>
        <w:rPr>
          <w:bCs/>
          <w:lang w:val="ru-RU"/>
        </w:rPr>
        <w:t>,</w:t>
      </w:r>
      <w:r w:rsidRPr="00DA63E5">
        <w:rPr>
          <w:bCs/>
          <w:lang w:val="ru-RU"/>
        </w:rPr>
        <w:t>8</w:t>
      </w:r>
      <w:r w:rsidRPr="00777B46">
        <w:rPr>
          <w:bCs/>
        </w:rPr>
        <w:t xml:space="preserve"> млн. лв. (вкл. възстановени средства от бенефициенти по REACT-EU в размер на 0</w:t>
      </w:r>
      <w:r>
        <w:rPr>
          <w:bCs/>
        </w:rPr>
        <w:t>,</w:t>
      </w:r>
      <w:r w:rsidRPr="00777B46">
        <w:rPr>
          <w:bCs/>
        </w:rPr>
        <w:t>00</w:t>
      </w:r>
      <w:r w:rsidRPr="00DA63E5">
        <w:rPr>
          <w:bCs/>
          <w:lang w:val="ru-RU"/>
        </w:rPr>
        <w:t>2</w:t>
      </w:r>
      <w:r w:rsidRPr="00777B46">
        <w:rPr>
          <w:bCs/>
        </w:rPr>
        <w:t xml:space="preserve"> млн. лева) и</w:t>
      </w:r>
    </w:p>
    <w:p w14:paraId="47672FED" w14:textId="77777777" w:rsidR="00B61699" w:rsidRPr="00CD649D" w:rsidRDefault="00B61699" w:rsidP="00B61699">
      <w:pPr>
        <w:numPr>
          <w:ilvl w:val="0"/>
          <w:numId w:val="16"/>
        </w:numPr>
        <w:tabs>
          <w:tab w:val="clear" w:pos="1101"/>
          <w:tab w:val="num" w:pos="786"/>
        </w:tabs>
        <w:ind w:left="786"/>
        <w:jc w:val="both"/>
        <w:rPr>
          <w:bCs/>
        </w:rPr>
      </w:pPr>
      <w:r w:rsidRPr="00CD649D">
        <w:rPr>
          <w:bCs/>
        </w:rPr>
        <w:t xml:space="preserve">ОП „Околна среда 2014 – 2020 г.“ – </w:t>
      </w:r>
      <w:r w:rsidRPr="00CD649D">
        <w:rPr>
          <w:bCs/>
          <w:lang w:val="ru-RU"/>
        </w:rPr>
        <w:t>19</w:t>
      </w:r>
      <w:r w:rsidRPr="00CD649D">
        <w:rPr>
          <w:bCs/>
        </w:rPr>
        <w:t>4,2 млн. лв.</w:t>
      </w:r>
    </w:p>
    <w:p w14:paraId="5CA68025" w14:textId="77777777" w:rsidR="00B61699" w:rsidRPr="00F76322" w:rsidRDefault="00B61699" w:rsidP="00B61699">
      <w:pPr>
        <w:spacing w:before="120"/>
        <w:ind w:firstLine="567"/>
        <w:jc w:val="both"/>
        <w:rPr>
          <w:bCs/>
        </w:rPr>
      </w:pPr>
      <w:r w:rsidRPr="00F76322">
        <w:t xml:space="preserve">Възстановеното авансово финансиране по реда на ДДС6/2011 г. е в размер на </w:t>
      </w:r>
      <w:r w:rsidRPr="00DA63E5">
        <w:rPr>
          <w:lang w:val="ru-RU"/>
        </w:rPr>
        <w:t>282</w:t>
      </w:r>
      <w:r>
        <w:t>,</w:t>
      </w:r>
      <w:r w:rsidRPr="00DA63E5">
        <w:rPr>
          <w:lang w:val="ru-RU"/>
        </w:rPr>
        <w:t>4</w:t>
      </w:r>
      <w:r w:rsidRPr="00F76322">
        <w:t xml:space="preserve"> млн. лева, в т.ч. възстановена възмездна финансова помощ по ОПТТИ и ОПОС.</w:t>
      </w:r>
    </w:p>
    <w:p w14:paraId="7A8EFE9A" w14:textId="77777777" w:rsidR="00B61699" w:rsidRPr="00F76322" w:rsidRDefault="00B61699" w:rsidP="00B61699">
      <w:pPr>
        <w:ind w:firstLine="567"/>
        <w:jc w:val="both"/>
        <w:rPr>
          <w:bCs/>
        </w:rPr>
      </w:pPr>
      <w:r w:rsidRPr="00F76322">
        <w:rPr>
          <w:bCs/>
        </w:rPr>
        <w:t xml:space="preserve">Изплатените средства от оперативните програми за мерките за минимизиране на отрицателните последици от епидемичното разпространение на COVD-19 през отчетния период са в размер на </w:t>
      </w:r>
      <w:r w:rsidRPr="00DA63E5">
        <w:rPr>
          <w:bCs/>
          <w:lang w:val="ru-RU"/>
        </w:rPr>
        <w:t>2</w:t>
      </w:r>
      <w:r>
        <w:rPr>
          <w:bCs/>
          <w:lang w:val="ru-RU"/>
        </w:rPr>
        <w:t>,</w:t>
      </w:r>
      <w:r>
        <w:rPr>
          <w:bCs/>
        </w:rPr>
        <w:t>4</w:t>
      </w:r>
      <w:r w:rsidRPr="00F76322">
        <w:rPr>
          <w:bCs/>
        </w:rPr>
        <w:t xml:space="preserve"> млн. лева.</w:t>
      </w:r>
    </w:p>
    <w:p w14:paraId="5ACA611D" w14:textId="77777777" w:rsidR="00B61699" w:rsidRPr="00F76322" w:rsidRDefault="00B61699" w:rsidP="00B61699">
      <w:pPr>
        <w:spacing w:before="120"/>
        <w:ind w:firstLine="686"/>
        <w:jc w:val="both"/>
        <w:rPr>
          <w:b/>
          <w:bCs/>
        </w:rPr>
      </w:pPr>
      <w:r w:rsidRPr="00F76322">
        <w:rPr>
          <w:b/>
          <w:bCs/>
        </w:rPr>
        <w:t>Европейския социален фонд+, Европейския фонд за регионално развитие (включително Фонда за справедлив преход) и Кохезионния фонд за програмен период 2021-2027 г.</w:t>
      </w:r>
    </w:p>
    <w:p w14:paraId="20FC8974" w14:textId="77777777" w:rsidR="00B61699" w:rsidRPr="00563AB4" w:rsidRDefault="00B61699" w:rsidP="00B61699">
      <w:pPr>
        <w:ind w:firstLine="567"/>
        <w:jc w:val="both"/>
        <w:rPr>
          <w:bCs/>
        </w:rPr>
      </w:pPr>
      <w:r w:rsidRPr="00563AB4">
        <w:rPr>
          <w:bCs/>
        </w:rPr>
        <w:t>Получените средства (нето) от ЕК за периода са в размер на 675</w:t>
      </w:r>
      <w:r>
        <w:rPr>
          <w:bCs/>
        </w:rPr>
        <w:t>,</w:t>
      </w:r>
      <w:r w:rsidRPr="00563AB4">
        <w:rPr>
          <w:bCs/>
        </w:rPr>
        <w:t>6 млн. лв.</w:t>
      </w:r>
    </w:p>
    <w:p w14:paraId="1331DA8B" w14:textId="77777777" w:rsidR="00B61699" w:rsidRPr="00563AB4" w:rsidRDefault="00B61699" w:rsidP="00B61699">
      <w:pPr>
        <w:jc w:val="both"/>
        <w:rPr>
          <w:bCs/>
        </w:rPr>
      </w:pPr>
    </w:p>
    <w:p w14:paraId="7A99D132" w14:textId="77777777" w:rsidR="00B61699" w:rsidRPr="007D7018" w:rsidRDefault="00B61699" w:rsidP="00B61699">
      <w:pPr>
        <w:ind w:firstLine="567"/>
        <w:jc w:val="both"/>
        <w:rPr>
          <w:bCs/>
        </w:rPr>
      </w:pPr>
      <w:r w:rsidRPr="00563AB4">
        <w:rPr>
          <w:bCs/>
        </w:rPr>
        <w:t xml:space="preserve">Направените разходи (нето) </w:t>
      </w:r>
      <w:r w:rsidRPr="007D7018">
        <w:rPr>
          <w:bCs/>
        </w:rPr>
        <w:t xml:space="preserve">за периода са в размер на </w:t>
      </w:r>
      <w:r>
        <w:rPr>
          <w:bCs/>
        </w:rPr>
        <w:t>312,7</w:t>
      </w:r>
      <w:r w:rsidRPr="007D7018">
        <w:rPr>
          <w:bCs/>
        </w:rPr>
        <w:t xml:space="preserve"> млн. лв. и са разпределени както следва:</w:t>
      </w:r>
    </w:p>
    <w:p w14:paraId="79FB6F09" w14:textId="77777777" w:rsidR="00B61699" w:rsidRPr="007D7018" w:rsidRDefault="00B61699" w:rsidP="00B61699">
      <w:pPr>
        <w:numPr>
          <w:ilvl w:val="0"/>
          <w:numId w:val="16"/>
        </w:numPr>
        <w:tabs>
          <w:tab w:val="clear" w:pos="1101"/>
          <w:tab w:val="num" w:pos="786"/>
        </w:tabs>
        <w:ind w:left="786"/>
        <w:jc w:val="both"/>
        <w:rPr>
          <w:bCs/>
        </w:rPr>
      </w:pPr>
      <w:r w:rsidRPr="007D7018">
        <w:rPr>
          <w:bCs/>
        </w:rPr>
        <w:t>Програма „Развитие на човешките ресурси” 2021-2027 г. – 72</w:t>
      </w:r>
      <w:r>
        <w:rPr>
          <w:bCs/>
        </w:rPr>
        <w:t>,</w:t>
      </w:r>
      <w:r w:rsidRPr="007D7018">
        <w:rPr>
          <w:bCs/>
        </w:rPr>
        <w:t xml:space="preserve">1 млн. лв.;  </w:t>
      </w:r>
    </w:p>
    <w:p w14:paraId="3DDFA07C" w14:textId="77777777" w:rsidR="00B61699" w:rsidRPr="00251A60" w:rsidRDefault="00B61699" w:rsidP="00B61699">
      <w:pPr>
        <w:numPr>
          <w:ilvl w:val="0"/>
          <w:numId w:val="16"/>
        </w:numPr>
        <w:tabs>
          <w:tab w:val="clear" w:pos="1101"/>
          <w:tab w:val="num" w:pos="786"/>
        </w:tabs>
        <w:ind w:left="786"/>
        <w:jc w:val="both"/>
        <w:rPr>
          <w:bCs/>
        </w:rPr>
      </w:pPr>
      <w:r w:rsidRPr="00251A60">
        <w:rPr>
          <w:bCs/>
        </w:rPr>
        <w:t>Програма „Храни и основно материално подпомагане” 2021-2027 г. – 60</w:t>
      </w:r>
      <w:r>
        <w:rPr>
          <w:bCs/>
        </w:rPr>
        <w:t>,</w:t>
      </w:r>
      <w:r w:rsidRPr="00251A60">
        <w:rPr>
          <w:bCs/>
        </w:rPr>
        <w:t>9 млн. лв.;</w:t>
      </w:r>
    </w:p>
    <w:p w14:paraId="471C8465" w14:textId="77777777" w:rsidR="00B61699" w:rsidRPr="00251A60" w:rsidRDefault="00B61699" w:rsidP="00B61699">
      <w:pPr>
        <w:numPr>
          <w:ilvl w:val="0"/>
          <w:numId w:val="16"/>
        </w:numPr>
        <w:tabs>
          <w:tab w:val="clear" w:pos="1101"/>
          <w:tab w:val="num" w:pos="786"/>
        </w:tabs>
        <w:ind w:left="786"/>
        <w:jc w:val="both"/>
        <w:rPr>
          <w:bCs/>
        </w:rPr>
      </w:pPr>
      <w:r w:rsidRPr="00251A60">
        <w:rPr>
          <w:bCs/>
        </w:rPr>
        <w:t>Програма „Образование” 2021-2027 г. – 23</w:t>
      </w:r>
      <w:r>
        <w:rPr>
          <w:bCs/>
        </w:rPr>
        <w:t>,</w:t>
      </w:r>
      <w:r w:rsidRPr="00251A60">
        <w:rPr>
          <w:bCs/>
        </w:rPr>
        <w:t>8 млн. лв.;</w:t>
      </w:r>
    </w:p>
    <w:p w14:paraId="2C0FFE3E" w14:textId="77777777" w:rsidR="00B61699" w:rsidRPr="00451CB3" w:rsidRDefault="00B61699" w:rsidP="00B61699">
      <w:pPr>
        <w:numPr>
          <w:ilvl w:val="0"/>
          <w:numId w:val="16"/>
        </w:numPr>
        <w:tabs>
          <w:tab w:val="clear" w:pos="1101"/>
          <w:tab w:val="num" w:pos="786"/>
        </w:tabs>
        <w:ind w:left="786"/>
        <w:jc w:val="both"/>
        <w:rPr>
          <w:bCs/>
        </w:rPr>
      </w:pPr>
      <w:r w:rsidRPr="00451CB3">
        <w:rPr>
          <w:bCs/>
        </w:rPr>
        <w:t>Програма „Околна среда“ 2021-2027 г. – 87</w:t>
      </w:r>
      <w:r>
        <w:rPr>
          <w:bCs/>
        </w:rPr>
        <w:t>,</w:t>
      </w:r>
      <w:r w:rsidRPr="00451CB3">
        <w:rPr>
          <w:bCs/>
        </w:rPr>
        <w:t>8 млн. лв.;</w:t>
      </w:r>
    </w:p>
    <w:p w14:paraId="7C996B68" w14:textId="77777777" w:rsidR="00B61699" w:rsidRPr="00451CB3" w:rsidRDefault="00B61699" w:rsidP="00B61699">
      <w:pPr>
        <w:numPr>
          <w:ilvl w:val="0"/>
          <w:numId w:val="16"/>
        </w:numPr>
        <w:tabs>
          <w:tab w:val="clear" w:pos="1101"/>
          <w:tab w:val="num" w:pos="786"/>
        </w:tabs>
        <w:ind w:left="786"/>
        <w:jc w:val="both"/>
        <w:rPr>
          <w:bCs/>
        </w:rPr>
      </w:pPr>
      <w:r w:rsidRPr="00451CB3">
        <w:rPr>
          <w:bCs/>
        </w:rPr>
        <w:t>Програма „Техническа помощ“ – 5</w:t>
      </w:r>
      <w:r>
        <w:rPr>
          <w:bCs/>
        </w:rPr>
        <w:t>,</w:t>
      </w:r>
      <w:r w:rsidRPr="00451CB3">
        <w:rPr>
          <w:bCs/>
        </w:rPr>
        <w:t>8 млн. лв.;</w:t>
      </w:r>
    </w:p>
    <w:p w14:paraId="24BA81A6" w14:textId="41FA3D74" w:rsidR="00B61699" w:rsidRPr="00451CB3" w:rsidRDefault="00B61699" w:rsidP="00B61699">
      <w:pPr>
        <w:numPr>
          <w:ilvl w:val="0"/>
          <w:numId w:val="16"/>
        </w:numPr>
        <w:tabs>
          <w:tab w:val="clear" w:pos="1101"/>
          <w:tab w:val="num" w:pos="786"/>
        </w:tabs>
        <w:ind w:left="786"/>
        <w:jc w:val="both"/>
        <w:rPr>
          <w:bCs/>
        </w:rPr>
      </w:pPr>
      <w:r w:rsidRPr="00451CB3">
        <w:rPr>
          <w:bCs/>
        </w:rPr>
        <w:t>Програма „Конкурентоспособност и иновации в предприятията“ 2021</w:t>
      </w:r>
      <w:r>
        <w:rPr>
          <w:bCs/>
        </w:rPr>
        <w:t>-</w:t>
      </w:r>
      <w:r w:rsidRPr="00451CB3">
        <w:rPr>
          <w:bCs/>
        </w:rPr>
        <w:t>2027 г. – 10</w:t>
      </w:r>
      <w:r>
        <w:rPr>
          <w:bCs/>
        </w:rPr>
        <w:t>,</w:t>
      </w:r>
      <w:r w:rsidRPr="00451CB3">
        <w:rPr>
          <w:bCs/>
        </w:rPr>
        <w:t>4</w:t>
      </w:r>
      <w:r w:rsidR="00195E2D">
        <w:rPr>
          <w:bCs/>
        </w:rPr>
        <w:t> </w:t>
      </w:r>
      <w:r w:rsidRPr="00451CB3">
        <w:rPr>
          <w:bCs/>
        </w:rPr>
        <w:t>млн.</w:t>
      </w:r>
      <w:r>
        <w:rPr>
          <w:bCs/>
        </w:rPr>
        <w:t> </w:t>
      </w:r>
      <w:r w:rsidRPr="00451CB3">
        <w:rPr>
          <w:bCs/>
        </w:rPr>
        <w:t>лв.;</w:t>
      </w:r>
    </w:p>
    <w:p w14:paraId="220C835D" w14:textId="77777777" w:rsidR="00B61699" w:rsidRPr="00451CB3" w:rsidRDefault="00B61699" w:rsidP="00B61699">
      <w:pPr>
        <w:numPr>
          <w:ilvl w:val="0"/>
          <w:numId w:val="16"/>
        </w:numPr>
        <w:tabs>
          <w:tab w:val="clear" w:pos="1101"/>
          <w:tab w:val="num" w:pos="786"/>
        </w:tabs>
        <w:ind w:left="786"/>
        <w:jc w:val="both"/>
        <w:rPr>
          <w:bCs/>
        </w:rPr>
      </w:pPr>
      <w:r w:rsidRPr="00451CB3">
        <w:rPr>
          <w:bCs/>
        </w:rPr>
        <w:t>Програма „Развитие на регионите“ 2021</w:t>
      </w:r>
      <w:r>
        <w:rPr>
          <w:bCs/>
        </w:rPr>
        <w:t>-</w:t>
      </w:r>
      <w:r w:rsidRPr="00451CB3">
        <w:rPr>
          <w:bCs/>
        </w:rPr>
        <w:t>2027 г. – 4</w:t>
      </w:r>
      <w:r>
        <w:rPr>
          <w:bCs/>
        </w:rPr>
        <w:t>,7 млн. лв.;</w:t>
      </w:r>
    </w:p>
    <w:p w14:paraId="55185A41" w14:textId="77777777" w:rsidR="00B61699" w:rsidRPr="002B7A23" w:rsidRDefault="00B61699" w:rsidP="00B61699">
      <w:pPr>
        <w:numPr>
          <w:ilvl w:val="0"/>
          <w:numId w:val="16"/>
        </w:numPr>
        <w:tabs>
          <w:tab w:val="clear" w:pos="1101"/>
          <w:tab w:val="num" w:pos="786"/>
        </w:tabs>
        <w:ind w:left="786"/>
        <w:jc w:val="both"/>
        <w:rPr>
          <w:bCs/>
        </w:rPr>
      </w:pPr>
      <w:r w:rsidRPr="002B7A23">
        <w:rPr>
          <w:bCs/>
        </w:rPr>
        <w:t>Програма „Научни изследвания, иновации и дигитализация за интелигентна трансформация“ 2021</w:t>
      </w:r>
      <w:r>
        <w:rPr>
          <w:bCs/>
        </w:rPr>
        <w:t>-</w:t>
      </w:r>
      <w:r w:rsidRPr="002B7A23">
        <w:rPr>
          <w:bCs/>
        </w:rPr>
        <w:t>2027 г. – 9</w:t>
      </w:r>
      <w:r>
        <w:rPr>
          <w:bCs/>
        </w:rPr>
        <w:t>,</w:t>
      </w:r>
      <w:r w:rsidRPr="002B7A23">
        <w:rPr>
          <w:bCs/>
        </w:rPr>
        <w:t>4 млн. лв. и</w:t>
      </w:r>
    </w:p>
    <w:p w14:paraId="224B56CB" w14:textId="77777777" w:rsidR="00B61699" w:rsidRPr="002B7A23" w:rsidRDefault="00B61699" w:rsidP="00B61699">
      <w:pPr>
        <w:numPr>
          <w:ilvl w:val="0"/>
          <w:numId w:val="16"/>
        </w:numPr>
        <w:tabs>
          <w:tab w:val="clear" w:pos="1101"/>
          <w:tab w:val="num" w:pos="786"/>
        </w:tabs>
        <w:ind w:left="786"/>
        <w:jc w:val="both"/>
        <w:rPr>
          <w:bCs/>
        </w:rPr>
      </w:pPr>
      <w:r w:rsidRPr="002B7A23">
        <w:rPr>
          <w:bCs/>
        </w:rPr>
        <w:t>Програма „Транспортна свързаност“ – 37</w:t>
      </w:r>
      <w:r>
        <w:rPr>
          <w:bCs/>
        </w:rPr>
        <w:t>,8</w:t>
      </w:r>
      <w:r w:rsidRPr="002B7A23">
        <w:rPr>
          <w:bCs/>
        </w:rPr>
        <w:t xml:space="preserve"> млн. лв.</w:t>
      </w:r>
    </w:p>
    <w:p w14:paraId="3F4D61CB" w14:textId="77777777" w:rsidR="00B61699" w:rsidRPr="00150041" w:rsidRDefault="00B61699" w:rsidP="00B61699">
      <w:pPr>
        <w:spacing w:before="120"/>
        <w:ind w:firstLine="686"/>
        <w:jc w:val="both"/>
        <w:rPr>
          <w:b/>
          <w:bCs/>
        </w:rPr>
      </w:pPr>
      <w:r w:rsidRPr="00150041">
        <w:rPr>
          <w:b/>
          <w:bCs/>
        </w:rPr>
        <w:t>Национален план за възстановяване и устойчивост (НПВУ)</w:t>
      </w:r>
    </w:p>
    <w:p w14:paraId="16AD7D7E" w14:textId="77777777" w:rsidR="00B61699" w:rsidRPr="00150041" w:rsidRDefault="00B61699" w:rsidP="00B61699">
      <w:pPr>
        <w:ind w:firstLine="567"/>
        <w:jc w:val="both"/>
        <w:rPr>
          <w:bCs/>
        </w:rPr>
      </w:pPr>
      <w:r w:rsidRPr="00150041">
        <w:rPr>
          <w:bCs/>
        </w:rPr>
        <w:t>През отчетния период чрез НПВУ бяха извършени разходи и трансфери (нето)</w:t>
      </w:r>
      <w:r w:rsidRPr="00DA63E5">
        <w:rPr>
          <w:bCs/>
          <w:lang w:val="ru-RU"/>
        </w:rPr>
        <w:t xml:space="preserve"> </w:t>
      </w:r>
      <w:r w:rsidRPr="00150041">
        <w:rPr>
          <w:bCs/>
        </w:rPr>
        <w:t xml:space="preserve">в размер на </w:t>
      </w:r>
      <w:r w:rsidRPr="00DA63E5">
        <w:rPr>
          <w:bCs/>
          <w:lang w:val="ru-RU"/>
        </w:rPr>
        <w:t>290</w:t>
      </w:r>
      <w:r>
        <w:rPr>
          <w:bCs/>
          <w:lang w:val="ru-RU"/>
        </w:rPr>
        <w:t>,</w:t>
      </w:r>
      <w:r w:rsidRPr="00DA63E5">
        <w:rPr>
          <w:bCs/>
          <w:lang w:val="ru-RU"/>
        </w:rPr>
        <w:t>0</w:t>
      </w:r>
      <w:r w:rsidRPr="00150041">
        <w:rPr>
          <w:bCs/>
        </w:rPr>
        <w:t xml:space="preserve"> млн. лева.</w:t>
      </w:r>
    </w:p>
    <w:p w14:paraId="18B40EF6" w14:textId="77777777" w:rsidR="00B61699" w:rsidRPr="00150041" w:rsidRDefault="00B61699" w:rsidP="00B61699">
      <w:pPr>
        <w:spacing w:before="120"/>
        <w:ind w:firstLine="686"/>
        <w:jc w:val="both"/>
        <w:rPr>
          <w:b/>
          <w:bCs/>
        </w:rPr>
      </w:pPr>
      <w:r w:rsidRPr="00150041">
        <w:rPr>
          <w:b/>
          <w:bCs/>
        </w:rPr>
        <w:t>Двустранни програми за трансгранично сътрудничество по външните граници на Европейския съюз 2007 – 2013 г., 2014 – 2020 г. и 2021 – 2027 г.</w:t>
      </w:r>
    </w:p>
    <w:p w14:paraId="4EAEB215" w14:textId="77777777" w:rsidR="00B61699" w:rsidRPr="00150041" w:rsidRDefault="00B61699" w:rsidP="00B61699">
      <w:pPr>
        <w:ind w:firstLine="567"/>
        <w:jc w:val="both"/>
        <w:rPr>
          <w:bCs/>
        </w:rPr>
      </w:pPr>
      <w:r w:rsidRPr="00150041">
        <w:rPr>
          <w:bCs/>
        </w:rPr>
        <w:t>Получените средства към 30.</w:t>
      </w:r>
      <w:r w:rsidRPr="00DA63E5">
        <w:rPr>
          <w:bCs/>
          <w:lang w:val="ru-RU"/>
        </w:rPr>
        <w:t>0</w:t>
      </w:r>
      <w:r w:rsidRPr="00150041">
        <w:rPr>
          <w:bCs/>
        </w:rPr>
        <w:t>6.202</w:t>
      </w:r>
      <w:r w:rsidRPr="00DA63E5">
        <w:rPr>
          <w:bCs/>
          <w:lang w:val="ru-RU"/>
        </w:rPr>
        <w:t>4</w:t>
      </w:r>
      <w:r w:rsidRPr="00150041">
        <w:rPr>
          <w:bCs/>
        </w:rPr>
        <w:t xml:space="preserve"> г. са на стойност </w:t>
      </w:r>
      <w:r w:rsidRPr="00DA63E5">
        <w:rPr>
          <w:bCs/>
          <w:lang w:val="ru-RU"/>
        </w:rPr>
        <w:t>0</w:t>
      </w:r>
      <w:r>
        <w:rPr>
          <w:bCs/>
          <w:lang w:val="ru-RU"/>
        </w:rPr>
        <w:t>,</w:t>
      </w:r>
      <w:r w:rsidRPr="00DA63E5">
        <w:rPr>
          <w:bCs/>
          <w:lang w:val="ru-RU"/>
        </w:rPr>
        <w:t>1</w:t>
      </w:r>
      <w:r w:rsidRPr="00150041">
        <w:rPr>
          <w:bCs/>
        </w:rPr>
        <w:t xml:space="preserve"> млн. лв., представляващи постъпили средства за съфинансиране от страните-партньори, както разпределени към администратори в чужбина за сметка на средствата, получени от страната-партньор.</w:t>
      </w:r>
    </w:p>
    <w:p w14:paraId="1EF2AABE" w14:textId="77777777" w:rsidR="00B61699" w:rsidRPr="008E0971" w:rsidRDefault="00B61699" w:rsidP="00B61699">
      <w:pPr>
        <w:jc w:val="both"/>
        <w:rPr>
          <w:b/>
          <w:bCs/>
          <w:color w:val="365F91" w:themeColor="accent1" w:themeShade="BF"/>
        </w:rPr>
      </w:pPr>
      <w:r w:rsidRPr="00150041">
        <w:rPr>
          <w:bCs/>
        </w:rPr>
        <w:t xml:space="preserve">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w:t>
      </w:r>
      <w:r w:rsidRPr="00DA63E5">
        <w:rPr>
          <w:bCs/>
          <w:lang w:val="ru-RU"/>
        </w:rPr>
        <w:t>8</w:t>
      </w:r>
      <w:r>
        <w:rPr>
          <w:bCs/>
          <w:lang w:val="ru-RU"/>
        </w:rPr>
        <w:t>,</w:t>
      </w:r>
      <w:r w:rsidRPr="00DA63E5">
        <w:rPr>
          <w:bCs/>
          <w:lang w:val="ru-RU"/>
        </w:rPr>
        <w:t>2</w:t>
      </w:r>
      <w:r w:rsidRPr="00150041">
        <w:rPr>
          <w:bCs/>
        </w:rPr>
        <w:t xml:space="preserve"> млн. лв., включително за плащания към бенефициенти в страната, извършени за сметка на полученото финансиране от страната-партньор по тези програми.</w:t>
      </w:r>
      <w:r w:rsidRPr="008E0971">
        <w:rPr>
          <w:bCs/>
          <w:color w:val="365F91" w:themeColor="accent1" w:themeShade="BF"/>
        </w:rPr>
        <w:t xml:space="preserve"> </w:t>
      </w:r>
    </w:p>
    <w:p w14:paraId="5E8D1011" w14:textId="77777777" w:rsidR="00B61699" w:rsidRPr="00E61892" w:rsidRDefault="00B61699" w:rsidP="00B61699">
      <w:pPr>
        <w:spacing w:before="120"/>
        <w:ind w:firstLine="567"/>
        <w:jc w:val="both"/>
        <w:rPr>
          <w:b/>
          <w:bCs/>
        </w:rPr>
      </w:pPr>
      <w:r w:rsidRPr="00E61892">
        <w:rPr>
          <w:b/>
          <w:bCs/>
        </w:rPr>
        <w:t>Финансов механизъм на Европейското икономическо пространство и Норвежки финансов механизъм за периода 2009-2014 г. и 2014-2021 г.</w:t>
      </w:r>
    </w:p>
    <w:p w14:paraId="64AE3C3B" w14:textId="77777777" w:rsidR="00B61699" w:rsidRPr="00E61892" w:rsidRDefault="00B61699" w:rsidP="00B61699">
      <w:pPr>
        <w:ind w:firstLine="567"/>
        <w:jc w:val="both"/>
        <w:rPr>
          <w:b/>
          <w:bCs/>
        </w:rPr>
      </w:pPr>
      <w:r w:rsidRPr="00E61892">
        <w:rPr>
          <w:bCs/>
        </w:rPr>
        <w:t>Получените средства към 30.</w:t>
      </w:r>
      <w:r w:rsidRPr="00DA63E5">
        <w:rPr>
          <w:bCs/>
          <w:lang w:val="ru-RU"/>
        </w:rPr>
        <w:t>0</w:t>
      </w:r>
      <w:r w:rsidRPr="00E61892">
        <w:rPr>
          <w:bCs/>
        </w:rPr>
        <w:t>6.202</w:t>
      </w:r>
      <w:r w:rsidRPr="00DA63E5">
        <w:rPr>
          <w:bCs/>
          <w:lang w:val="ru-RU"/>
        </w:rPr>
        <w:t>4</w:t>
      </w:r>
      <w:r w:rsidRPr="00E61892">
        <w:rPr>
          <w:bCs/>
        </w:rPr>
        <w:t xml:space="preserve"> г. са в размер на 15</w:t>
      </w:r>
      <w:r>
        <w:rPr>
          <w:bCs/>
        </w:rPr>
        <w:t>,</w:t>
      </w:r>
      <w:r w:rsidRPr="00E61892">
        <w:rPr>
          <w:bCs/>
        </w:rPr>
        <w:t>5 млн. лв.</w:t>
      </w:r>
    </w:p>
    <w:p w14:paraId="0B499E65" w14:textId="77777777" w:rsidR="00B61699" w:rsidRPr="00E61892" w:rsidRDefault="00B61699" w:rsidP="00B61699">
      <w:pPr>
        <w:ind w:firstLine="567"/>
        <w:jc w:val="both"/>
        <w:rPr>
          <w:b/>
          <w:bCs/>
        </w:rPr>
      </w:pPr>
      <w:r w:rsidRPr="00E61892">
        <w:rPr>
          <w:bCs/>
        </w:rPr>
        <w:t>Сумата на разходите и трансферите (нето) за периода са на обща стойност 32</w:t>
      </w:r>
      <w:r>
        <w:rPr>
          <w:bCs/>
        </w:rPr>
        <w:t>,</w:t>
      </w:r>
      <w:r w:rsidRPr="00DA63E5">
        <w:rPr>
          <w:bCs/>
          <w:lang w:val="ru-RU"/>
        </w:rPr>
        <w:t>2</w:t>
      </w:r>
      <w:r w:rsidRPr="00E61892">
        <w:rPr>
          <w:bCs/>
        </w:rPr>
        <w:t xml:space="preserve"> млн. лева.</w:t>
      </w:r>
      <w:r w:rsidRPr="00E61892">
        <w:rPr>
          <w:b/>
          <w:bCs/>
        </w:rPr>
        <w:t xml:space="preserve"> </w:t>
      </w:r>
    </w:p>
    <w:p w14:paraId="224E3EF1" w14:textId="77777777" w:rsidR="00B61699" w:rsidRPr="00E61892" w:rsidRDefault="00B61699" w:rsidP="00B61699">
      <w:pPr>
        <w:spacing w:before="120"/>
        <w:ind w:firstLine="567"/>
        <w:jc w:val="both"/>
        <w:rPr>
          <w:b/>
          <w:bCs/>
        </w:rPr>
      </w:pPr>
      <w:r w:rsidRPr="00E61892">
        <w:rPr>
          <w:b/>
          <w:bCs/>
        </w:rPr>
        <w:t xml:space="preserve">Резерва за приспособяване във връзка с последиците от </w:t>
      </w:r>
      <w:proofErr w:type="spellStart"/>
      <w:r w:rsidRPr="00E61892">
        <w:rPr>
          <w:b/>
          <w:bCs/>
        </w:rPr>
        <w:t>Брексит</w:t>
      </w:r>
      <w:proofErr w:type="spellEnd"/>
    </w:p>
    <w:p w14:paraId="2ED16A82" w14:textId="77777777" w:rsidR="00B61699" w:rsidRPr="00E61892" w:rsidRDefault="00B61699" w:rsidP="00B61699">
      <w:pPr>
        <w:ind w:firstLine="567"/>
        <w:jc w:val="both"/>
        <w:rPr>
          <w:bCs/>
        </w:rPr>
      </w:pPr>
      <w:r w:rsidRPr="00E61892">
        <w:rPr>
          <w:bCs/>
        </w:rPr>
        <w:t>Сумата на разходите и трансферите (нето) за периода са на обща стойност 1</w:t>
      </w:r>
      <w:r>
        <w:rPr>
          <w:bCs/>
        </w:rPr>
        <w:t>,</w:t>
      </w:r>
      <w:r w:rsidRPr="00DA63E5">
        <w:rPr>
          <w:bCs/>
          <w:lang w:val="ru-RU"/>
        </w:rPr>
        <w:t>7</w:t>
      </w:r>
      <w:r w:rsidRPr="00E61892">
        <w:rPr>
          <w:bCs/>
        </w:rPr>
        <w:t xml:space="preserve"> млн. лева.</w:t>
      </w:r>
    </w:p>
    <w:p w14:paraId="32EFD797" w14:textId="77777777" w:rsidR="00B61699" w:rsidRPr="00E61892" w:rsidRDefault="00B61699" w:rsidP="00B61699">
      <w:pPr>
        <w:spacing w:before="120"/>
        <w:ind w:firstLine="567"/>
        <w:jc w:val="both"/>
        <w:rPr>
          <w:b/>
          <w:bCs/>
        </w:rPr>
      </w:pPr>
      <w:r w:rsidRPr="00E61892">
        <w:rPr>
          <w:b/>
          <w:bCs/>
        </w:rPr>
        <w:t xml:space="preserve">Програма ФАР </w:t>
      </w:r>
    </w:p>
    <w:p w14:paraId="362E97F1" w14:textId="77777777" w:rsidR="00B61699" w:rsidRPr="00E61892" w:rsidRDefault="00B61699" w:rsidP="00B61699">
      <w:pPr>
        <w:ind w:firstLine="567"/>
        <w:jc w:val="both"/>
        <w:rPr>
          <w:bCs/>
        </w:rPr>
      </w:pPr>
      <w:r w:rsidRPr="00E61892">
        <w:rPr>
          <w:bCs/>
        </w:rPr>
        <w:t>През отчетния период са възстановени суми от бенефициенти на стойност 0</w:t>
      </w:r>
      <w:r>
        <w:rPr>
          <w:bCs/>
        </w:rPr>
        <w:t>,</w:t>
      </w:r>
      <w:r w:rsidRPr="00DA63E5">
        <w:rPr>
          <w:bCs/>
          <w:lang w:val="ru-RU"/>
        </w:rPr>
        <w:t>0</w:t>
      </w:r>
      <w:r w:rsidRPr="00E61892">
        <w:rPr>
          <w:bCs/>
        </w:rPr>
        <w:t xml:space="preserve">05 млн. лева. </w:t>
      </w:r>
    </w:p>
    <w:p w14:paraId="3487DB75" w14:textId="77777777" w:rsidR="00B61699" w:rsidRPr="002E0C4D" w:rsidRDefault="00B61699" w:rsidP="00B61699">
      <w:pPr>
        <w:spacing w:before="120"/>
        <w:ind w:firstLine="567"/>
        <w:jc w:val="both"/>
        <w:rPr>
          <w:b/>
          <w:bCs/>
        </w:rPr>
      </w:pPr>
      <w:r w:rsidRPr="002E0C4D">
        <w:rPr>
          <w:b/>
          <w:bCs/>
        </w:rPr>
        <w:t xml:space="preserve">Програма САПАРД </w:t>
      </w:r>
    </w:p>
    <w:p w14:paraId="5AFAE85A" w14:textId="77777777" w:rsidR="00B61699" w:rsidRPr="00FA5775" w:rsidRDefault="00B61699" w:rsidP="00B61699">
      <w:pPr>
        <w:pStyle w:val="BodyTextIndent"/>
        <w:ind w:left="0"/>
        <w:jc w:val="both"/>
        <w:rPr>
          <w:bCs/>
          <w:color w:val="0070C0"/>
          <w:lang w:val="ru-RU"/>
        </w:rPr>
      </w:pPr>
      <w:r w:rsidRPr="00FA5775">
        <w:rPr>
          <w:bCs/>
          <w:lang w:val="ru-RU"/>
        </w:rPr>
        <w:t>През периода са извършени възстановявания от бенефициенти по дългове на стойност 0,</w:t>
      </w:r>
      <w:r w:rsidRPr="00DA63E5">
        <w:rPr>
          <w:bCs/>
          <w:lang w:val="ru-RU"/>
        </w:rPr>
        <w:t>00</w:t>
      </w:r>
      <w:r w:rsidRPr="00FA5775">
        <w:rPr>
          <w:bCs/>
          <w:lang w:val="ru-RU"/>
        </w:rPr>
        <w:t>01 млн. лв.</w:t>
      </w:r>
    </w:p>
    <w:p w14:paraId="7D156F47" w14:textId="0AE2570A" w:rsidR="00D669CA" w:rsidRPr="005D4BE5" w:rsidRDefault="00D669CA" w:rsidP="00D669CA">
      <w:pPr>
        <w:pStyle w:val="Heading3"/>
        <w:numPr>
          <w:ilvl w:val="1"/>
          <w:numId w:val="24"/>
        </w:numPr>
        <w:ind w:left="0" w:firstLine="0"/>
        <w:rPr>
          <w:rFonts w:ascii="Times New Roman" w:hAnsi="Times New Roman"/>
          <w:color w:val="000000" w:themeColor="text1"/>
          <w:sz w:val="24"/>
        </w:rPr>
      </w:pPr>
      <w:bookmarkStart w:id="339" w:name="_Toc176351965"/>
      <w:r w:rsidRPr="005D4BE5">
        <w:rPr>
          <w:rFonts w:ascii="Times New Roman" w:hAnsi="Times New Roman"/>
          <w:color w:val="000000" w:themeColor="text1"/>
          <w:sz w:val="24"/>
        </w:rPr>
        <w:t>Сметки за средствата от Европейския съюз, администрирани от Разплащателната агенция към Държавен фонд “Земеделие”</w:t>
      </w:r>
      <w:bookmarkEnd w:id="333"/>
      <w:bookmarkEnd w:id="339"/>
    </w:p>
    <w:p w14:paraId="3A5AFBCB" w14:textId="77777777" w:rsidR="00D669CA" w:rsidRPr="00E56679" w:rsidRDefault="00D669CA" w:rsidP="00D669CA">
      <w:pPr>
        <w:pStyle w:val="Header"/>
        <w:tabs>
          <w:tab w:val="right" w:pos="0"/>
        </w:tabs>
        <w:rPr>
          <w:b/>
          <w:color w:val="0070C0"/>
          <w:sz w:val="12"/>
          <w:szCs w:val="12"/>
        </w:rPr>
      </w:pPr>
    </w:p>
    <w:p w14:paraId="4F7A5E1B" w14:textId="77777777" w:rsidR="00D669CA" w:rsidRPr="005D4BE5" w:rsidRDefault="00D669CA" w:rsidP="00D669CA">
      <w:pPr>
        <w:numPr>
          <w:ilvl w:val="0"/>
          <w:numId w:val="12"/>
        </w:numPr>
        <w:tabs>
          <w:tab w:val="right" w:pos="0"/>
          <w:tab w:val="num" w:pos="540"/>
          <w:tab w:val="left" w:pos="993"/>
          <w:tab w:val="left" w:pos="1276"/>
        </w:tabs>
        <w:spacing w:after="120"/>
        <w:ind w:left="0" w:firstLine="0"/>
        <w:jc w:val="both"/>
        <w:rPr>
          <w:b/>
          <w:color w:val="000000" w:themeColor="text1"/>
        </w:rPr>
      </w:pPr>
      <w:r w:rsidRPr="005D4BE5">
        <w:rPr>
          <w:b/>
          <w:color w:val="000000" w:themeColor="text1"/>
        </w:rPr>
        <w:t>Приходи, помощи и дарения</w:t>
      </w:r>
    </w:p>
    <w:p w14:paraId="139BD867" w14:textId="77777777" w:rsidR="00DC1A0F" w:rsidRPr="00954CED" w:rsidRDefault="00DC1A0F" w:rsidP="00DC1A0F">
      <w:pPr>
        <w:ind w:firstLine="567"/>
        <w:jc w:val="both"/>
      </w:pPr>
      <w:r w:rsidRPr="00954CED">
        <w:t>За 202</w:t>
      </w:r>
      <w:r w:rsidRPr="00954CED">
        <w:rPr>
          <w:lang w:val="ru-RU"/>
        </w:rPr>
        <w:t xml:space="preserve">4 </w:t>
      </w:r>
      <w:r w:rsidRPr="00954CED">
        <w:t xml:space="preserve">г. планираните приходи по утвърдените годишни разчети на сметката за средства от Европейския съюз на Разплащателната агенция към ДФ „Земеделие” са в размер на </w:t>
      </w:r>
      <w:r w:rsidRPr="00954CED">
        <w:rPr>
          <w:lang w:val="ru-RU"/>
        </w:rPr>
        <w:t>674</w:t>
      </w:r>
      <w:r w:rsidRPr="00954CED">
        <w:t>,7 млн. лева.</w:t>
      </w:r>
      <w:r w:rsidRPr="00954CED">
        <w:rPr>
          <w:lang w:val="ru-RU"/>
        </w:rPr>
        <w:t xml:space="preserve"> </w:t>
      </w:r>
      <w:r w:rsidRPr="00954CED">
        <w:t>Към 30.06.202</w:t>
      </w:r>
      <w:r w:rsidRPr="00954CED">
        <w:rPr>
          <w:lang w:val="ru-RU"/>
        </w:rPr>
        <w:t xml:space="preserve">4 </w:t>
      </w:r>
      <w:r w:rsidRPr="00954CED">
        <w:t>г. постъпленията са в размер на 341,6 млн. лв., което представлява 50,6 % от годишния план. За същия период на предходната година отчетената сума в частта „Приходи“ е 174,1 млн. лева.</w:t>
      </w:r>
    </w:p>
    <w:p w14:paraId="5CC9A349" w14:textId="77777777" w:rsidR="00DC1A0F" w:rsidRPr="00954CED" w:rsidRDefault="00DC1A0F" w:rsidP="00DC1A0F">
      <w:pPr>
        <w:tabs>
          <w:tab w:val="left" w:pos="709"/>
        </w:tabs>
        <w:ind w:firstLine="567"/>
        <w:jc w:val="both"/>
      </w:pPr>
      <w:r w:rsidRPr="00954CED">
        <w:tab/>
        <w:t>Приходната част е формирана от приходи от наказателни лихви, помощи и дарения от чужбина и коректив на касови постъпления, както следва:</w:t>
      </w:r>
    </w:p>
    <w:p w14:paraId="3E8A0661" w14:textId="77777777" w:rsidR="00DC1A0F" w:rsidRPr="00954CED" w:rsidRDefault="00DC1A0F" w:rsidP="00DC1A0F">
      <w:pPr>
        <w:numPr>
          <w:ilvl w:val="0"/>
          <w:numId w:val="25"/>
        </w:numPr>
        <w:tabs>
          <w:tab w:val="left" w:pos="993"/>
        </w:tabs>
        <w:spacing w:before="120" w:after="120"/>
        <w:ind w:left="1321" w:hanging="612"/>
        <w:jc w:val="both"/>
        <w:rPr>
          <w:b/>
          <w:i/>
        </w:rPr>
      </w:pPr>
      <w:r w:rsidRPr="00954CED">
        <w:rPr>
          <w:b/>
          <w:i/>
        </w:rPr>
        <w:t>Приходи от наказателни лихви</w:t>
      </w:r>
    </w:p>
    <w:p w14:paraId="50238F6E" w14:textId="77777777" w:rsidR="00DC1A0F" w:rsidRPr="00954CED" w:rsidRDefault="00DC1A0F" w:rsidP="00DC1A0F">
      <w:pPr>
        <w:ind w:firstLine="567"/>
        <w:jc w:val="both"/>
      </w:pPr>
      <w:r w:rsidRPr="00954CED">
        <w:t>Към края на първото полугодие на 202</w:t>
      </w:r>
      <w:r w:rsidRPr="00954CED">
        <w:rPr>
          <w:lang w:val="ru-RU"/>
        </w:rPr>
        <w:t xml:space="preserve">4 </w:t>
      </w:r>
      <w:r w:rsidRPr="00954CED">
        <w:t>г. са отчетени приходи от получени наказателни лихви, свързани с вземания за възстановяване на средства от ЕК в размер на 0,7 млн. лева.</w:t>
      </w:r>
    </w:p>
    <w:p w14:paraId="7F4240C7" w14:textId="77777777" w:rsidR="00DC1A0F" w:rsidRPr="00954CED" w:rsidRDefault="00DC1A0F" w:rsidP="00DC1A0F">
      <w:pPr>
        <w:numPr>
          <w:ilvl w:val="0"/>
          <w:numId w:val="25"/>
        </w:numPr>
        <w:tabs>
          <w:tab w:val="left" w:pos="993"/>
        </w:tabs>
        <w:spacing w:before="120" w:after="120"/>
        <w:ind w:left="1321" w:hanging="612"/>
        <w:jc w:val="both"/>
        <w:rPr>
          <w:b/>
          <w:i/>
        </w:rPr>
      </w:pPr>
      <w:r w:rsidRPr="00954CED">
        <w:rPr>
          <w:b/>
          <w:i/>
        </w:rPr>
        <w:t>Текущи помощи и дарения от Европейския съюз</w:t>
      </w:r>
    </w:p>
    <w:p w14:paraId="2BBC1FFC" w14:textId="77777777" w:rsidR="00DC1A0F" w:rsidRPr="00954CED" w:rsidRDefault="00DC1A0F" w:rsidP="00DC1A0F">
      <w:pPr>
        <w:ind w:firstLine="567"/>
        <w:jc w:val="both"/>
      </w:pPr>
      <w:r w:rsidRPr="00954CED">
        <w:t>Общият размер на получените приходи, отчетени в „Текущи помощи и дарения от Европейския съюз“ към 30.06.202</w:t>
      </w:r>
      <w:r w:rsidRPr="00954CED">
        <w:rPr>
          <w:lang w:val="ru-RU"/>
        </w:rPr>
        <w:t xml:space="preserve">4 </w:t>
      </w:r>
      <w:r w:rsidRPr="00954CED">
        <w:t>г. е 35,7 млн. лв., при планирани за годината средства в размер на 52,6 млн. лева.</w:t>
      </w:r>
    </w:p>
    <w:p w14:paraId="6B23CC9A" w14:textId="77777777" w:rsidR="00DC1A0F" w:rsidRPr="004E167D" w:rsidRDefault="00DC1A0F" w:rsidP="00DC1A0F">
      <w:pPr>
        <w:ind w:firstLine="567"/>
        <w:jc w:val="both"/>
      </w:pPr>
      <w:r w:rsidRPr="004E167D">
        <w:t>Получените текущи приходи от възстановяване на средства от Европейски земеделски фонд за развитие на селските райони (ЕЗФРСР) по линия на Програмата за развитие на селските райони (ПРСР) без директни плащания към 30.06.202</w:t>
      </w:r>
      <w:r w:rsidRPr="004E167D">
        <w:rPr>
          <w:lang w:val="ru-RU"/>
        </w:rPr>
        <w:t xml:space="preserve">4 </w:t>
      </w:r>
      <w:r w:rsidRPr="004E167D">
        <w:t>г. възлизат на 26,5 млн. лв., което е 91,1 % от планираните за годината 29,1 млн. лева. За същия период на миналата година отчетените текущи приходи са били в размер на 24,4 млн. лева.</w:t>
      </w:r>
    </w:p>
    <w:p w14:paraId="576D29C7" w14:textId="77777777" w:rsidR="00DC1A0F" w:rsidRPr="004E167D" w:rsidRDefault="00DC1A0F" w:rsidP="00DC1A0F">
      <w:pPr>
        <w:ind w:firstLine="567"/>
        <w:jc w:val="both"/>
      </w:pPr>
      <w:r w:rsidRPr="004E167D">
        <w:t>Получените текущи приходи от възстановяване на средства по линия на схемите „Училищен плод“ и „Училищно мляко“ от Европейски фонд за гарантиране на земеделието (ЕФГЗ) към 30.06.2024 г. са 3,4 млн. лв., което представлява 47,2</w:t>
      </w:r>
      <w:r w:rsidRPr="004E167D">
        <w:rPr>
          <w:lang w:val="ru-RU"/>
        </w:rPr>
        <w:t xml:space="preserve"> </w:t>
      </w:r>
      <w:r w:rsidRPr="004E167D">
        <w:t>% от планираните 7,2 млн. лв. за годината. За първото полугодие на 2023 г. по това направление са отчетени 3,5 млн. лева.</w:t>
      </w:r>
    </w:p>
    <w:p w14:paraId="11E89E9F" w14:textId="77777777" w:rsidR="00DC1A0F" w:rsidRPr="00CC53BA" w:rsidRDefault="00DC1A0F" w:rsidP="00DC1A0F">
      <w:pPr>
        <w:ind w:firstLine="567"/>
        <w:jc w:val="both"/>
      </w:pPr>
      <w:r w:rsidRPr="00CC53BA">
        <w:t xml:space="preserve">За периода 01.01-30.06.2024 г. са получени </w:t>
      </w:r>
      <w:r w:rsidRPr="00CC53BA">
        <w:rPr>
          <w:lang w:val="ru-RU"/>
        </w:rPr>
        <w:t>5</w:t>
      </w:r>
      <w:r w:rsidRPr="00CC53BA">
        <w:t>,</w:t>
      </w:r>
      <w:r w:rsidRPr="00CC53BA">
        <w:rPr>
          <w:lang w:val="ru-RU"/>
        </w:rPr>
        <w:t>8</w:t>
      </w:r>
      <w:r w:rsidRPr="00CC53BA">
        <w:t xml:space="preserve"> млн. лв. текущи приходи, възстановени средства от Европейския фонд за морско дело и рибарство (ЕФМДР), което представлява 35,6</w:t>
      </w:r>
      <w:r w:rsidRPr="00CC53BA">
        <w:rPr>
          <w:lang w:val="ru-RU"/>
        </w:rPr>
        <w:t> </w:t>
      </w:r>
      <w:r w:rsidRPr="00CC53BA">
        <w:t>% от годишния план в размер на 16,3 млн. лева. През същия период на миналата година са получени 2,1 млн. лв. текущи приходи.</w:t>
      </w:r>
    </w:p>
    <w:p w14:paraId="2419FFBF" w14:textId="77777777" w:rsidR="00DC1A0F" w:rsidRPr="001B78EC" w:rsidRDefault="00DC1A0F" w:rsidP="00DC1A0F">
      <w:pPr>
        <w:numPr>
          <w:ilvl w:val="0"/>
          <w:numId w:val="25"/>
        </w:numPr>
        <w:tabs>
          <w:tab w:val="left" w:pos="993"/>
        </w:tabs>
        <w:spacing w:before="120" w:after="120"/>
        <w:ind w:left="1321" w:hanging="612"/>
        <w:jc w:val="both"/>
        <w:rPr>
          <w:b/>
          <w:i/>
        </w:rPr>
      </w:pPr>
      <w:r w:rsidRPr="001B78EC">
        <w:rPr>
          <w:b/>
          <w:i/>
        </w:rPr>
        <w:t>Капиталови помощи и дарения от Европейския съюз</w:t>
      </w:r>
    </w:p>
    <w:p w14:paraId="14750EE4" w14:textId="77777777" w:rsidR="00DC1A0F" w:rsidRPr="001B78EC" w:rsidRDefault="00DC1A0F" w:rsidP="00DC1A0F">
      <w:pPr>
        <w:ind w:firstLine="567"/>
        <w:jc w:val="both"/>
      </w:pPr>
      <w:r w:rsidRPr="001B78EC">
        <w:t>Общият размер на получените приходи, отчетени в „Капиталови помощи и дарения от Европейския съюз“ към 30.06.2024 г. е 311,9 млн. лв. при планирани за годината 622,1 млн. лева.</w:t>
      </w:r>
    </w:p>
    <w:p w14:paraId="69C905C3" w14:textId="77777777" w:rsidR="00DC1A0F" w:rsidRPr="001B78EC" w:rsidRDefault="00DC1A0F" w:rsidP="00DC1A0F">
      <w:pPr>
        <w:ind w:firstLine="567"/>
        <w:jc w:val="both"/>
      </w:pPr>
      <w:r w:rsidRPr="001B78EC">
        <w:t>Получените капиталови приходи от ЕЗФРСР по линия на ПРСР без директни плащания към края на месец юни 2024 г. са 308,3 млн. лв., от които 27,6 млн. лв. са аванс по линия на Стратегическия План по ОСП 2023-2027.  Изпълнени са 50,8 % от годишния план, който е в размер на 606,6 млн. лева. За сравнение, за първото полугодие на предходната година, капиталовите приходи по ПРСР са били 144,9 млн. лева.</w:t>
      </w:r>
    </w:p>
    <w:p w14:paraId="5FEEE7E0" w14:textId="77777777" w:rsidR="00DC1A0F" w:rsidRPr="00596AC1" w:rsidRDefault="00DC1A0F" w:rsidP="00DC1A0F">
      <w:pPr>
        <w:ind w:firstLine="567"/>
        <w:jc w:val="both"/>
      </w:pPr>
      <w:r w:rsidRPr="00596AC1">
        <w:t>В периода 01.01-3</w:t>
      </w:r>
      <w:r w:rsidRPr="00596AC1">
        <w:rPr>
          <w:lang w:val="ru-RU"/>
        </w:rPr>
        <w:t>0</w:t>
      </w:r>
      <w:r w:rsidRPr="00596AC1">
        <w:t>.0</w:t>
      </w:r>
      <w:r w:rsidRPr="00596AC1">
        <w:rPr>
          <w:lang w:val="ru-RU"/>
        </w:rPr>
        <w:t>6</w:t>
      </w:r>
      <w:r w:rsidRPr="00596AC1">
        <w:t>.2024 г. са получени капиталови приходи в размер 3,</w:t>
      </w:r>
      <w:r w:rsidRPr="00596AC1">
        <w:rPr>
          <w:lang w:val="ru-RU"/>
        </w:rPr>
        <w:t>6</w:t>
      </w:r>
      <w:r w:rsidRPr="00596AC1">
        <w:t xml:space="preserve"> млн. лв. от фонд ЕФМДР. Степента на изпълнение спрямо годишния разчет от 15,5 млн. лв. е </w:t>
      </w:r>
      <w:r w:rsidRPr="00596AC1">
        <w:rPr>
          <w:lang w:val="ru-RU"/>
        </w:rPr>
        <w:t>23,</w:t>
      </w:r>
      <w:r w:rsidRPr="00596AC1">
        <w:t>2 %. За същия период на предходната година по това направление са отчетени 2,2 млн. лева.</w:t>
      </w:r>
      <w:r w:rsidRPr="00596AC1">
        <w:tab/>
      </w:r>
    </w:p>
    <w:p w14:paraId="6B4254A3" w14:textId="77777777" w:rsidR="00DC1A0F" w:rsidRPr="00596AC1" w:rsidRDefault="00DC1A0F" w:rsidP="00DC1A0F">
      <w:pPr>
        <w:numPr>
          <w:ilvl w:val="0"/>
          <w:numId w:val="25"/>
        </w:numPr>
        <w:tabs>
          <w:tab w:val="left" w:pos="993"/>
        </w:tabs>
        <w:spacing w:before="120" w:after="120"/>
        <w:ind w:left="1321" w:hanging="612"/>
        <w:jc w:val="both"/>
        <w:rPr>
          <w:b/>
          <w:i/>
        </w:rPr>
      </w:pPr>
      <w:r w:rsidRPr="00596AC1">
        <w:rPr>
          <w:b/>
          <w:i/>
        </w:rPr>
        <w:t xml:space="preserve">Коректив на касови постъпления </w:t>
      </w:r>
    </w:p>
    <w:p w14:paraId="6AB5F05E" w14:textId="77777777" w:rsidR="00DC1A0F" w:rsidRPr="00596AC1" w:rsidRDefault="00DC1A0F" w:rsidP="00DC1A0F">
      <w:pPr>
        <w:spacing w:before="120" w:after="120"/>
        <w:ind w:firstLine="567"/>
        <w:jc w:val="both"/>
        <w:rPr>
          <w:bCs/>
          <w:iCs/>
        </w:rPr>
      </w:pPr>
      <w:r w:rsidRPr="00596AC1">
        <w:rPr>
          <w:bCs/>
          <w:iCs/>
        </w:rPr>
        <w:t>Към 30.06.2024 г. отчетеният коректив на касови постъпления е минус 6,8 млн. лв. Той е формиран от размера на принудително събрани суми от НАП, за които не е извършен превод на средства по сметката на ДФЗ-РА.</w:t>
      </w:r>
    </w:p>
    <w:p w14:paraId="60D3296D" w14:textId="77777777" w:rsidR="00DC1A0F" w:rsidRPr="00596AC1" w:rsidRDefault="00DC1A0F" w:rsidP="00BB061E">
      <w:pPr>
        <w:numPr>
          <w:ilvl w:val="0"/>
          <w:numId w:val="40"/>
        </w:numPr>
        <w:spacing w:before="120" w:after="120" w:line="276" w:lineRule="auto"/>
        <w:ind w:left="777" w:hanging="357"/>
        <w:jc w:val="both"/>
        <w:rPr>
          <w:b/>
        </w:rPr>
      </w:pPr>
      <w:r w:rsidRPr="00596AC1">
        <w:rPr>
          <w:b/>
        </w:rPr>
        <w:t>Разходи</w:t>
      </w:r>
    </w:p>
    <w:p w14:paraId="1FE92E4A" w14:textId="77777777" w:rsidR="00DC1A0F" w:rsidRPr="002B188A" w:rsidRDefault="00DC1A0F" w:rsidP="00DC1A0F">
      <w:pPr>
        <w:ind w:firstLine="567"/>
        <w:jc w:val="both"/>
      </w:pPr>
      <w:r w:rsidRPr="002B188A">
        <w:t>Общият размер на планираните за 2024 г. разходи по утвърдените годишни разчети на сметката за средства от Европейския съюз на Разплащателната агенция към ДФ „Земеделие” е 971,2 млн. лева.</w:t>
      </w:r>
    </w:p>
    <w:p w14:paraId="4FA191BE" w14:textId="77777777" w:rsidR="00DC1A0F" w:rsidRPr="002B188A" w:rsidRDefault="00DC1A0F" w:rsidP="00DC1A0F">
      <w:pPr>
        <w:ind w:firstLine="567"/>
        <w:jc w:val="both"/>
        <w:rPr>
          <w:szCs w:val="20"/>
        </w:rPr>
      </w:pPr>
      <w:r w:rsidRPr="002B188A">
        <w:rPr>
          <w:szCs w:val="20"/>
        </w:rPr>
        <w:t>Уточненият план на субсидиите за текуща дейност и капиталовите трансфери за 2024 г. е 676,3 млн. лв. Изпълнението към 30.06.2024 г. възлиза на 40,0 % от годишния план при отчетени разходи в размер на 270,5 млн. лева.</w:t>
      </w:r>
    </w:p>
    <w:p w14:paraId="0460FD18" w14:textId="77777777" w:rsidR="00DC1A0F" w:rsidRPr="002B188A" w:rsidRDefault="00DC1A0F" w:rsidP="00DC1A0F">
      <w:pPr>
        <w:ind w:firstLine="567"/>
        <w:jc w:val="both"/>
        <w:rPr>
          <w:szCs w:val="20"/>
        </w:rPr>
      </w:pPr>
      <w:r w:rsidRPr="002B188A">
        <w:rPr>
          <w:szCs w:val="20"/>
        </w:rPr>
        <w:t>Останалите планирани разходи в размер на 294,9 млн. лв. са формирани от: разходи за заплати и възнаграждения на персонала 11,1 млн. лв., задължителни осигурителни вноски от работодатели 3,5 млн. лв., издръжка 27,3 млн. лв. и придобиване на ДМА 253,0 млн. лв. Те подлежат на отчитане в § 63-00 Трансфери между сметки за средствата от ЕС.</w:t>
      </w:r>
    </w:p>
    <w:p w14:paraId="17DA37BF" w14:textId="77777777" w:rsidR="00DC1A0F" w:rsidRPr="002B188A" w:rsidRDefault="00DC1A0F" w:rsidP="00DC1A0F">
      <w:pPr>
        <w:ind w:firstLine="709"/>
        <w:jc w:val="both"/>
      </w:pPr>
      <w:r w:rsidRPr="002B188A">
        <w:t>Изпълнението на отчетените разходи е както следва:</w:t>
      </w:r>
    </w:p>
    <w:p w14:paraId="29994C71" w14:textId="77777777" w:rsidR="00DC1A0F" w:rsidRPr="002B188A" w:rsidRDefault="00DC1A0F" w:rsidP="00DC1A0F">
      <w:pPr>
        <w:numPr>
          <w:ilvl w:val="0"/>
          <w:numId w:val="25"/>
        </w:numPr>
        <w:tabs>
          <w:tab w:val="left" w:pos="993"/>
        </w:tabs>
        <w:spacing w:before="120" w:after="120"/>
        <w:ind w:left="1134" w:hanging="425"/>
        <w:jc w:val="both"/>
        <w:rPr>
          <w:b/>
          <w:i/>
        </w:rPr>
      </w:pPr>
      <w:r w:rsidRPr="002B188A">
        <w:rPr>
          <w:b/>
          <w:i/>
        </w:rPr>
        <w:t>Субсидии и други текущи трансфери за нефинансови предприятия</w:t>
      </w:r>
    </w:p>
    <w:p w14:paraId="79164B69" w14:textId="77777777" w:rsidR="00DC1A0F" w:rsidRPr="00B83C7C" w:rsidRDefault="00DC1A0F" w:rsidP="00DC1A0F">
      <w:pPr>
        <w:ind w:firstLine="567"/>
        <w:contextualSpacing/>
        <w:jc w:val="both"/>
      </w:pPr>
      <w:r w:rsidRPr="00B83C7C">
        <w:t xml:space="preserve">За 2024 г. са планирани средства в размер на </w:t>
      </w:r>
      <w:r w:rsidRPr="00B83C7C">
        <w:rPr>
          <w:lang w:val="ru-RU"/>
        </w:rPr>
        <w:t>265</w:t>
      </w:r>
      <w:r w:rsidRPr="00B83C7C">
        <w:t>,</w:t>
      </w:r>
      <w:r w:rsidRPr="00B83C7C">
        <w:rPr>
          <w:lang w:val="ru-RU"/>
        </w:rPr>
        <w:t>0</w:t>
      </w:r>
      <w:r w:rsidRPr="00B83C7C">
        <w:t xml:space="preserve"> млн. лв. за субсидии и други текущи трансфери за нефинансови предприятия. Отчетените към 30.06.2024 г. средства представляват 55,9 % от планираните за годината и са в размер на 148,0 млн. лв. Към 30.06.2023 г. отчетените текущи субсидии са 76,9 млн. лв. </w:t>
      </w:r>
    </w:p>
    <w:p w14:paraId="6757FC78" w14:textId="77777777" w:rsidR="00DC1A0F" w:rsidRPr="00B83C7C" w:rsidRDefault="00DC1A0F" w:rsidP="00DC1A0F">
      <w:pPr>
        <w:ind w:firstLine="567"/>
        <w:contextualSpacing/>
        <w:jc w:val="both"/>
      </w:pPr>
      <w:r w:rsidRPr="00B83C7C">
        <w:t>Изпълнението по дейности е както следва:</w:t>
      </w:r>
    </w:p>
    <w:p w14:paraId="357D7537" w14:textId="77777777" w:rsidR="00DC1A0F" w:rsidRPr="00B83C7C" w:rsidRDefault="00DC1A0F" w:rsidP="00DC1A0F">
      <w:pPr>
        <w:ind w:firstLine="567"/>
        <w:contextualSpacing/>
        <w:jc w:val="both"/>
      </w:pPr>
      <w:r w:rsidRPr="00B83C7C">
        <w:t>- национално съфинансиране към ЕЗФРСР за директни плащания – 111,</w:t>
      </w:r>
      <w:r w:rsidRPr="00B83C7C">
        <w:rPr>
          <w:lang w:val="ru-RU"/>
        </w:rPr>
        <w:t>2</w:t>
      </w:r>
      <w:r w:rsidRPr="00B83C7C">
        <w:t xml:space="preserve"> млн.</w:t>
      </w:r>
      <w:r w:rsidRPr="00B83C7C">
        <w:rPr>
          <w:lang w:val="ru-RU"/>
        </w:rPr>
        <w:t xml:space="preserve"> </w:t>
      </w:r>
      <w:r w:rsidRPr="00B83C7C">
        <w:t xml:space="preserve">лв., изпълнение </w:t>
      </w:r>
      <w:r w:rsidRPr="00B83C7C">
        <w:rPr>
          <w:lang w:val="ru-RU"/>
        </w:rPr>
        <w:t xml:space="preserve">0,1 </w:t>
      </w:r>
      <w:r w:rsidRPr="00B83C7C">
        <w:t>% от планираните за годината 195,2 млн.</w:t>
      </w:r>
      <w:r w:rsidRPr="00B83C7C">
        <w:rPr>
          <w:lang w:val="ru-RU"/>
        </w:rPr>
        <w:t xml:space="preserve"> </w:t>
      </w:r>
      <w:r w:rsidRPr="00B83C7C">
        <w:t>лв.;</w:t>
      </w:r>
    </w:p>
    <w:p w14:paraId="29068EDB" w14:textId="77777777" w:rsidR="00DC1A0F" w:rsidRPr="00B83C7C" w:rsidRDefault="00DC1A0F" w:rsidP="00DC1A0F">
      <w:pPr>
        <w:ind w:firstLine="567"/>
        <w:contextualSpacing/>
        <w:jc w:val="both"/>
      </w:pPr>
      <w:r w:rsidRPr="00B83C7C">
        <w:t>- текущи субсидии по Програмата за морско дело и рибарство – 3,6 млн.</w:t>
      </w:r>
      <w:r w:rsidRPr="00B83C7C">
        <w:rPr>
          <w:lang w:val="ru-RU"/>
        </w:rPr>
        <w:t xml:space="preserve"> </w:t>
      </w:r>
      <w:r w:rsidRPr="00B83C7C">
        <w:t>лв., изпълнение 20,8</w:t>
      </w:r>
      <w:r w:rsidRPr="00B83C7C">
        <w:rPr>
          <w:lang w:val="ru-RU"/>
        </w:rPr>
        <w:t xml:space="preserve"> </w:t>
      </w:r>
      <w:r w:rsidRPr="00B83C7C">
        <w:t>% от планираните 17,3 млн. лв.;</w:t>
      </w:r>
    </w:p>
    <w:p w14:paraId="7BA33328" w14:textId="77777777" w:rsidR="00DC1A0F" w:rsidRPr="00B83C7C" w:rsidRDefault="00DC1A0F" w:rsidP="00DC1A0F">
      <w:pPr>
        <w:ind w:firstLine="567"/>
        <w:contextualSpacing/>
        <w:jc w:val="both"/>
      </w:pPr>
      <w:r w:rsidRPr="00B83C7C">
        <w:t>- текущи субсидии по Програмата за развитие на селските райони – 4,2 млн. лв., изпълнение от 7,6 % на планираните за годината 55,5 млн. лв.;</w:t>
      </w:r>
    </w:p>
    <w:p w14:paraId="3EEE904D" w14:textId="77777777" w:rsidR="00DC1A0F" w:rsidRPr="00B83C7C" w:rsidRDefault="00DC1A0F" w:rsidP="00DC1A0F">
      <w:pPr>
        <w:ind w:firstLine="567"/>
        <w:contextualSpacing/>
        <w:jc w:val="both"/>
      </w:pPr>
      <w:r w:rsidRPr="00B83C7C">
        <w:t xml:space="preserve">- текущи субсидии за пазарни мерки – 29,0 млн. лв., изпълнение от 58,1 % на планираните за 2024 г. 49,9 млн. лв. </w:t>
      </w:r>
    </w:p>
    <w:p w14:paraId="61229CBB" w14:textId="77777777" w:rsidR="00DC1A0F" w:rsidRPr="00B83C7C" w:rsidRDefault="00DC1A0F" w:rsidP="00DC1A0F">
      <w:pPr>
        <w:numPr>
          <w:ilvl w:val="0"/>
          <w:numId w:val="25"/>
        </w:numPr>
        <w:tabs>
          <w:tab w:val="left" w:pos="993"/>
        </w:tabs>
        <w:spacing w:before="120" w:after="120"/>
        <w:ind w:left="1321" w:hanging="612"/>
        <w:jc w:val="both"/>
        <w:rPr>
          <w:b/>
          <w:i/>
        </w:rPr>
      </w:pPr>
      <w:r w:rsidRPr="00B83C7C">
        <w:rPr>
          <w:b/>
          <w:i/>
        </w:rPr>
        <w:t>Субсидии и други текущи трансфери за юридически лица с нестопанска цел</w:t>
      </w:r>
    </w:p>
    <w:p w14:paraId="07E3AC12" w14:textId="7E3E85F7" w:rsidR="00DC1A0F" w:rsidRPr="00465250" w:rsidRDefault="00DC1A0F" w:rsidP="00DC1A0F">
      <w:pPr>
        <w:tabs>
          <w:tab w:val="left" w:pos="993"/>
        </w:tabs>
        <w:ind w:firstLine="567"/>
        <w:jc w:val="both"/>
      </w:pPr>
      <w:r w:rsidRPr="00465250">
        <w:t xml:space="preserve">За 2024 г. за субсидии и други текущи трансфери за юридически лица с нестопанска цел са планирани 21,0 млн. лева. Към края на първото полугодие на годината са отчетени разходи в размер на </w:t>
      </w:r>
      <w:r w:rsidRPr="00465250">
        <w:rPr>
          <w:lang w:val="ru-RU"/>
        </w:rPr>
        <w:t>8</w:t>
      </w:r>
      <w:r w:rsidRPr="00465250">
        <w:t>,7 млн. лв., степен на изпълнение – 41,4</w:t>
      </w:r>
      <w:r w:rsidRPr="00465250">
        <w:rPr>
          <w:lang w:val="ru-RU"/>
        </w:rPr>
        <w:t xml:space="preserve"> </w:t>
      </w:r>
      <w:r w:rsidRPr="00465250">
        <w:t>%. За същия период на предходната 2023</w:t>
      </w:r>
      <w:r w:rsidR="0078018D">
        <w:t> </w:t>
      </w:r>
      <w:r w:rsidRPr="00465250">
        <w:t>г. този вид разходи са възлизали на 9,0 млн. лв.</w:t>
      </w:r>
    </w:p>
    <w:p w14:paraId="444CE4DD" w14:textId="77777777" w:rsidR="00DC1A0F" w:rsidRDefault="00DC1A0F" w:rsidP="00DC1A0F">
      <w:pPr>
        <w:tabs>
          <w:tab w:val="left" w:pos="993"/>
        </w:tabs>
        <w:ind w:firstLine="567"/>
        <w:jc w:val="both"/>
      </w:pPr>
      <w:r w:rsidRPr="00465250">
        <w:t>Разпределението по дейности е както следва:</w:t>
      </w:r>
    </w:p>
    <w:p w14:paraId="54F4C036" w14:textId="77777777" w:rsidR="00DC1A0F" w:rsidRPr="00BA5505" w:rsidRDefault="00DC1A0F" w:rsidP="00DC1A0F">
      <w:pPr>
        <w:tabs>
          <w:tab w:val="left" w:pos="993"/>
        </w:tabs>
        <w:ind w:firstLine="567"/>
        <w:jc w:val="both"/>
      </w:pPr>
      <w:r w:rsidRPr="00B324C5">
        <w:t xml:space="preserve">-  </w:t>
      </w:r>
      <w:r w:rsidRPr="00BA5505">
        <w:t>текущи субсидии национално съфинансиране към директни плащания: 0,1 млн.</w:t>
      </w:r>
      <w:r w:rsidRPr="00B324C5">
        <w:t xml:space="preserve"> </w:t>
      </w:r>
      <w:r w:rsidRPr="00BA5505">
        <w:t>лв.</w:t>
      </w:r>
      <w:r w:rsidRPr="00B324C5">
        <w:t>;</w:t>
      </w:r>
    </w:p>
    <w:p w14:paraId="4C7EADDC" w14:textId="64BCF925" w:rsidR="00DC1A0F" w:rsidRPr="00B324C5" w:rsidRDefault="00DC1A0F" w:rsidP="00DC1A0F">
      <w:pPr>
        <w:tabs>
          <w:tab w:val="left" w:pos="993"/>
        </w:tabs>
        <w:ind w:firstLine="567"/>
        <w:jc w:val="both"/>
      </w:pPr>
      <w:r w:rsidRPr="00B324C5">
        <w:t>-  текущи субсидии по ПМДР – 2,4 млн. лв., възлизащи на 26,4 % от планираните 9,1</w:t>
      </w:r>
      <w:r w:rsidR="0078018D">
        <w:t> </w:t>
      </w:r>
      <w:r w:rsidRPr="00B324C5">
        <w:t>млн. лв.;</w:t>
      </w:r>
    </w:p>
    <w:p w14:paraId="32E0AD62" w14:textId="77777777" w:rsidR="00DC1A0F" w:rsidRPr="00B324C5" w:rsidRDefault="00DC1A0F" w:rsidP="00DC1A0F">
      <w:pPr>
        <w:tabs>
          <w:tab w:val="left" w:pos="993"/>
        </w:tabs>
        <w:ind w:firstLine="567"/>
        <w:jc w:val="both"/>
      </w:pPr>
      <w:r w:rsidRPr="00B324C5">
        <w:t>- текущи субсидии по Програмата за развитие на селските райони – 6,2 млн. лв., при планирани 11,9 млн. лв., степен на изпълнение 52,1 %;</w:t>
      </w:r>
    </w:p>
    <w:p w14:paraId="706867FC" w14:textId="77777777" w:rsidR="00DC1A0F" w:rsidRPr="00CA37E7" w:rsidRDefault="00DC1A0F" w:rsidP="00DC1A0F">
      <w:pPr>
        <w:numPr>
          <w:ilvl w:val="0"/>
          <w:numId w:val="25"/>
        </w:numPr>
        <w:tabs>
          <w:tab w:val="left" w:pos="993"/>
        </w:tabs>
        <w:spacing w:before="120" w:after="120"/>
        <w:ind w:left="1321" w:hanging="612"/>
        <w:jc w:val="both"/>
        <w:rPr>
          <w:b/>
          <w:i/>
        </w:rPr>
      </w:pPr>
      <w:r w:rsidRPr="00CA37E7">
        <w:rPr>
          <w:b/>
          <w:i/>
        </w:rPr>
        <w:t>Капиталови трансфери за нефинансови предприятия</w:t>
      </w:r>
    </w:p>
    <w:p w14:paraId="706A1126" w14:textId="5FE970D9" w:rsidR="00DC1A0F" w:rsidRPr="00CA37E7" w:rsidRDefault="00DC1A0F" w:rsidP="00DC1A0F">
      <w:pPr>
        <w:tabs>
          <w:tab w:val="left" w:pos="993"/>
        </w:tabs>
        <w:ind w:firstLine="567"/>
        <w:jc w:val="both"/>
      </w:pPr>
      <w:r w:rsidRPr="00CA37E7">
        <w:t>За 2024 г. за капиталови трансфери за нефинансови предприятия са планирани 376,2</w:t>
      </w:r>
      <w:r w:rsidR="0078018D">
        <w:t> </w:t>
      </w:r>
      <w:r w:rsidRPr="00CA37E7">
        <w:t>млн. лв. Към 30.06.2024 г. са отчетени 110,8 млн. лв., представляващи 29,5 % от годишния план. Отчетените за периода 01.01-30.06.2023 г. разходи за капиталови субсидии за физически лица и предприятия са били 61,5 млн. лв.</w:t>
      </w:r>
    </w:p>
    <w:p w14:paraId="3020E082" w14:textId="77777777" w:rsidR="00DC1A0F" w:rsidRPr="00CA37E7" w:rsidRDefault="00DC1A0F" w:rsidP="00DC1A0F">
      <w:pPr>
        <w:tabs>
          <w:tab w:val="left" w:pos="993"/>
        </w:tabs>
        <w:ind w:firstLine="567"/>
        <w:jc w:val="both"/>
      </w:pPr>
      <w:r w:rsidRPr="00CA37E7">
        <w:t>Разпределението по дейности е както следва:</w:t>
      </w:r>
    </w:p>
    <w:p w14:paraId="78519EE2" w14:textId="77777777" w:rsidR="00DC1A0F" w:rsidRPr="00CA37E7" w:rsidRDefault="00DC1A0F" w:rsidP="00DC1A0F">
      <w:pPr>
        <w:ind w:firstLine="567"/>
        <w:contextualSpacing/>
        <w:jc w:val="both"/>
      </w:pPr>
      <w:r w:rsidRPr="00CA37E7">
        <w:t>- капиталови трансфери по Програмата за морско дело и рибарство (ПМДР) – 4,2 млн. лв., 76,4 %  изпълнение на годишния план (5,5 млн. лв.);</w:t>
      </w:r>
    </w:p>
    <w:p w14:paraId="6E494520" w14:textId="77777777" w:rsidR="00DC1A0F" w:rsidRPr="00CA37E7" w:rsidRDefault="00DC1A0F" w:rsidP="00DC1A0F">
      <w:pPr>
        <w:ind w:firstLine="567"/>
        <w:contextualSpacing/>
        <w:jc w:val="both"/>
      </w:pPr>
      <w:r w:rsidRPr="00CA37E7">
        <w:t>- капиталови трансфери по ПРСР – 106,5 млн. лв., 28,9 % изпълнение на годишния план, възлизащ на 368,5 млн. лв.;</w:t>
      </w:r>
    </w:p>
    <w:p w14:paraId="0BEDD4BD" w14:textId="77777777" w:rsidR="00DC1A0F" w:rsidRPr="00CA37E7" w:rsidRDefault="00DC1A0F" w:rsidP="00DC1A0F">
      <w:pPr>
        <w:ind w:firstLine="567"/>
        <w:contextualSpacing/>
        <w:jc w:val="both"/>
      </w:pPr>
      <w:r w:rsidRPr="00CA37E7">
        <w:t>- капиталови трансфери за пазарни мерки – 0,1 млн. лв., при годишен разчет 2,2 млн. лв., изпълнение 4,5 %.</w:t>
      </w:r>
    </w:p>
    <w:p w14:paraId="3E0710BB" w14:textId="77777777" w:rsidR="00DC1A0F" w:rsidRPr="00CA37E7" w:rsidRDefault="00DC1A0F" w:rsidP="00DC1A0F">
      <w:pPr>
        <w:numPr>
          <w:ilvl w:val="0"/>
          <w:numId w:val="25"/>
        </w:numPr>
        <w:tabs>
          <w:tab w:val="left" w:pos="993"/>
        </w:tabs>
        <w:spacing w:before="120" w:after="120"/>
        <w:ind w:left="1321" w:hanging="612"/>
        <w:jc w:val="both"/>
        <w:rPr>
          <w:b/>
          <w:i/>
        </w:rPr>
      </w:pPr>
      <w:r w:rsidRPr="00CA37E7">
        <w:rPr>
          <w:b/>
          <w:i/>
        </w:rPr>
        <w:t>Капиталови трансфери за организации с нестопанска цел</w:t>
      </w:r>
    </w:p>
    <w:p w14:paraId="3019A702" w14:textId="5DE91ED2" w:rsidR="00DC1A0F" w:rsidRPr="00CA37E7" w:rsidRDefault="00DC1A0F" w:rsidP="00DC1A0F">
      <w:pPr>
        <w:ind w:firstLine="567"/>
        <w:jc w:val="both"/>
      </w:pPr>
      <w:r w:rsidRPr="00CA37E7">
        <w:t>Годишните разчети за капиталови трансфери за организации с нестопанска цел за 2024</w:t>
      </w:r>
      <w:r w:rsidR="0078018D">
        <w:t> </w:t>
      </w:r>
      <w:r w:rsidRPr="00CA37E7">
        <w:t>г. възлизат на 14,2 млн. лв. Към 30.06.2024 г. са отчетени 2,9 млн. лв., като степента на изпълнение е 20,4 %. През същия период на предходната година са отчетени 4,6 млн. лв.</w:t>
      </w:r>
    </w:p>
    <w:p w14:paraId="6328BFBB" w14:textId="77777777" w:rsidR="00DC1A0F" w:rsidRPr="005B6D3A" w:rsidRDefault="00DC1A0F" w:rsidP="00DC1A0F">
      <w:pPr>
        <w:tabs>
          <w:tab w:val="left" w:pos="993"/>
        </w:tabs>
        <w:ind w:firstLine="567"/>
        <w:jc w:val="both"/>
      </w:pPr>
      <w:r w:rsidRPr="005B6D3A">
        <w:t>Разпределението по дейности е както следва:</w:t>
      </w:r>
    </w:p>
    <w:p w14:paraId="2D505821" w14:textId="435C3BFA" w:rsidR="00DC1A0F" w:rsidRPr="005B6D3A" w:rsidRDefault="00DC1A0F" w:rsidP="00DC1A0F">
      <w:pPr>
        <w:ind w:firstLine="567"/>
        <w:contextualSpacing/>
        <w:jc w:val="both"/>
      </w:pPr>
      <w:r w:rsidRPr="005B6D3A">
        <w:t>- капиталови трансфери по ПМДР – няма усвоени средства, при годишен разчет 1,7</w:t>
      </w:r>
      <w:r w:rsidR="0078018D">
        <w:t> </w:t>
      </w:r>
      <w:r w:rsidRPr="005B6D3A">
        <w:t xml:space="preserve"> млн. лв.;</w:t>
      </w:r>
    </w:p>
    <w:p w14:paraId="7E51B2BD" w14:textId="77777777" w:rsidR="00DC1A0F" w:rsidRPr="005B6D3A" w:rsidRDefault="00DC1A0F" w:rsidP="00DC1A0F">
      <w:pPr>
        <w:ind w:firstLine="567"/>
        <w:contextualSpacing/>
        <w:jc w:val="both"/>
      </w:pPr>
      <w:r w:rsidRPr="005B6D3A">
        <w:t>- капиталови трансфери по ПРСР – 2,9 млн. лв., 23,3 % изпълнение на годишния план от 12,5</w:t>
      </w:r>
      <w:r>
        <w:t> </w:t>
      </w:r>
      <w:r w:rsidRPr="005B6D3A">
        <w:t>млн. лева.</w:t>
      </w:r>
    </w:p>
    <w:p w14:paraId="1F430B2D" w14:textId="77777777" w:rsidR="00DC1A0F" w:rsidRPr="00153C68" w:rsidRDefault="00DC1A0F" w:rsidP="00BB061E">
      <w:pPr>
        <w:numPr>
          <w:ilvl w:val="0"/>
          <w:numId w:val="40"/>
        </w:numPr>
        <w:spacing w:before="120" w:after="120" w:line="276" w:lineRule="auto"/>
        <w:ind w:left="777" w:hanging="357"/>
        <w:jc w:val="both"/>
        <w:rPr>
          <w:b/>
        </w:rPr>
      </w:pPr>
      <w:r w:rsidRPr="00153C68">
        <w:rPr>
          <w:b/>
        </w:rPr>
        <w:t xml:space="preserve">Трансфери </w:t>
      </w:r>
    </w:p>
    <w:p w14:paraId="6A108367" w14:textId="77777777" w:rsidR="00DC1A0F" w:rsidRPr="005B6D3A" w:rsidRDefault="00DC1A0F" w:rsidP="00DC1A0F">
      <w:pPr>
        <w:pStyle w:val="ListParagraph"/>
        <w:tabs>
          <w:tab w:val="left" w:pos="540"/>
        </w:tabs>
        <w:ind w:left="0" w:firstLine="567"/>
        <w:rPr>
          <w:rFonts w:ascii="Times New Roman" w:hAnsi="Times New Roman"/>
        </w:rPr>
      </w:pPr>
      <w:r w:rsidRPr="005B6D3A">
        <w:rPr>
          <w:rFonts w:ascii="Times New Roman" w:hAnsi="Times New Roman"/>
        </w:rPr>
        <w:t>В частта на трансферите, в касовия отчет на ДФЗ-РА към 30.06.2024г. са отразени следните касови потоци:</w:t>
      </w:r>
    </w:p>
    <w:p w14:paraId="168E0041" w14:textId="77777777" w:rsidR="00DC1A0F" w:rsidRPr="00DD1181" w:rsidRDefault="00DC1A0F" w:rsidP="00DC1A0F">
      <w:pPr>
        <w:numPr>
          <w:ilvl w:val="0"/>
          <w:numId w:val="25"/>
        </w:numPr>
        <w:tabs>
          <w:tab w:val="left" w:pos="993"/>
        </w:tabs>
        <w:spacing w:before="120" w:after="120"/>
        <w:ind w:left="1321" w:hanging="612"/>
        <w:jc w:val="both"/>
        <w:rPr>
          <w:b/>
          <w:i/>
        </w:rPr>
      </w:pPr>
      <w:r w:rsidRPr="00DD1181">
        <w:rPr>
          <w:b/>
          <w:i/>
        </w:rPr>
        <w:t xml:space="preserve">Трансфери между бюджети и сметки за средства от Европейския съюз </w:t>
      </w:r>
    </w:p>
    <w:p w14:paraId="60AC7E6D" w14:textId="77777777" w:rsidR="00DC1A0F" w:rsidRPr="00DD1181" w:rsidRDefault="00DC1A0F" w:rsidP="00DC1A0F">
      <w:pPr>
        <w:ind w:firstLine="567"/>
        <w:jc w:val="both"/>
      </w:pPr>
      <w:r w:rsidRPr="00DD1181">
        <w:t>Получените трансфери от бюджетни сметки на бюджетни организации и общини са формирани при възстановяване на суми по вземания по ПРСР и директни плащания и техният размер е 3,9 млн. лв.</w:t>
      </w:r>
    </w:p>
    <w:p w14:paraId="547AFA02" w14:textId="77777777" w:rsidR="00DC1A0F" w:rsidRPr="00DD1181" w:rsidRDefault="00DC1A0F" w:rsidP="00DC1A0F">
      <w:pPr>
        <w:ind w:firstLine="567"/>
        <w:jc w:val="both"/>
      </w:pPr>
      <w:r w:rsidRPr="00DD1181">
        <w:t>Предоставените за периода трансфери във връзка с чл.14 от Закона за подпомагане на земеделските производители възлизат на 0,</w:t>
      </w:r>
      <w:r w:rsidRPr="00DD1181">
        <w:rPr>
          <w:lang w:val="ru-RU"/>
        </w:rPr>
        <w:t>4</w:t>
      </w:r>
      <w:r w:rsidRPr="00DD1181">
        <w:t xml:space="preserve"> млн. лв.</w:t>
      </w:r>
    </w:p>
    <w:p w14:paraId="0CD5F379" w14:textId="77777777" w:rsidR="00DC1A0F" w:rsidRPr="00DD1181" w:rsidRDefault="00DC1A0F" w:rsidP="00DC1A0F">
      <w:pPr>
        <w:numPr>
          <w:ilvl w:val="0"/>
          <w:numId w:val="25"/>
        </w:numPr>
        <w:tabs>
          <w:tab w:val="left" w:pos="993"/>
        </w:tabs>
        <w:spacing w:before="120" w:after="120"/>
        <w:ind w:left="1321" w:hanging="612"/>
        <w:jc w:val="both"/>
        <w:rPr>
          <w:b/>
          <w:i/>
        </w:rPr>
      </w:pPr>
      <w:r w:rsidRPr="00DD1181">
        <w:rPr>
          <w:b/>
          <w:i/>
        </w:rPr>
        <w:t>Трансфери между сметки за средства от Европейския съюз:</w:t>
      </w:r>
    </w:p>
    <w:p w14:paraId="06EA2D25" w14:textId="77777777" w:rsidR="00DC1A0F" w:rsidRPr="00DD1181" w:rsidRDefault="00DC1A0F" w:rsidP="00DC1A0F">
      <w:pPr>
        <w:tabs>
          <w:tab w:val="left" w:pos="540"/>
        </w:tabs>
        <w:ind w:firstLine="567"/>
        <w:jc w:val="both"/>
      </w:pPr>
      <w:r w:rsidRPr="00DD1181">
        <w:t xml:space="preserve">Предоставените трансфери са формирани от изплатените субсидии на публични бенефициенти. Към 30.06.2024 г. са отчетени </w:t>
      </w:r>
      <w:r w:rsidRPr="00DD1181">
        <w:rPr>
          <w:lang w:val="en-US"/>
        </w:rPr>
        <w:t>54</w:t>
      </w:r>
      <w:r w:rsidRPr="00DD1181">
        <w:t xml:space="preserve">,9 млн. лв., в т.ч.: </w:t>
      </w:r>
    </w:p>
    <w:p w14:paraId="60D2A328" w14:textId="77777777" w:rsidR="00DC1A0F" w:rsidRPr="00DD1181" w:rsidRDefault="00DC1A0F" w:rsidP="00BB061E">
      <w:pPr>
        <w:numPr>
          <w:ilvl w:val="0"/>
          <w:numId w:val="41"/>
        </w:numPr>
        <w:tabs>
          <w:tab w:val="left" w:pos="540"/>
          <w:tab w:val="left" w:pos="851"/>
        </w:tabs>
        <w:ind w:left="0" w:firstLine="567"/>
        <w:contextualSpacing/>
        <w:jc w:val="both"/>
      </w:pPr>
      <w:r w:rsidRPr="00DD1181">
        <w:t>по Програмата за развитие на селските райони: 45,5 млн. лв.;</w:t>
      </w:r>
    </w:p>
    <w:p w14:paraId="0BCA10A6" w14:textId="77777777" w:rsidR="00DC1A0F" w:rsidRPr="00DD1181" w:rsidRDefault="00DC1A0F" w:rsidP="00BB061E">
      <w:pPr>
        <w:numPr>
          <w:ilvl w:val="0"/>
          <w:numId w:val="41"/>
        </w:numPr>
        <w:tabs>
          <w:tab w:val="left" w:pos="540"/>
          <w:tab w:val="left" w:pos="851"/>
        </w:tabs>
        <w:ind w:left="0" w:firstLine="567"/>
        <w:contextualSpacing/>
        <w:jc w:val="both"/>
      </w:pPr>
      <w:r w:rsidRPr="00DD1181">
        <w:t>по Програмата за морско дело и рибарство: 9,1 млн. лв.</w:t>
      </w:r>
    </w:p>
    <w:p w14:paraId="61ED5EFC" w14:textId="77777777" w:rsidR="00DC1A0F" w:rsidRPr="00DD1181" w:rsidRDefault="00DC1A0F" w:rsidP="00DC1A0F">
      <w:pPr>
        <w:tabs>
          <w:tab w:val="left" w:pos="540"/>
        </w:tabs>
        <w:jc w:val="both"/>
      </w:pPr>
      <w:r w:rsidRPr="00DD1181">
        <w:tab/>
      </w:r>
    </w:p>
    <w:p w14:paraId="6A61C99A" w14:textId="77777777" w:rsidR="00DC1A0F" w:rsidRPr="00DD1181" w:rsidRDefault="00DC1A0F" w:rsidP="00DC1A0F">
      <w:pPr>
        <w:tabs>
          <w:tab w:val="left" w:pos="540"/>
        </w:tabs>
        <w:ind w:firstLine="567"/>
        <w:jc w:val="both"/>
      </w:pPr>
      <w:r w:rsidRPr="00DD1181">
        <w:t>Към края на първото полугодие на 2023 г. предоставените трансфери са възлизали на 26,8 млн. лв.</w:t>
      </w:r>
    </w:p>
    <w:p w14:paraId="448013E7" w14:textId="77777777" w:rsidR="00DC1A0F" w:rsidRPr="00DD1181" w:rsidRDefault="00DC1A0F" w:rsidP="00BB061E">
      <w:pPr>
        <w:numPr>
          <w:ilvl w:val="0"/>
          <w:numId w:val="40"/>
        </w:numPr>
        <w:spacing w:before="120" w:after="120" w:line="276" w:lineRule="auto"/>
        <w:ind w:left="777" w:hanging="357"/>
        <w:jc w:val="both"/>
        <w:rPr>
          <w:b/>
        </w:rPr>
      </w:pPr>
      <w:r w:rsidRPr="00DD1181">
        <w:rPr>
          <w:b/>
        </w:rPr>
        <w:t>Финансиране</w:t>
      </w:r>
    </w:p>
    <w:p w14:paraId="00886189" w14:textId="77777777" w:rsidR="00DC1A0F" w:rsidRPr="00DD1181" w:rsidRDefault="00DC1A0F" w:rsidP="00DC1A0F">
      <w:pPr>
        <w:numPr>
          <w:ilvl w:val="0"/>
          <w:numId w:val="25"/>
        </w:numPr>
        <w:tabs>
          <w:tab w:val="left" w:pos="993"/>
        </w:tabs>
        <w:spacing w:before="120" w:after="120"/>
        <w:ind w:left="851" w:hanging="425"/>
        <w:jc w:val="both"/>
        <w:rPr>
          <w:b/>
        </w:rPr>
      </w:pPr>
      <w:r w:rsidRPr="00DD1181">
        <w:rPr>
          <w:b/>
        </w:rPr>
        <w:t>Суми по разчети за поети осигурителни вноски и данъци</w:t>
      </w:r>
    </w:p>
    <w:p w14:paraId="0B12655E" w14:textId="77777777" w:rsidR="00DC1A0F" w:rsidRPr="00DD1181" w:rsidRDefault="00DC1A0F" w:rsidP="00DC1A0F">
      <w:pPr>
        <w:ind w:firstLine="567"/>
        <w:jc w:val="both"/>
      </w:pPr>
      <w:r w:rsidRPr="00DD1181">
        <w:t xml:space="preserve">Към края на първото </w:t>
      </w:r>
      <w:r>
        <w:t>полугод</w:t>
      </w:r>
      <w:r w:rsidRPr="00DD1181">
        <w:t>ие на 2024 г. сумата по разчети за поети данъци, формирани от удържан и внесен окончателен данък на физически лица, съгл. чл. 65, ал. 14 от ЗДДФЛ възлиза нето на 0,</w:t>
      </w:r>
      <w:r>
        <w:t>07</w:t>
      </w:r>
      <w:r w:rsidRPr="00DD1181">
        <w:t xml:space="preserve"> млн. лева.</w:t>
      </w:r>
    </w:p>
    <w:p w14:paraId="5BC77B26" w14:textId="77777777" w:rsidR="00DC1A0F" w:rsidRPr="00DD1181" w:rsidRDefault="00DC1A0F" w:rsidP="00DC1A0F">
      <w:pPr>
        <w:numPr>
          <w:ilvl w:val="0"/>
          <w:numId w:val="25"/>
        </w:numPr>
        <w:tabs>
          <w:tab w:val="left" w:pos="993"/>
        </w:tabs>
        <w:spacing w:before="120" w:after="120"/>
        <w:ind w:left="851" w:hanging="425"/>
        <w:jc w:val="both"/>
        <w:rPr>
          <w:b/>
        </w:rPr>
      </w:pPr>
      <w:r w:rsidRPr="00DD1181">
        <w:rPr>
          <w:b/>
        </w:rPr>
        <w:t>Друго финансиране</w:t>
      </w:r>
    </w:p>
    <w:p w14:paraId="0ECC4865" w14:textId="77777777" w:rsidR="00DC1A0F" w:rsidRPr="00DD1181" w:rsidRDefault="00DC1A0F" w:rsidP="00DC1A0F">
      <w:pPr>
        <w:ind w:firstLine="567"/>
        <w:jc w:val="both"/>
      </w:pPr>
      <w:r w:rsidRPr="00DD1181">
        <w:t>За периода 01.01-30.06.2024 г. извършените плащания, възстановените суми, разчетът с централния бюджет и операциите с чужди средства, включени в отчетността в „Друго финансиране“ възлизат общо на -19,6 млн. лв., при планирани -4,8 млн. лв.</w:t>
      </w:r>
    </w:p>
    <w:p w14:paraId="4E0215EB" w14:textId="77777777" w:rsidR="00DC1A0F" w:rsidRPr="00F60897" w:rsidRDefault="00DC1A0F" w:rsidP="00DC1A0F">
      <w:pPr>
        <w:ind w:firstLine="567"/>
        <w:jc w:val="both"/>
      </w:pPr>
      <w:r w:rsidRPr="00F60897">
        <w:t xml:space="preserve">Към 30.06.2024 г. са отчетени плащания в общ размер на </w:t>
      </w:r>
      <w:r w:rsidRPr="00F60897">
        <w:rPr>
          <w:lang w:val="ru-RU"/>
        </w:rPr>
        <w:t>1 064</w:t>
      </w:r>
      <w:r w:rsidRPr="00F60897">
        <w:t xml:space="preserve">,6 млн. лв., представляващи </w:t>
      </w:r>
      <w:r w:rsidRPr="00F60897">
        <w:rPr>
          <w:lang w:val="ru-RU"/>
        </w:rPr>
        <w:t>59</w:t>
      </w:r>
      <w:r w:rsidRPr="00F60897">
        <w:t>,</w:t>
      </w:r>
      <w:r w:rsidRPr="00F60897">
        <w:rPr>
          <w:lang w:val="ru-RU"/>
        </w:rPr>
        <w:t>0</w:t>
      </w:r>
      <w:r w:rsidRPr="00F60897">
        <w:t xml:space="preserve"> % от годишните разчети, които са 1 803,5 млн. лв. За същия период на 2023 г. плащанията, отчитани като финансиране са били 858,9 млн. лв.</w:t>
      </w:r>
    </w:p>
    <w:p w14:paraId="410FC04C" w14:textId="77777777" w:rsidR="00DC1A0F" w:rsidRPr="00F60897" w:rsidRDefault="00DC1A0F" w:rsidP="00DC1A0F">
      <w:pPr>
        <w:ind w:firstLine="567"/>
        <w:jc w:val="both"/>
        <w:rPr>
          <w:szCs w:val="20"/>
        </w:rPr>
      </w:pPr>
      <w:r w:rsidRPr="00F60897">
        <w:rPr>
          <w:szCs w:val="20"/>
        </w:rPr>
        <w:t>Отчетените плащания са по следните направления:</w:t>
      </w:r>
    </w:p>
    <w:p w14:paraId="1450FAFB" w14:textId="77777777" w:rsidR="00DC1A0F" w:rsidRPr="00C9281F" w:rsidRDefault="00DC1A0F" w:rsidP="00DC1A0F">
      <w:pPr>
        <w:numPr>
          <w:ilvl w:val="0"/>
          <w:numId w:val="26"/>
        </w:numPr>
        <w:tabs>
          <w:tab w:val="left" w:pos="851"/>
        </w:tabs>
        <w:ind w:left="851" w:hanging="284"/>
        <w:jc w:val="both"/>
        <w:rPr>
          <w:szCs w:val="20"/>
        </w:rPr>
      </w:pPr>
      <w:r w:rsidRPr="00C9281F">
        <w:rPr>
          <w:szCs w:val="20"/>
        </w:rPr>
        <w:t>987,2 млн. лв. за директни плащания за сметка на ЕФГЗ, представляващи 60,9 % от планираните 1 620,3 млн. лв.;</w:t>
      </w:r>
    </w:p>
    <w:p w14:paraId="01B91AB9" w14:textId="2AECD7B5" w:rsidR="00DC1A0F" w:rsidRPr="00C9281F" w:rsidRDefault="00DC1A0F" w:rsidP="00DC1A0F">
      <w:pPr>
        <w:numPr>
          <w:ilvl w:val="0"/>
          <w:numId w:val="26"/>
        </w:numPr>
        <w:tabs>
          <w:tab w:val="left" w:pos="851"/>
        </w:tabs>
        <w:ind w:left="851" w:hanging="284"/>
        <w:jc w:val="both"/>
        <w:rPr>
          <w:szCs w:val="20"/>
        </w:rPr>
      </w:pPr>
      <w:r w:rsidRPr="00C9281F">
        <w:rPr>
          <w:szCs w:val="20"/>
        </w:rPr>
        <w:t>74,5 млн. лв. средства от ЕЗФРСР, прехвърлени към директни плащания, което е 62,5</w:t>
      </w:r>
      <w:r w:rsidR="0078018D">
        <w:rPr>
          <w:szCs w:val="20"/>
        </w:rPr>
        <w:t> </w:t>
      </w:r>
      <w:r w:rsidRPr="00C9281F">
        <w:rPr>
          <w:szCs w:val="20"/>
        </w:rPr>
        <w:t>% от планираните 119,2 млн. лв.;</w:t>
      </w:r>
    </w:p>
    <w:p w14:paraId="3542CCC7" w14:textId="77777777" w:rsidR="00DC1A0F" w:rsidRPr="00505623" w:rsidRDefault="00DC1A0F" w:rsidP="00DC1A0F">
      <w:pPr>
        <w:numPr>
          <w:ilvl w:val="0"/>
          <w:numId w:val="26"/>
        </w:numPr>
        <w:tabs>
          <w:tab w:val="left" w:pos="851"/>
        </w:tabs>
        <w:ind w:left="851" w:hanging="284"/>
        <w:jc w:val="both"/>
        <w:rPr>
          <w:szCs w:val="20"/>
        </w:rPr>
      </w:pPr>
      <w:r w:rsidRPr="00C9281F">
        <w:rPr>
          <w:szCs w:val="20"/>
        </w:rPr>
        <w:t xml:space="preserve">2,6 млн. лв. за пазарни мерки при разчет за плащания в размер 37,0 млн. лв. изпълнение </w:t>
      </w:r>
      <w:r w:rsidRPr="00505623">
        <w:rPr>
          <w:szCs w:val="20"/>
        </w:rPr>
        <w:t>7,0 %;</w:t>
      </w:r>
    </w:p>
    <w:p w14:paraId="5EB6B028" w14:textId="77777777" w:rsidR="00DC1A0F" w:rsidRPr="00505623" w:rsidRDefault="00DC1A0F" w:rsidP="00DC1A0F">
      <w:pPr>
        <w:numPr>
          <w:ilvl w:val="0"/>
          <w:numId w:val="26"/>
        </w:numPr>
        <w:tabs>
          <w:tab w:val="left" w:pos="851"/>
        </w:tabs>
        <w:ind w:left="851" w:hanging="284"/>
        <w:jc w:val="both"/>
        <w:rPr>
          <w:szCs w:val="20"/>
        </w:rPr>
      </w:pPr>
      <w:r w:rsidRPr="00505623">
        <w:rPr>
          <w:szCs w:val="20"/>
        </w:rPr>
        <w:t>0,3 млн. лв. за преструктуриране, изпълнение 1,1 % от планираните плащания в размер 27,0 млн. лв.</w:t>
      </w:r>
    </w:p>
    <w:p w14:paraId="2190D26A" w14:textId="58B7E8C9" w:rsidR="00DC1A0F" w:rsidRPr="00505623" w:rsidRDefault="00DC1A0F" w:rsidP="00DC1A0F">
      <w:pPr>
        <w:tabs>
          <w:tab w:val="left" w:pos="709"/>
        </w:tabs>
        <w:ind w:firstLine="567"/>
        <w:jc w:val="both"/>
      </w:pPr>
      <w:r w:rsidRPr="00505623">
        <w:t>Възстановените суми от Европейския съюз към 30.06.2024 г. възлизат общо на 906,6</w:t>
      </w:r>
      <w:r w:rsidR="0078018D">
        <w:t> </w:t>
      </w:r>
      <w:r w:rsidRPr="00505623">
        <w:t>млн. лв., представляващи 50,6 % от планираните 1</w:t>
      </w:r>
      <w:r w:rsidRPr="00505623">
        <w:rPr>
          <w:lang w:val="en-US"/>
        </w:rPr>
        <w:t> </w:t>
      </w:r>
      <w:r w:rsidRPr="00505623">
        <w:t>792,6 млн. лв. Отчетеното изпълнение за периода 01.01-30.06.2023 г. е 1 647,4 млн. лв.</w:t>
      </w:r>
    </w:p>
    <w:p w14:paraId="4BE4E4DA" w14:textId="77777777" w:rsidR="00DC1A0F" w:rsidRPr="00505623" w:rsidRDefault="00DC1A0F" w:rsidP="00DC1A0F">
      <w:pPr>
        <w:tabs>
          <w:tab w:val="left" w:pos="709"/>
        </w:tabs>
        <w:ind w:firstLine="567"/>
        <w:jc w:val="both"/>
      </w:pPr>
      <w:r w:rsidRPr="00505623">
        <w:t>Възстановени са суми по следните направления:</w:t>
      </w:r>
    </w:p>
    <w:p w14:paraId="272C6FD0" w14:textId="77777777" w:rsidR="00DC1A0F" w:rsidRPr="00505623" w:rsidRDefault="00DC1A0F" w:rsidP="00DC1A0F">
      <w:pPr>
        <w:numPr>
          <w:ilvl w:val="0"/>
          <w:numId w:val="26"/>
        </w:numPr>
        <w:tabs>
          <w:tab w:val="left" w:pos="851"/>
        </w:tabs>
        <w:ind w:left="851" w:hanging="284"/>
        <w:jc w:val="both"/>
      </w:pPr>
      <w:r w:rsidRPr="00505623">
        <w:t>859,5 млн. лв. за директни плащания от ЕФГЗ – 53,5 % от планираните 1 605,8 млн. лв.;</w:t>
      </w:r>
    </w:p>
    <w:p w14:paraId="6ECA58A0" w14:textId="77777777" w:rsidR="00DC1A0F" w:rsidRPr="00505623" w:rsidRDefault="00DC1A0F" w:rsidP="00DC1A0F">
      <w:pPr>
        <w:numPr>
          <w:ilvl w:val="0"/>
          <w:numId w:val="26"/>
        </w:numPr>
        <w:tabs>
          <w:tab w:val="left" w:pos="851"/>
        </w:tabs>
        <w:ind w:left="851" w:hanging="284"/>
        <w:jc w:val="both"/>
      </w:pPr>
      <w:r w:rsidRPr="00505623">
        <w:t>24,4 млн. лв. от ЕЗФРСР, прехвърлени към директни плащания – 19,8 % от заложените 123,2 млн. лв.;</w:t>
      </w:r>
    </w:p>
    <w:p w14:paraId="63B6D8B3" w14:textId="77777777" w:rsidR="00DC1A0F" w:rsidRPr="00505623" w:rsidRDefault="00DC1A0F" w:rsidP="00DC1A0F">
      <w:pPr>
        <w:numPr>
          <w:ilvl w:val="0"/>
          <w:numId w:val="26"/>
        </w:numPr>
        <w:tabs>
          <w:tab w:val="left" w:pos="851"/>
        </w:tabs>
        <w:ind w:left="851" w:hanging="284"/>
        <w:jc w:val="both"/>
      </w:pPr>
      <w:r w:rsidRPr="00505623">
        <w:t>21,9 млн. лв. за пазарни мерки от ЕФГЗ при планирани 38,5 млн. лв., степен на изпълнение: 56,9 %;</w:t>
      </w:r>
    </w:p>
    <w:p w14:paraId="78A43E7D" w14:textId="77777777" w:rsidR="00DC1A0F" w:rsidRPr="00505623" w:rsidRDefault="00DC1A0F" w:rsidP="00DC1A0F">
      <w:pPr>
        <w:numPr>
          <w:ilvl w:val="0"/>
          <w:numId w:val="26"/>
        </w:numPr>
        <w:tabs>
          <w:tab w:val="left" w:pos="851"/>
        </w:tabs>
        <w:ind w:left="851" w:hanging="284"/>
        <w:jc w:val="both"/>
      </w:pPr>
      <w:r w:rsidRPr="00505623">
        <w:t>0,8 млн. лв. за преструктуриране от ЕФГЗ при планирани 25,1 млн. лв., изпълнение 3,2 %.</w:t>
      </w:r>
    </w:p>
    <w:p w14:paraId="0A58678B" w14:textId="77777777" w:rsidR="00DC1A0F" w:rsidRPr="00DC1A0F" w:rsidRDefault="00DC1A0F" w:rsidP="00DC1A0F">
      <w:pPr>
        <w:tabs>
          <w:tab w:val="left" w:pos="709"/>
        </w:tabs>
        <w:ind w:firstLine="567"/>
        <w:jc w:val="both"/>
      </w:pPr>
      <w:r w:rsidRPr="00505623">
        <w:t>Предоставените суми (нето) по разчети с ЦБ за финансиране на плащания при недостиг на средства по сметки към 30.06.2024 г. възлизат на 138,4 млн. лв., при планирани 6,1 млн. лв.</w:t>
      </w:r>
    </w:p>
    <w:p w14:paraId="6C421AF0" w14:textId="581720F6" w:rsidR="000470AB" w:rsidRPr="009F4B75" w:rsidRDefault="000470AB" w:rsidP="00DC1A0F">
      <w:pPr>
        <w:pStyle w:val="Heading2"/>
        <w:numPr>
          <w:ilvl w:val="1"/>
          <w:numId w:val="7"/>
        </w:numPr>
        <w:tabs>
          <w:tab w:val="clear" w:pos="1440"/>
          <w:tab w:val="num" w:pos="567"/>
        </w:tabs>
        <w:ind w:hanging="1298"/>
        <w:rPr>
          <w:rFonts w:ascii="Times New Roman" w:hAnsi="Times New Roman" w:cs="Times New Roman"/>
          <w:i w:val="0"/>
          <w:iCs w:val="0"/>
          <w:sz w:val="24"/>
        </w:rPr>
      </w:pPr>
      <w:bookmarkStart w:id="340" w:name="_Toc176351966"/>
      <w:r w:rsidRPr="009F4B75">
        <w:rPr>
          <w:rFonts w:ascii="Times New Roman" w:hAnsi="Times New Roman" w:cs="Times New Roman"/>
          <w:i w:val="0"/>
          <w:iCs w:val="0"/>
          <w:sz w:val="24"/>
        </w:rPr>
        <w:t>Бюджети по чл. 13, ал. 4 на Закона за публичните финанси</w:t>
      </w:r>
      <w:bookmarkEnd w:id="334"/>
      <w:bookmarkEnd w:id="340"/>
    </w:p>
    <w:p w14:paraId="3F1062B9" w14:textId="77777777" w:rsidR="008E0BAC" w:rsidRPr="001553E1" w:rsidRDefault="008E0BAC" w:rsidP="0079339B">
      <w:pPr>
        <w:pStyle w:val="Heading3"/>
        <w:numPr>
          <w:ilvl w:val="1"/>
          <w:numId w:val="23"/>
        </w:numPr>
        <w:rPr>
          <w:rFonts w:ascii="Times New Roman" w:hAnsi="Times New Roman"/>
          <w:sz w:val="24"/>
        </w:rPr>
      </w:pPr>
      <w:bookmarkStart w:id="341" w:name="_Toc176351967"/>
      <w:r w:rsidRPr="001553E1">
        <w:rPr>
          <w:rFonts w:ascii="Times New Roman" w:hAnsi="Times New Roman"/>
          <w:sz w:val="24"/>
        </w:rPr>
        <w:t>Предприятие за управление на дейностите по опазване на околната среда</w:t>
      </w:r>
      <w:bookmarkEnd w:id="341"/>
      <w:r w:rsidRPr="001553E1">
        <w:rPr>
          <w:rFonts w:ascii="Times New Roman" w:hAnsi="Times New Roman"/>
          <w:sz w:val="24"/>
        </w:rPr>
        <w:t xml:space="preserve"> </w:t>
      </w:r>
    </w:p>
    <w:p w14:paraId="224BA101" w14:textId="7B6437AB" w:rsidR="003C739B" w:rsidRPr="001553E1" w:rsidRDefault="003C739B" w:rsidP="003C739B">
      <w:pPr>
        <w:jc w:val="both"/>
      </w:pPr>
      <w:bookmarkStart w:id="342" w:name="_Toc18400802"/>
      <w:bookmarkStart w:id="343" w:name="_Toc365649332"/>
      <w:bookmarkStart w:id="344" w:name="_Toc365897069"/>
      <w:bookmarkEnd w:id="335"/>
      <w:bookmarkEnd w:id="336"/>
      <w:bookmarkEnd w:id="337"/>
      <w:bookmarkEnd w:id="338"/>
      <w:r w:rsidRPr="001553E1">
        <w:t xml:space="preserve">Отчетените </w:t>
      </w:r>
      <w:r w:rsidRPr="001553E1">
        <w:rPr>
          <w:b/>
        </w:rPr>
        <w:t>приходи</w:t>
      </w:r>
      <w:r w:rsidRPr="001553E1">
        <w:t xml:space="preserve"> по бюджета на Предприятието за управление на дейностите по опазване на околната среда </w:t>
      </w:r>
      <w:r w:rsidRPr="001553E1">
        <w:rPr>
          <w:lang w:val="ru-RU"/>
        </w:rPr>
        <w:t>(</w:t>
      </w:r>
      <w:r w:rsidRPr="001553E1">
        <w:t>ПУДООС</w:t>
      </w:r>
      <w:r w:rsidRPr="001553E1">
        <w:rPr>
          <w:lang w:val="ru-RU"/>
        </w:rPr>
        <w:t>)</w:t>
      </w:r>
      <w:r w:rsidRPr="001553E1">
        <w:t xml:space="preserve"> за първото полугодие на 202</w:t>
      </w:r>
      <w:r w:rsidR="001553E1" w:rsidRPr="001553E1">
        <w:rPr>
          <w:lang w:val="ru-RU"/>
        </w:rPr>
        <w:t>4</w:t>
      </w:r>
      <w:r w:rsidRPr="001553E1">
        <w:t xml:space="preserve"> г. са в размер на </w:t>
      </w:r>
      <w:r w:rsidR="001553E1" w:rsidRPr="001553E1">
        <w:rPr>
          <w:lang w:val="ru-RU"/>
        </w:rPr>
        <w:t>9,1</w:t>
      </w:r>
      <w:r w:rsidRPr="001553E1">
        <w:rPr>
          <w:lang w:val="en-US"/>
        </w:rPr>
        <w:t> </w:t>
      </w:r>
      <w:r w:rsidRPr="001553E1">
        <w:t xml:space="preserve">млн. лв., при годишен разчет от </w:t>
      </w:r>
      <w:r w:rsidR="001553E1" w:rsidRPr="001553E1">
        <w:t>15,4</w:t>
      </w:r>
      <w:r w:rsidRPr="001553E1">
        <w:t xml:space="preserve"> млн. лв. или изпълнението възлиза на </w:t>
      </w:r>
      <w:r w:rsidR="001553E1" w:rsidRPr="001553E1">
        <w:t>59,2</w:t>
      </w:r>
      <w:r w:rsidRPr="001553E1">
        <w:t xml:space="preserve"> %. </w:t>
      </w:r>
    </w:p>
    <w:p w14:paraId="4A6C71F6" w14:textId="74ED4BB1" w:rsidR="003C739B" w:rsidRPr="00E56679" w:rsidRDefault="003C739B" w:rsidP="003C739B">
      <w:pPr>
        <w:jc w:val="both"/>
        <w:rPr>
          <w:color w:val="0070C0"/>
        </w:rPr>
      </w:pPr>
      <w:r w:rsidRPr="00B95BC6">
        <w:t xml:space="preserve">За първото полугодие ПУДООС отчита приходи от държавни такси в размер на </w:t>
      </w:r>
      <w:r w:rsidR="00B95BC6" w:rsidRPr="00B95BC6">
        <w:t>3,4</w:t>
      </w:r>
      <w:r w:rsidRPr="00B95BC6">
        <w:t xml:space="preserve"> млн. лв. при разчет 4,0 млн. лв. или изпълнението възлиза на </w:t>
      </w:r>
      <w:r w:rsidR="00B95BC6" w:rsidRPr="00B95BC6">
        <w:t>85,6</w:t>
      </w:r>
      <w:r w:rsidRPr="00B95BC6">
        <w:t xml:space="preserve"> %.</w:t>
      </w:r>
    </w:p>
    <w:p w14:paraId="3D5CD8F6" w14:textId="7E0C0915" w:rsidR="003C739B" w:rsidRPr="00B95BC6" w:rsidRDefault="003C739B" w:rsidP="003C739B">
      <w:pPr>
        <w:pStyle w:val="BodyText3"/>
        <w:spacing w:after="0"/>
        <w:jc w:val="both"/>
        <w:rPr>
          <w:sz w:val="24"/>
          <w:szCs w:val="24"/>
        </w:rPr>
      </w:pPr>
      <w:r w:rsidRPr="00B95BC6">
        <w:rPr>
          <w:sz w:val="24"/>
          <w:szCs w:val="24"/>
        </w:rPr>
        <w:t xml:space="preserve">Постъпилите приходи от глоби, санкции и наказателни лихви са в размер на </w:t>
      </w:r>
      <w:r w:rsidR="00B95BC6" w:rsidRPr="00B95BC6">
        <w:rPr>
          <w:sz w:val="24"/>
          <w:szCs w:val="24"/>
        </w:rPr>
        <w:t>1,2</w:t>
      </w:r>
      <w:r w:rsidRPr="00B95BC6">
        <w:rPr>
          <w:sz w:val="24"/>
          <w:szCs w:val="24"/>
        </w:rPr>
        <w:t xml:space="preserve"> млн. лв., като по разчет са 1,5 млн. лв. </w:t>
      </w:r>
    </w:p>
    <w:p w14:paraId="2DFC331B" w14:textId="3932DF96" w:rsidR="003C739B" w:rsidRPr="00E56679" w:rsidRDefault="003C739B" w:rsidP="003C739B">
      <w:pPr>
        <w:pStyle w:val="BodyText3"/>
        <w:spacing w:after="0"/>
        <w:jc w:val="both"/>
        <w:rPr>
          <w:color w:val="0070C0"/>
          <w:sz w:val="24"/>
          <w:szCs w:val="24"/>
        </w:rPr>
      </w:pPr>
      <w:r w:rsidRPr="001E702C">
        <w:rPr>
          <w:sz w:val="24"/>
          <w:szCs w:val="24"/>
        </w:rPr>
        <w:t>За отчетния период по бюджета на ПУДООС са отчетени приходи от продажба на квоти на парникови газове от авиационна дейност в размер на 4,</w:t>
      </w:r>
      <w:r w:rsidR="001E702C" w:rsidRPr="001E702C">
        <w:rPr>
          <w:sz w:val="24"/>
          <w:szCs w:val="24"/>
        </w:rPr>
        <w:t>1</w:t>
      </w:r>
      <w:r w:rsidRPr="001E702C">
        <w:rPr>
          <w:sz w:val="24"/>
          <w:szCs w:val="24"/>
        </w:rPr>
        <w:t xml:space="preserve"> млн. лв., като по разчет са </w:t>
      </w:r>
      <w:r w:rsidR="001E702C" w:rsidRPr="001E702C">
        <w:rPr>
          <w:sz w:val="24"/>
          <w:szCs w:val="24"/>
        </w:rPr>
        <w:t>8,4</w:t>
      </w:r>
      <w:r w:rsidRPr="001E702C">
        <w:rPr>
          <w:sz w:val="24"/>
          <w:szCs w:val="24"/>
        </w:rPr>
        <w:t xml:space="preserve"> млн. лв. или </w:t>
      </w:r>
      <w:r w:rsidR="001E702C" w:rsidRPr="001E702C">
        <w:rPr>
          <w:sz w:val="24"/>
          <w:szCs w:val="24"/>
        </w:rPr>
        <w:t>48,5</w:t>
      </w:r>
      <w:r w:rsidRPr="001E702C">
        <w:rPr>
          <w:sz w:val="24"/>
          <w:szCs w:val="24"/>
        </w:rPr>
        <w:t xml:space="preserve"> % от планираните</w:t>
      </w:r>
      <w:r w:rsidRPr="00E56679">
        <w:rPr>
          <w:color w:val="0070C0"/>
          <w:sz w:val="24"/>
          <w:szCs w:val="24"/>
        </w:rPr>
        <w:t xml:space="preserve">. </w:t>
      </w:r>
    </w:p>
    <w:p w14:paraId="3F414F33" w14:textId="6B9DA99A" w:rsidR="003C739B" w:rsidRPr="00E56679" w:rsidRDefault="003C739B" w:rsidP="00AA002C">
      <w:pPr>
        <w:spacing w:before="120"/>
        <w:jc w:val="both"/>
        <w:rPr>
          <w:color w:val="0070C0"/>
        </w:rPr>
      </w:pPr>
      <w:r w:rsidRPr="00472C76">
        <w:t>Към 30.06.202</w:t>
      </w:r>
      <w:r w:rsidR="00472C76" w:rsidRPr="00472C76">
        <w:t>4</w:t>
      </w:r>
      <w:r w:rsidRPr="00472C76">
        <w:t xml:space="preserve"> г. ПУДООС е отчело </w:t>
      </w:r>
      <w:r w:rsidRPr="00472C76">
        <w:rPr>
          <w:b/>
        </w:rPr>
        <w:t>разходи</w:t>
      </w:r>
      <w:r w:rsidRPr="00472C76">
        <w:t xml:space="preserve"> в размер на </w:t>
      </w:r>
      <w:r w:rsidR="00472C76" w:rsidRPr="00472C76">
        <w:t>4,8</w:t>
      </w:r>
      <w:r w:rsidRPr="00472C76">
        <w:t xml:space="preserve"> млн. лв., които са разпределени както </w:t>
      </w:r>
      <w:r w:rsidRPr="00D64CC6">
        <w:t>следва: за персонал - 1,</w:t>
      </w:r>
      <w:r w:rsidR="00472C76" w:rsidRPr="00D64CC6">
        <w:t>3</w:t>
      </w:r>
      <w:r w:rsidRPr="00D64CC6">
        <w:t xml:space="preserve"> млн. лв.</w:t>
      </w:r>
      <w:r w:rsidR="00472C76" w:rsidRPr="00D64CC6">
        <w:t>,</w:t>
      </w:r>
      <w:r w:rsidRPr="00D64CC6">
        <w:t xml:space="preserve"> 0,</w:t>
      </w:r>
      <w:r w:rsidR="00D64CC6" w:rsidRPr="00D64CC6">
        <w:t>5</w:t>
      </w:r>
      <w:r w:rsidRPr="00D64CC6">
        <w:t xml:space="preserve"> млн. лв. за текуща издръжка, 0,4 за субсидии и други текущи трансфери за юридически лица с нестопанска цел</w:t>
      </w:r>
      <w:r w:rsidR="00D64CC6" w:rsidRPr="00D64CC6">
        <w:t>,</w:t>
      </w:r>
      <w:r w:rsidRPr="00D64CC6">
        <w:t xml:space="preserve"> 0,1 млн. лв. за придобиване на нефинансови активи и 2,</w:t>
      </w:r>
      <w:r w:rsidR="00D64CC6" w:rsidRPr="00D64CC6">
        <w:t>6</w:t>
      </w:r>
      <w:r w:rsidRPr="00D64CC6">
        <w:t xml:space="preserve"> млн. лв. за капиталови трансфери.</w:t>
      </w:r>
    </w:p>
    <w:p w14:paraId="478840CD" w14:textId="6A6DDC9B" w:rsidR="003C739B" w:rsidRPr="00E56679" w:rsidRDefault="003C739B" w:rsidP="003C739B">
      <w:pPr>
        <w:pStyle w:val="BodyText2"/>
        <w:spacing w:after="0" w:line="240" w:lineRule="auto"/>
        <w:jc w:val="both"/>
        <w:rPr>
          <w:color w:val="0070C0"/>
          <w:lang w:val="ru-RU"/>
        </w:rPr>
      </w:pPr>
      <w:r w:rsidRPr="006D5C02">
        <w:rPr>
          <w:szCs w:val="24"/>
          <w:lang w:val="bg-BG" w:eastAsia="bg-BG"/>
        </w:rPr>
        <w:t xml:space="preserve">Разчетените разходи по придобиване на дълготрайни материални активи, след решения на Управителния съвет на ПУДООС, се предоставят като трансфер на други бюджетни </w:t>
      </w:r>
      <w:r w:rsidRPr="005908F7">
        <w:rPr>
          <w:szCs w:val="24"/>
          <w:lang w:val="bg-BG" w:eastAsia="bg-BG"/>
        </w:rPr>
        <w:t>организации. Към 30.06.202</w:t>
      </w:r>
      <w:r w:rsidR="006D5C02" w:rsidRPr="005908F7">
        <w:rPr>
          <w:szCs w:val="24"/>
          <w:lang w:val="bg-BG" w:eastAsia="bg-BG"/>
        </w:rPr>
        <w:t>4</w:t>
      </w:r>
      <w:r w:rsidRPr="005908F7">
        <w:rPr>
          <w:szCs w:val="24"/>
          <w:lang w:val="bg-BG" w:eastAsia="bg-BG"/>
        </w:rPr>
        <w:t xml:space="preserve"> г. отчетените средства като трансфери от/за държавни предприятия и други лица, включени в консолидираната фискална програма (нето), са в размер на </w:t>
      </w:r>
      <w:r w:rsidR="005908F7" w:rsidRPr="005908F7">
        <w:rPr>
          <w:szCs w:val="24"/>
          <w:lang w:val="bg-BG" w:eastAsia="bg-BG"/>
        </w:rPr>
        <w:t>28,0</w:t>
      </w:r>
      <w:r w:rsidRPr="005908F7">
        <w:rPr>
          <w:szCs w:val="24"/>
          <w:lang w:val="bg-BG" w:eastAsia="bg-BG"/>
        </w:rPr>
        <w:t xml:space="preserve"> млн. лева.</w:t>
      </w:r>
    </w:p>
    <w:p w14:paraId="512ADA2E" w14:textId="77777777" w:rsidR="003C739B" w:rsidRPr="003737AC" w:rsidRDefault="003C739B" w:rsidP="003C739B">
      <w:pPr>
        <w:pStyle w:val="Heading3"/>
        <w:numPr>
          <w:ilvl w:val="1"/>
          <w:numId w:val="23"/>
        </w:numPr>
        <w:rPr>
          <w:rFonts w:ascii="Times New Roman" w:hAnsi="Times New Roman"/>
          <w:sz w:val="24"/>
        </w:rPr>
      </w:pPr>
      <w:bookmarkStart w:id="345" w:name="_Toc81485908"/>
      <w:bookmarkStart w:id="346" w:name="_Toc176351968"/>
      <w:r w:rsidRPr="003737AC">
        <w:rPr>
          <w:rFonts w:ascii="Times New Roman" w:hAnsi="Times New Roman"/>
          <w:sz w:val="24"/>
        </w:rPr>
        <w:t>Фонд „Сигурност на електроенергийната система“</w:t>
      </w:r>
      <w:bookmarkEnd w:id="342"/>
      <w:bookmarkEnd w:id="345"/>
      <w:bookmarkEnd w:id="346"/>
    </w:p>
    <w:p w14:paraId="0C87F19B" w14:textId="77777777" w:rsidR="00282D8D" w:rsidRPr="009E6752" w:rsidRDefault="00282D8D" w:rsidP="005A4DD7">
      <w:pPr>
        <w:spacing w:before="120"/>
        <w:jc w:val="both"/>
        <w:rPr>
          <w:lang w:eastAsia="en-US"/>
        </w:rPr>
      </w:pPr>
      <w:bookmarkStart w:id="347" w:name="_Toc46136836"/>
      <w:r w:rsidRPr="009C4DE1">
        <w:t xml:space="preserve">Отчетените </w:t>
      </w:r>
      <w:r w:rsidRPr="009C4DE1">
        <w:rPr>
          <w:b/>
        </w:rPr>
        <w:t>приходи</w:t>
      </w:r>
      <w:r w:rsidRPr="009C4DE1">
        <w:t xml:space="preserve"> на Фонд „Сигурност на електроенергийната система“ към 30.06.202</w:t>
      </w:r>
      <w:r w:rsidRPr="00772219">
        <w:rPr>
          <w:lang w:val="ru-RU"/>
        </w:rPr>
        <w:t>4</w:t>
      </w:r>
      <w:r w:rsidRPr="009C4DE1">
        <w:t xml:space="preserve"> г. са в размер на </w:t>
      </w:r>
      <w:r w:rsidRPr="00772219">
        <w:rPr>
          <w:lang w:val="ru-RU"/>
        </w:rPr>
        <w:t>1</w:t>
      </w:r>
      <w:r w:rsidRPr="009C4DE1">
        <w:rPr>
          <w:lang w:eastAsia="en-US"/>
        </w:rPr>
        <w:t> </w:t>
      </w:r>
      <w:r w:rsidRPr="00772219">
        <w:rPr>
          <w:lang w:val="ru-RU" w:eastAsia="en-US"/>
        </w:rPr>
        <w:t>173</w:t>
      </w:r>
      <w:r w:rsidRPr="009C4DE1">
        <w:rPr>
          <w:lang w:eastAsia="en-US"/>
        </w:rPr>
        <w:t>,</w:t>
      </w:r>
      <w:r w:rsidRPr="00772219">
        <w:rPr>
          <w:lang w:val="ru-RU" w:eastAsia="en-US"/>
        </w:rPr>
        <w:t>7</w:t>
      </w:r>
      <w:r w:rsidRPr="009C4DE1">
        <w:rPr>
          <w:lang w:eastAsia="en-US"/>
        </w:rPr>
        <w:t xml:space="preserve"> млн. лв. Изпълнението им спрямо годишните разчети за 202</w:t>
      </w:r>
      <w:r w:rsidRPr="00772219">
        <w:rPr>
          <w:lang w:val="ru-RU" w:eastAsia="en-US"/>
        </w:rPr>
        <w:t>4</w:t>
      </w:r>
      <w:r w:rsidRPr="009C4DE1">
        <w:rPr>
          <w:lang w:eastAsia="en-US"/>
        </w:rPr>
        <w:t xml:space="preserve"> г. (</w:t>
      </w:r>
      <w:r w:rsidRPr="00772219">
        <w:rPr>
          <w:lang w:val="ru-RU" w:eastAsia="en-US"/>
        </w:rPr>
        <w:t>2</w:t>
      </w:r>
      <w:r w:rsidRPr="009C4DE1">
        <w:rPr>
          <w:lang w:eastAsia="en-US"/>
        </w:rPr>
        <w:t> </w:t>
      </w:r>
      <w:r w:rsidRPr="00772219">
        <w:rPr>
          <w:lang w:val="ru-RU" w:eastAsia="en-US"/>
        </w:rPr>
        <w:t>609</w:t>
      </w:r>
      <w:r w:rsidRPr="009C4DE1">
        <w:rPr>
          <w:lang w:eastAsia="en-US"/>
        </w:rPr>
        <w:t xml:space="preserve">,6 млн. лв.) е </w:t>
      </w:r>
      <w:r w:rsidRPr="00772219">
        <w:rPr>
          <w:lang w:val="ru-RU" w:eastAsia="en-US"/>
        </w:rPr>
        <w:t>45</w:t>
      </w:r>
      <w:r w:rsidRPr="009C4DE1">
        <w:rPr>
          <w:lang w:eastAsia="en-US"/>
        </w:rPr>
        <w:t>,</w:t>
      </w:r>
      <w:r w:rsidRPr="00772219">
        <w:rPr>
          <w:lang w:val="ru-RU" w:eastAsia="en-US"/>
        </w:rPr>
        <w:t>0</w:t>
      </w:r>
      <w:r w:rsidRPr="009C4DE1">
        <w:rPr>
          <w:lang w:eastAsia="en-US"/>
        </w:rPr>
        <w:t xml:space="preserve"> %. </w:t>
      </w:r>
      <w:r w:rsidRPr="009E6752">
        <w:rPr>
          <w:lang w:eastAsia="en-US"/>
        </w:rPr>
        <w:t>Постъпленията от отделните приходи, са както следва:</w:t>
      </w:r>
    </w:p>
    <w:p w14:paraId="564C7204" w14:textId="77777777" w:rsidR="00282D8D" w:rsidRPr="009E6752" w:rsidRDefault="00282D8D" w:rsidP="00872E25">
      <w:pPr>
        <w:numPr>
          <w:ilvl w:val="0"/>
          <w:numId w:val="42"/>
        </w:numPr>
        <w:ind w:left="0" w:firstLine="426"/>
        <w:jc w:val="both"/>
        <w:rPr>
          <w:b/>
          <w:lang w:eastAsia="en-US"/>
        </w:rPr>
      </w:pPr>
      <w:r w:rsidRPr="009E6752">
        <w:rPr>
          <w:lang w:eastAsia="en-US"/>
        </w:rPr>
        <w:t>229,3 млн. лв. целеви вноски, в т.ч. 111,6 млн. лв. по § 3, ал. 1, 3, 4 и 5 от ПЗР на Закона за държавния бюджет на Република България за 2023 г. и за 2024 г. и 0,2 млн. лв. по § 8 от Закона за прилагане на разпоредби на Закона за държавния бюджет на Република България за 2022 г., Закона за бюджета на държавното обществено осигуряване за 2022 г. и Закона за бюджета на Националната здравноосигурителна каса за 2022 г., предназначени за покриване на разходи по одобрени от МС програми за компенсиране високите цени на енергията, и 117,5 млн. лв. по Закона за компенсиране на разходите на потребителите за транспорт;</w:t>
      </w:r>
    </w:p>
    <w:p w14:paraId="4DBEF1D2" w14:textId="77777777" w:rsidR="00282D8D" w:rsidRPr="009E6752" w:rsidRDefault="00282D8D" w:rsidP="00872E25">
      <w:pPr>
        <w:numPr>
          <w:ilvl w:val="0"/>
          <w:numId w:val="42"/>
        </w:numPr>
        <w:ind w:left="0" w:firstLine="426"/>
        <w:jc w:val="both"/>
        <w:rPr>
          <w:b/>
          <w:lang w:eastAsia="en-US"/>
        </w:rPr>
      </w:pPr>
      <w:r w:rsidRPr="009E6752">
        <w:rPr>
          <w:lang w:eastAsia="en-US"/>
        </w:rPr>
        <w:t>0,6 млн. лв. приходи от глоби, санкции и наказателни лихви;</w:t>
      </w:r>
    </w:p>
    <w:p w14:paraId="314FF47C" w14:textId="77777777" w:rsidR="00282D8D" w:rsidRPr="009E6752" w:rsidRDefault="00282D8D" w:rsidP="00872E25">
      <w:pPr>
        <w:numPr>
          <w:ilvl w:val="0"/>
          <w:numId w:val="42"/>
        </w:numPr>
        <w:ind w:left="0" w:firstLine="426"/>
        <w:jc w:val="both"/>
        <w:rPr>
          <w:lang w:eastAsia="en-US"/>
        </w:rPr>
      </w:pPr>
      <w:r w:rsidRPr="009E6752">
        <w:rPr>
          <w:lang w:eastAsia="en-US"/>
        </w:rPr>
        <w:t>198,6 млн. лв. от 5 %-ни вноски, като изпълнението им спрямо включените в КФП 586,7 млн. лв. е 33</w:t>
      </w:r>
      <w:r>
        <w:rPr>
          <w:lang w:eastAsia="en-US"/>
        </w:rPr>
        <w:t>,</w:t>
      </w:r>
      <w:r w:rsidRPr="00772219">
        <w:rPr>
          <w:lang w:val="ru-RU" w:eastAsia="en-US"/>
        </w:rPr>
        <w:t>9</w:t>
      </w:r>
      <w:r w:rsidRPr="009E6752">
        <w:rPr>
          <w:lang w:eastAsia="en-US"/>
        </w:rPr>
        <w:t xml:space="preserve"> %;</w:t>
      </w:r>
    </w:p>
    <w:p w14:paraId="636301CD" w14:textId="77777777" w:rsidR="00282D8D" w:rsidRPr="009E6752" w:rsidRDefault="00282D8D" w:rsidP="00872E25">
      <w:pPr>
        <w:numPr>
          <w:ilvl w:val="0"/>
          <w:numId w:val="42"/>
        </w:numPr>
        <w:ind w:left="0" w:firstLine="426"/>
        <w:jc w:val="both"/>
        <w:rPr>
          <w:lang w:eastAsia="en-US"/>
        </w:rPr>
      </w:pPr>
      <w:r w:rsidRPr="009E6752">
        <w:rPr>
          <w:lang w:eastAsia="en-US"/>
        </w:rPr>
        <w:t>745,2 млн. лв. приходи, получени от търговете за продажба на квоти по чл. 57, ал. 1 от Закона за ограничаване изменението на климата, като изпълнението им спрямо включените в КФП 2 022,8 млн. лв. е 36</w:t>
      </w:r>
      <w:r>
        <w:rPr>
          <w:lang w:eastAsia="en-US"/>
        </w:rPr>
        <w:t>,</w:t>
      </w:r>
      <w:r w:rsidRPr="009E6752">
        <w:rPr>
          <w:lang w:eastAsia="en-US"/>
        </w:rPr>
        <w:t>8 %.</w:t>
      </w:r>
    </w:p>
    <w:p w14:paraId="6848FD9F" w14:textId="77777777" w:rsidR="00282D8D" w:rsidRPr="00A34125" w:rsidRDefault="00282D8D" w:rsidP="005A4DD7">
      <w:pPr>
        <w:spacing w:before="120"/>
        <w:jc w:val="both"/>
        <w:rPr>
          <w:lang w:eastAsia="en-US"/>
        </w:rPr>
      </w:pPr>
      <w:r w:rsidRPr="00A34125">
        <w:rPr>
          <w:lang w:eastAsia="en-US"/>
        </w:rPr>
        <w:t xml:space="preserve">Отчетените към 30.06.2024 г. </w:t>
      </w:r>
      <w:r w:rsidRPr="00A34125">
        <w:rPr>
          <w:b/>
          <w:lang w:eastAsia="en-US"/>
        </w:rPr>
        <w:t>разходи</w:t>
      </w:r>
      <w:r w:rsidRPr="00A34125">
        <w:rPr>
          <w:lang w:eastAsia="en-US"/>
        </w:rPr>
        <w:t xml:space="preserve"> на фонда са в размер на 1 274,8 млн. лв., като изпълнението спрямо годишните разчети (2 609,6 млн. лв.) е 48,9 %.</w:t>
      </w:r>
    </w:p>
    <w:p w14:paraId="5336A908" w14:textId="77777777" w:rsidR="00282D8D" w:rsidRPr="00A34125" w:rsidRDefault="00282D8D" w:rsidP="005A4DD7">
      <w:pPr>
        <w:spacing w:before="120"/>
        <w:jc w:val="both"/>
        <w:rPr>
          <w:lang w:eastAsia="en-US"/>
        </w:rPr>
      </w:pPr>
      <w:r w:rsidRPr="00A34125">
        <w:rPr>
          <w:lang w:eastAsia="en-US"/>
        </w:rPr>
        <w:t>Изпълнението на отделните разходи е, както следва:</w:t>
      </w:r>
    </w:p>
    <w:p w14:paraId="72FF83CD" w14:textId="77777777" w:rsidR="00282D8D" w:rsidRPr="00A34125" w:rsidRDefault="00282D8D" w:rsidP="00261061">
      <w:pPr>
        <w:numPr>
          <w:ilvl w:val="0"/>
          <w:numId w:val="27"/>
        </w:numPr>
        <w:ind w:left="709" w:hanging="284"/>
        <w:jc w:val="both"/>
      </w:pPr>
      <w:r w:rsidRPr="00A34125">
        <w:t>0,8 млн. лв. разходи за персонал, чието изпълнение спрямо годишните разчети (1,8 млн. лв.) e 45,4 %;</w:t>
      </w:r>
    </w:p>
    <w:p w14:paraId="4F703EE4" w14:textId="77777777" w:rsidR="00282D8D" w:rsidRPr="00A34125" w:rsidRDefault="00282D8D" w:rsidP="00261061">
      <w:pPr>
        <w:numPr>
          <w:ilvl w:val="0"/>
          <w:numId w:val="27"/>
        </w:numPr>
        <w:ind w:left="709" w:hanging="284"/>
        <w:jc w:val="both"/>
      </w:pPr>
      <w:r w:rsidRPr="00A34125">
        <w:t xml:space="preserve">0,2 млн. лв. разходи за издръжка, чието изпълнение спрямо годишните разчети, които са в размер на 1,7 млн. лв. (в т.ч. издръжка, платени данъци, такси и административни санкции и  разходи за чл. внос) е 11,3 %. </w:t>
      </w:r>
    </w:p>
    <w:p w14:paraId="20298E91" w14:textId="77777777" w:rsidR="00282D8D" w:rsidRPr="00A34125" w:rsidRDefault="00282D8D" w:rsidP="00261061">
      <w:pPr>
        <w:numPr>
          <w:ilvl w:val="0"/>
          <w:numId w:val="27"/>
        </w:numPr>
        <w:ind w:left="709" w:hanging="284"/>
        <w:jc w:val="both"/>
        <w:rPr>
          <w:color w:val="0070C0"/>
        </w:rPr>
      </w:pPr>
      <w:r w:rsidRPr="00A34125">
        <w:t xml:space="preserve">1 273,8 млн. лв. </w:t>
      </w:r>
      <w:r w:rsidRPr="00A34125">
        <w:rPr>
          <w:rFonts w:eastAsia="Calibri"/>
          <w:lang w:eastAsia="en-US"/>
        </w:rPr>
        <w:t>субсидии</w:t>
      </w:r>
      <w:r w:rsidRPr="00A34125">
        <w:rPr>
          <w:rFonts w:eastAsia="Calibri"/>
          <w:sz w:val="22"/>
          <w:lang w:eastAsia="en-US"/>
        </w:rPr>
        <w:t xml:space="preserve"> </w:t>
      </w:r>
      <w:r w:rsidRPr="00A34125">
        <w:rPr>
          <w:rFonts w:eastAsia="Calibri"/>
          <w:lang w:eastAsia="en-US"/>
        </w:rPr>
        <w:t>за покриване на разходите</w:t>
      </w:r>
      <w:r>
        <w:rPr>
          <w:rFonts w:eastAsia="Calibri"/>
          <w:lang w:eastAsia="en-US"/>
        </w:rPr>
        <w:t>,</w:t>
      </w:r>
      <w:r w:rsidRPr="00A34125">
        <w:rPr>
          <w:rFonts w:eastAsia="Calibri"/>
          <w:lang w:eastAsia="en-US"/>
        </w:rPr>
        <w:t xml:space="preserve"> извършени от обществения доставчик, произтичащи от задълженията му по чл. 93а и 94 от Закона за енергетиката /ЗЕ/ и за предоставяне на премия на производител по чл. 162а от ЗЕ и производител с обект с обща инсталирана мощност 500 </w:t>
      </w:r>
      <w:proofErr w:type="spellStart"/>
      <w:r w:rsidRPr="00A34125">
        <w:rPr>
          <w:rFonts w:eastAsia="Calibri"/>
          <w:lang w:eastAsia="en-US"/>
        </w:rPr>
        <w:t>kW</w:t>
      </w:r>
      <w:proofErr w:type="spellEnd"/>
      <w:r w:rsidRPr="00A34125">
        <w:rPr>
          <w:rFonts w:eastAsia="Calibri"/>
          <w:lang w:eastAsia="en-US"/>
        </w:rPr>
        <w:t xml:space="preserve"> и над 500 </w:t>
      </w:r>
      <w:proofErr w:type="spellStart"/>
      <w:r w:rsidRPr="00A34125">
        <w:rPr>
          <w:rFonts w:eastAsia="Calibri"/>
          <w:lang w:eastAsia="en-US"/>
        </w:rPr>
        <w:t>kW</w:t>
      </w:r>
      <w:proofErr w:type="spellEnd"/>
      <w:r w:rsidRPr="00A34125">
        <w:rPr>
          <w:rFonts w:eastAsia="Calibri"/>
          <w:lang w:eastAsia="en-US"/>
        </w:rPr>
        <w:t xml:space="preserve"> по Закона за енергията от възобновяеми източници (ЗЕВИ), включително за минали регулаторни периоди. Изпълнението на тези разходи спрямо включените в КФП 2 603,7 млн. лв. е 48</w:t>
      </w:r>
      <w:r>
        <w:rPr>
          <w:rFonts w:eastAsia="Calibri"/>
          <w:lang w:eastAsia="en-US"/>
        </w:rPr>
        <w:t>,</w:t>
      </w:r>
      <w:r w:rsidRPr="00A34125">
        <w:rPr>
          <w:rFonts w:eastAsia="Calibri"/>
          <w:lang w:eastAsia="en-US"/>
        </w:rPr>
        <w:t>9 %.</w:t>
      </w:r>
    </w:p>
    <w:p w14:paraId="754F0D11" w14:textId="68AF3C4C" w:rsidR="00282D8D" w:rsidRPr="00A34125" w:rsidRDefault="00282D8D" w:rsidP="005A4DD7">
      <w:pPr>
        <w:spacing w:before="120"/>
        <w:jc w:val="both"/>
        <w:rPr>
          <w:color w:val="0070C0"/>
        </w:rPr>
      </w:pPr>
      <w:r w:rsidRPr="00A34125">
        <w:rPr>
          <w:rFonts w:eastAsia="Calibri"/>
          <w:lang w:eastAsia="en-US"/>
        </w:rPr>
        <w:t>Към 30.06.2024 г. РМС № 294 от 23.04.2024 г. е одобр</w:t>
      </w:r>
      <w:r>
        <w:rPr>
          <w:rFonts w:eastAsia="Calibri"/>
          <w:lang w:eastAsia="en-US"/>
        </w:rPr>
        <w:t>ена</w:t>
      </w:r>
      <w:r w:rsidRPr="00A34125">
        <w:rPr>
          <w:rFonts w:eastAsia="Calibri"/>
          <w:lang w:eastAsia="en-US"/>
        </w:rPr>
        <w:t xml:space="preserve"> Програма за компенсиране на разходи на крайни клиенти за електрическа енергия за периода от 01.01.2024 г. до 30.06.2024</w:t>
      </w:r>
      <w:r w:rsidR="00C01CDD">
        <w:rPr>
          <w:rFonts w:eastAsia="Calibri"/>
          <w:lang w:eastAsia="en-US"/>
        </w:rPr>
        <w:t> </w:t>
      </w:r>
      <w:r w:rsidRPr="00A34125">
        <w:rPr>
          <w:rFonts w:eastAsia="Calibri"/>
          <w:lang w:eastAsia="en-US"/>
        </w:rPr>
        <w:t xml:space="preserve"> г. Не са отчетени разходи във връзка с тази програма.</w:t>
      </w:r>
    </w:p>
    <w:p w14:paraId="74B52E72" w14:textId="77777777" w:rsidR="00282D8D" w:rsidRPr="001D49B6" w:rsidRDefault="00282D8D" w:rsidP="00282D8D">
      <w:pPr>
        <w:pStyle w:val="Heading3"/>
        <w:numPr>
          <w:ilvl w:val="1"/>
          <w:numId w:val="23"/>
        </w:numPr>
        <w:rPr>
          <w:rFonts w:ascii="Times New Roman" w:hAnsi="Times New Roman"/>
          <w:sz w:val="24"/>
        </w:rPr>
      </w:pPr>
      <w:bookmarkStart w:id="348" w:name="_Toc81485909"/>
      <w:bookmarkStart w:id="349" w:name="_Toc176351969"/>
      <w:r w:rsidRPr="001D49B6">
        <w:rPr>
          <w:rFonts w:ascii="Times New Roman" w:hAnsi="Times New Roman"/>
          <w:sz w:val="24"/>
        </w:rPr>
        <w:t>Държавно предприятие „Научно-производствен център“</w:t>
      </w:r>
      <w:bookmarkEnd w:id="347"/>
      <w:bookmarkEnd w:id="348"/>
      <w:r w:rsidRPr="001D49B6">
        <w:rPr>
          <w:rFonts w:ascii="Times New Roman" w:hAnsi="Times New Roman"/>
          <w:sz w:val="24"/>
        </w:rPr>
        <w:t xml:space="preserve"> (ДП „НПЦ“)</w:t>
      </w:r>
      <w:bookmarkEnd w:id="349"/>
      <w:r w:rsidRPr="001D49B6">
        <w:rPr>
          <w:rFonts w:ascii="Times New Roman" w:hAnsi="Times New Roman"/>
          <w:sz w:val="24"/>
        </w:rPr>
        <w:t xml:space="preserve"> </w:t>
      </w:r>
    </w:p>
    <w:p w14:paraId="65C3D38F" w14:textId="77777777" w:rsidR="00282D8D" w:rsidRPr="001D49B6" w:rsidRDefault="00282D8D" w:rsidP="00282D8D">
      <w:pPr>
        <w:jc w:val="both"/>
      </w:pPr>
      <w:bookmarkStart w:id="350" w:name="_Toc46136837"/>
      <w:r w:rsidRPr="001D49B6">
        <w:t xml:space="preserve">Отчетените </w:t>
      </w:r>
      <w:r w:rsidRPr="001D49B6">
        <w:rPr>
          <w:b/>
        </w:rPr>
        <w:t>приходи</w:t>
      </w:r>
      <w:r w:rsidRPr="001D49B6">
        <w:t xml:space="preserve"> за първото полугодие на 2024 г. от ДП „НПЦ“ са в размер на 0,7 млн. лв. и представляват основно приходи и доходи от собственост. Изпълнението  на приходите е 26,1 % от годишния им разчет за 2024 г.</w:t>
      </w:r>
    </w:p>
    <w:p w14:paraId="2497F070" w14:textId="77777777" w:rsidR="00282D8D" w:rsidRPr="009E6752" w:rsidRDefault="00282D8D" w:rsidP="008D40BD">
      <w:pPr>
        <w:spacing w:before="120" w:after="120"/>
        <w:jc w:val="both"/>
        <w:rPr>
          <w:color w:val="000000"/>
        </w:rPr>
      </w:pPr>
      <w:r w:rsidRPr="001D49B6">
        <w:t xml:space="preserve">За отчетния период </w:t>
      </w:r>
      <w:r w:rsidRPr="001D49B6">
        <w:rPr>
          <w:b/>
        </w:rPr>
        <w:t>разходите</w:t>
      </w:r>
      <w:r w:rsidRPr="001D49B6">
        <w:t xml:space="preserve"> на ДП „НПЦ“ са в размер на 1,2 млн. лв. или 46,1 % </w:t>
      </w:r>
      <w:r w:rsidRPr="00207095">
        <w:t>спрямо годишния разчет за 2024 г.</w:t>
      </w:r>
      <w:r>
        <w:t>,</w:t>
      </w:r>
      <w:r w:rsidRPr="004568A4">
        <w:t xml:space="preserve"> </w:t>
      </w:r>
      <w:r w:rsidRPr="009E6752">
        <w:t>като с най-голям относителен дял са отчетените разходи за персонал.</w:t>
      </w:r>
    </w:p>
    <w:p w14:paraId="73EFCA35" w14:textId="77777777" w:rsidR="00282D8D" w:rsidRPr="00207095" w:rsidRDefault="00282D8D" w:rsidP="00282D8D">
      <w:pPr>
        <w:pStyle w:val="Heading3"/>
        <w:numPr>
          <w:ilvl w:val="1"/>
          <w:numId w:val="23"/>
        </w:numPr>
        <w:rPr>
          <w:rFonts w:ascii="Times New Roman" w:hAnsi="Times New Roman"/>
          <w:sz w:val="24"/>
        </w:rPr>
      </w:pPr>
      <w:bookmarkStart w:id="351" w:name="_Toc81485910"/>
      <w:bookmarkStart w:id="352" w:name="_Toc176351970"/>
      <w:r w:rsidRPr="00207095">
        <w:rPr>
          <w:rFonts w:ascii="Times New Roman" w:hAnsi="Times New Roman"/>
          <w:sz w:val="24"/>
        </w:rPr>
        <w:t>Държавно предприятие „Управление и стопанисване на язовири</w:t>
      </w:r>
      <w:bookmarkEnd w:id="350"/>
      <w:r w:rsidRPr="00207095">
        <w:rPr>
          <w:rFonts w:ascii="Times New Roman" w:hAnsi="Times New Roman"/>
          <w:sz w:val="24"/>
        </w:rPr>
        <w:t>“</w:t>
      </w:r>
      <w:bookmarkEnd w:id="351"/>
      <w:r w:rsidRPr="00207095">
        <w:rPr>
          <w:rFonts w:ascii="Times New Roman" w:hAnsi="Times New Roman"/>
          <w:sz w:val="24"/>
        </w:rPr>
        <w:t xml:space="preserve"> (ДП „УСЯ“)</w:t>
      </w:r>
      <w:bookmarkEnd w:id="352"/>
    </w:p>
    <w:p w14:paraId="512D4512" w14:textId="77777777" w:rsidR="00282D8D" w:rsidRPr="00207095" w:rsidRDefault="00282D8D" w:rsidP="00282D8D">
      <w:pPr>
        <w:jc w:val="both"/>
        <w:rPr>
          <w:lang w:eastAsia="en-US"/>
        </w:rPr>
      </w:pPr>
      <w:r w:rsidRPr="00207095">
        <w:rPr>
          <w:lang w:eastAsia="en-US"/>
        </w:rPr>
        <w:t xml:space="preserve">Държавно предприятие </w:t>
      </w:r>
      <w:r w:rsidRPr="00207095">
        <w:t>„</w:t>
      </w:r>
      <w:r w:rsidRPr="00207095">
        <w:rPr>
          <w:lang w:eastAsia="en-US"/>
        </w:rPr>
        <w:t>Управление и стопанисване на язовири“ няма планирани собствени приходи по бюджета си за 2024 г., а към 30.0</w:t>
      </w:r>
      <w:r w:rsidRPr="00207095">
        <w:rPr>
          <w:lang w:val="ru-RU" w:eastAsia="en-US"/>
        </w:rPr>
        <w:t>6</w:t>
      </w:r>
      <w:r w:rsidRPr="00207095">
        <w:rPr>
          <w:lang w:eastAsia="en-US"/>
        </w:rPr>
        <w:t>.2024 г. отчита приходи от наеми на имущество в размер на 0,01 млн. лв.</w:t>
      </w:r>
    </w:p>
    <w:p w14:paraId="6BB94939" w14:textId="77777777" w:rsidR="00906717" w:rsidRDefault="00282D8D" w:rsidP="00282D8D">
      <w:pPr>
        <w:spacing w:before="120"/>
        <w:jc w:val="both"/>
      </w:pPr>
      <w:r w:rsidRPr="00C547A4">
        <w:t xml:space="preserve">Към 30.06.2024 г. ДП „УСЯ“ е отчело </w:t>
      </w:r>
      <w:r w:rsidRPr="00C547A4">
        <w:rPr>
          <w:b/>
        </w:rPr>
        <w:t>разходи</w:t>
      </w:r>
      <w:r w:rsidRPr="00C547A4">
        <w:t xml:space="preserve"> в размер на 5,8 млн. лв. Отчетените разходи са за: персонал – 2,5 млн. лв. и издръжка, </w:t>
      </w:r>
      <w:r w:rsidRPr="00C547A4">
        <w:rPr>
          <w:lang w:eastAsia="en-US"/>
        </w:rPr>
        <w:t>платени данъци, такси и административни санкции</w:t>
      </w:r>
      <w:r w:rsidRPr="00C547A4">
        <w:t xml:space="preserve"> – 3,3 млн. лв.</w:t>
      </w:r>
    </w:p>
    <w:p w14:paraId="7A31B726" w14:textId="77777777" w:rsidR="00906717" w:rsidRDefault="00906717">
      <w:r>
        <w:br w:type="page"/>
      </w:r>
    </w:p>
    <w:p w14:paraId="1FCABF71" w14:textId="11E841F7" w:rsidR="000470AB" w:rsidRPr="003B753B" w:rsidRDefault="000470AB" w:rsidP="00144F57">
      <w:pPr>
        <w:pStyle w:val="Heading1"/>
        <w:pageBreakBefore/>
        <w:spacing w:after="240"/>
        <w:ind w:left="432"/>
        <w:jc w:val="center"/>
        <w:rPr>
          <w:rFonts w:ascii="Times New Roman" w:hAnsi="Times New Roman" w:cs="Times New Roman"/>
          <w:sz w:val="28"/>
          <w:szCs w:val="28"/>
        </w:rPr>
      </w:pPr>
      <w:bookmarkStart w:id="353" w:name="_Toc176351971"/>
      <w:r w:rsidRPr="003B753B">
        <w:rPr>
          <w:rFonts w:ascii="Times New Roman" w:hAnsi="Times New Roman" w:cs="Times New Roman"/>
          <w:sz w:val="28"/>
          <w:szCs w:val="28"/>
        </w:rPr>
        <w:t>ЗАКЛЮЧЕНИЕ</w:t>
      </w:r>
      <w:bookmarkEnd w:id="343"/>
      <w:bookmarkEnd w:id="344"/>
      <w:bookmarkEnd w:id="353"/>
    </w:p>
    <w:p w14:paraId="110AE169" w14:textId="77777777" w:rsidR="003B753B" w:rsidRPr="00272747" w:rsidRDefault="003B753B" w:rsidP="00906717">
      <w:pPr>
        <w:spacing w:before="600" w:after="240"/>
        <w:jc w:val="both"/>
        <w:rPr>
          <w:color w:val="000000" w:themeColor="text1"/>
        </w:rPr>
      </w:pPr>
      <w:r w:rsidRPr="00272747">
        <w:rPr>
          <w:color w:val="000000" w:themeColor="text1"/>
        </w:rPr>
        <w:t xml:space="preserve">Въз основа на отчетените данни и анализа на изпълнението на бюджета за първото полугодие на 2024 г. могат да се направят следните </w:t>
      </w:r>
      <w:r w:rsidRPr="00272747">
        <w:rPr>
          <w:bCs/>
          <w:color w:val="000000" w:themeColor="text1"/>
        </w:rPr>
        <w:t>изводи</w:t>
      </w:r>
      <w:r w:rsidRPr="00272747">
        <w:rPr>
          <w:color w:val="000000" w:themeColor="text1"/>
        </w:rPr>
        <w:t>:</w:t>
      </w:r>
    </w:p>
    <w:p w14:paraId="69764618" w14:textId="603342D6" w:rsidR="003B753B" w:rsidRPr="00B2313F" w:rsidRDefault="003B753B" w:rsidP="00906717">
      <w:pPr>
        <w:pStyle w:val="ListParagraph"/>
        <w:numPr>
          <w:ilvl w:val="0"/>
          <w:numId w:val="46"/>
        </w:numPr>
        <w:spacing w:before="120" w:after="240"/>
        <w:ind w:left="0" w:firstLine="360"/>
        <w:contextualSpacing w:val="0"/>
        <w:jc w:val="both"/>
        <w:rPr>
          <w:rFonts w:ascii="Times New Roman" w:hAnsi="Times New Roman" w:cs="Times New Roman"/>
          <w:color w:val="000000" w:themeColor="text1"/>
          <w:sz w:val="24"/>
          <w:szCs w:val="24"/>
        </w:rPr>
      </w:pPr>
      <w:r w:rsidRPr="00B2313F">
        <w:rPr>
          <w:rFonts w:ascii="Times New Roman" w:hAnsi="Times New Roman" w:cs="Times New Roman"/>
          <w:color w:val="000000" w:themeColor="text1"/>
          <w:sz w:val="24"/>
          <w:szCs w:val="24"/>
        </w:rPr>
        <w:t>През първото полугодие на 2024 г. брутният вътрешен продукт на България възлезе на 88 430 млн. лв., което представлява увеличение с 6 % спрямо същия период на 2023 г. Реалният растеж на БВП за полугодието достигна 2 % с положителен принос от вътрешното търсене</w:t>
      </w:r>
      <w:r w:rsidR="00C01A38">
        <w:rPr>
          <w:rFonts w:ascii="Times New Roman" w:hAnsi="Times New Roman" w:cs="Times New Roman"/>
          <w:color w:val="000000" w:themeColor="text1"/>
          <w:sz w:val="24"/>
          <w:szCs w:val="24"/>
        </w:rPr>
        <w:t>.</w:t>
      </w:r>
    </w:p>
    <w:p w14:paraId="796BF576" w14:textId="77777777" w:rsidR="003B753B" w:rsidRPr="0055167A" w:rsidRDefault="003B753B" w:rsidP="00906717">
      <w:pPr>
        <w:numPr>
          <w:ilvl w:val="2"/>
          <w:numId w:val="32"/>
        </w:numPr>
        <w:tabs>
          <w:tab w:val="clear" w:pos="2160"/>
          <w:tab w:val="left" w:pos="720"/>
        </w:tabs>
        <w:spacing w:before="120" w:after="240"/>
        <w:ind w:left="0" w:firstLine="357"/>
        <w:jc w:val="both"/>
        <w:rPr>
          <w:color w:val="0070C0"/>
        </w:rPr>
      </w:pPr>
      <w:r>
        <w:rPr>
          <w:rFonts w:eastAsia="Calibri"/>
          <w:lang w:eastAsia="en-US"/>
        </w:rPr>
        <w:t>Б</w:t>
      </w:r>
      <w:r w:rsidRPr="00AC028A">
        <w:rPr>
          <w:rFonts w:eastAsia="Calibri"/>
          <w:lang w:eastAsia="en-US"/>
        </w:rPr>
        <w:t xml:space="preserve">роят на заетите през първото тримесечие на 2024 г. </w:t>
      </w:r>
      <w:r>
        <w:rPr>
          <w:rFonts w:eastAsia="Calibri"/>
          <w:lang w:eastAsia="en-US"/>
        </w:rPr>
        <w:t>отбеляза годишен ръст от 0,7 %, като</w:t>
      </w:r>
      <w:r w:rsidRPr="00AC028A">
        <w:rPr>
          <w:rFonts w:eastAsia="Calibri"/>
          <w:lang w:eastAsia="en-US"/>
        </w:rPr>
        <w:t xml:space="preserve"> достигна 3 425 хил. души. Основен принос </w:t>
      </w:r>
      <w:r>
        <w:rPr>
          <w:rFonts w:eastAsia="Calibri"/>
          <w:lang w:eastAsia="en-US"/>
        </w:rPr>
        <w:t>имаха секторът на</w:t>
      </w:r>
      <w:r w:rsidRPr="00AC028A">
        <w:rPr>
          <w:rFonts w:eastAsia="Calibri"/>
          <w:lang w:eastAsia="en-US"/>
        </w:rPr>
        <w:t xml:space="preserve"> услугите и </w:t>
      </w:r>
      <w:r>
        <w:rPr>
          <w:rFonts w:eastAsia="Calibri"/>
          <w:lang w:eastAsia="en-US"/>
        </w:rPr>
        <w:t xml:space="preserve">на </w:t>
      </w:r>
      <w:r w:rsidRPr="00AC028A">
        <w:rPr>
          <w:rFonts w:eastAsia="Calibri"/>
          <w:lang w:eastAsia="en-US"/>
        </w:rPr>
        <w:t>строителството, където броят на работните места се е увеличил съответно с 1,7 % и 2,7 % на годишна база. Проблемите в промишлеността оказват влияние върху динамиката на заетостта в сектора, която е намаляла с 1,8 % спрямо първото тримесечие на 2023 г. Регистрираният през първото тримесечие коефициент на безраб</w:t>
      </w:r>
      <w:r>
        <w:rPr>
          <w:rFonts w:eastAsia="Calibri"/>
          <w:lang w:eastAsia="en-US"/>
        </w:rPr>
        <w:t>отица в страната е 5,0 на сто.</w:t>
      </w:r>
    </w:p>
    <w:p w14:paraId="3DB49B8A" w14:textId="28F9EB2F" w:rsidR="003B753B" w:rsidRDefault="003B753B" w:rsidP="00906717">
      <w:pPr>
        <w:numPr>
          <w:ilvl w:val="2"/>
          <w:numId w:val="32"/>
        </w:numPr>
        <w:tabs>
          <w:tab w:val="clear" w:pos="2160"/>
          <w:tab w:val="left" w:pos="720"/>
        </w:tabs>
        <w:spacing w:before="120" w:after="240"/>
        <w:ind w:left="0" w:firstLine="357"/>
        <w:jc w:val="both"/>
        <w:rPr>
          <w:color w:val="0070C0"/>
        </w:rPr>
      </w:pPr>
      <w:r>
        <w:rPr>
          <w:rFonts w:eastAsia="Calibri"/>
          <w:lang w:eastAsia="en-US"/>
        </w:rPr>
        <w:t>Към края на полугодието на 2024 г.</w:t>
      </w:r>
      <w:r w:rsidRPr="00AC028A">
        <w:rPr>
          <w:rFonts w:eastAsia="Calibri"/>
          <w:lang w:eastAsia="en-US"/>
        </w:rPr>
        <w:t xml:space="preserve"> средната заплата в страна се повиши номинално с</w:t>
      </w:r>
      <w:r w:rsidR="00C01A38">
        <w:rPr>
          <w:rFonts w:eastAsia="Calibri"/>
          <w:lang w:eastAsia="en-US"/>
        </w:rPr>
        <w:t>ъс</w:t>
      </w:r>
      <w:r w:rsidRPr="00AC028A">
        <w:rPr>
          <w:rFonts w:eastAsia="Calibri"/>
          <w:lang w:eastAsia="en-US"/>
        </w:rPr>
        <w:t xml:space="preserve"> 17,1 %, a в реално изражение (</w:t>
      </w:r>
      <w:proofErr w:type="spellStart"/>
      <w:r w:rsidRPr="00AC028A">
        <w:rPr>
          <w:rFonts w:eastAsia="Calibri"/>
          <w:lang w:eastAsia="en-US"/>
        </w:rPr>
        <w:t>дефлирана</w:t>
      </w:r>
      <w:proofErr w:type="spellEnd"/>
      <w:r w:rsidRPr="00AC028A">
        <w:rPr>
          <w:rFonts w:eastAsia="Calibri"/>
          <w:lang w:eastAsia="en-US"/>
        </w:rPr>
        <w:t xml:space="preserve"> с ХИПЦ) темпът се ускори до 13,6 % в сравнение с 2023 г.</w:t>
      </w:r>
      <w:r>
        <w:rPr>
          <w:rFonts w:eastAsia="Calibri"/>
          <w:lang w:eastAsia="en-US"/>
        </w:rPr>
        <w:t xml:space="preserve"> Ръстът на к</w:t>
      </w:r>
      <w:r w:rsidRPr="00AC028A">
        <w:rPr>
          <w:rFonts w:eastAsia="Calibri"/>
          <w:lang w:eastAsia="en-US"/>
        </w:rPr>
        <w:t>омпенсацията на един нает</w:t>
      </w:r>
      <w:r>
        <w:rPr>
          <w:rFonts w:eastAsia="Calibri"/>
          <w:lang w:eastAsia="en-US"/>
        </w:rPr>
        <w:t xml:space="preserve"> за първото тримесечие на годината възлезе на 13,7 %, като се ускори</w:t>
      </w:r>
      <w:r w:rsidRPr="00AC028A">
        <w:rPr>
          <w:rFonts w:eastAsia="Calibri"/>
          <w:lang w:eastAsia="en-US"/>
        </w:rPr>
        <w:t xml:space="preserve"> спрямо края на предходната година. За </w:t>
      </w:r>
      <w:r>
        <w:rPr>
          <w:rFonts w:eastAsia="Calibri"/>
          <w:lang w:eastAsia="en-US"/>
        </w:rPr>
        <w:t>отчетеното</w:t>
      </w:r>
      <w:r w:rsidRPr="00AC028A">
        <w:rPr>
          <w:rFonts w:eastAsia="Calibri"/>
          <w:lang w:eastAsia="en-US"/>
        </w:rPr>
        <w:t xml:space="preserve"> нарастване на доходите от труд </w:t>
      </w:r>
      <w:r>
        <w:rPr>
          <w:rFonts w:eastAsia="Calibri"/>
          <w:lang w:eastAsia="en-US"/>
        </w:rPr>
        <w:t>допринесоха</w:t>
      </w:r>
      <w:r w:rsidRPr="00AC028A">
        <w:rPr>
          <w:rFonts w:eastAsia="Calibri"/>
          <w:lang w:eastAsia="en-US"/>
        </w:rPr>
        <w:t xml:space="preserve"> заложеното увеличение на минималната работна заплата</w:t>
      </w:r>
      <w:r w:rsidR="00037D50">
        <w:rPr>
          <w:rFonts w:eastAsia="Calibri"/>
          <w:lang w:eastAsia="en-US"/>
        </w:rPr>
        <w:t>,</w:t>
      </w:r>
      <w:r w:rsidRPr="00AC028A">
        <w:rPr>
          <w:rFonts w:eastAsia="Calibri"/>
          <w:lang w:eastAsia="en-US"/>
        </w:rPr>
        <w:t xml:space="preserve"> както и динамиката на средната работна заплата. </w:t>
      </w:r>
    </w:p>
    <w:p w14:paraId="54BFD7B8" w14:textId="77777777" w:rsidR="003B753B" w:rsidRPr="00E56679" w:rsidRDefault="003B753B" w:rsidP="00906717">
      <w:pPr>
        <w:numPr>
          <w:ilvl w:val="2"/>
          <w:numId w:val="32"/>
        </w:numPr>
        <w:tabs>
          <w:tab w:val="clear" w:pos="2160"/>
          <w:tab w:val="left" w:pos="720"/>
        </w:tabs>
        <w:spacing w:before="120" w:after="240"/>
        <w:ind w:left="0" w:firstLine="357"/>
        <w:jc w:val="both"/>
        <w:rPr>
          <w:color w:val="0070C0"/>
        </w:rPr>
      </w:pPr>
      <w:r w:rsidRPr="00AC028A">
        <w:rPr>
          <w:rFonts w:eastAsia="Calibri"/>
          <w:lang w:eastAsia="en-US"/>
        </w:rPr>
        <w:t xml:space="preserve">Тенденцията на намаление на инфлацията по месеци на годишна база, която започна от последното тримесечие на 2022 г., продължи през цялата 2023 г., както и през първото полугодие на 2024 г. Процесът на </w:t>
      </w:r>
      <w:proofErr w:type="spellStart"/>
      <w:r w:rsidRPr="00AC028A">
        <w:rPr>
          <w:rFonts w:eastAsia="Calibri"/>
          <w:lang w:eastAsia="en-US"/>
        </w:rPr>
        <w:t>дезинфлация</w:t>
      </w:r>
      <w:proofErr w:type="spellEnd"/>
      <w:r w:rsidRPr="00AC028A">
        <w:rPr>
          <w:rFonts w:eastAsia="Calibri"/>
          <w:lang w:eastAsia="en-US"/>
        </w:rPr>
        <w:t xml:space="preserve"> продължи без прекъсване до април 2024 г., когато инфлацията спрямо същия месец на предходната година достигна 2,5 % - най-ниската стойност за последните три години. Намалението на годишната инфлация до април обхващаше всички основни компоненти на ХИПЦ. През май годишният темп на инфлация се ускори до 2,7 %, а през юни – до 2,8 %. </w:t>
      </w:r>
    </w:p>
    <w:p w14:paraId="5EC39ED6" w14:textId="073440C9" w:rsidR="003B753B" w:rsidRDefault="003B753B" w:rsidP="00906717">
      <w:pPr>
        <w:numPr>
          <w:ilvl w:val="2"/>
          <w:numId w:val="32"/>
        </w:numPr>
        <w:tabs>
          <w:tab w:val="clear" w:pos="2160"/>
          <w:tab w:val="left" w:pos="720"/>
        </w:tabs>
        <w:spacing w:before="120" w:after="240"/>
        <w:ind w:left="0" w:firstLine="357"/>
        <w:jc w:val="both"/>
        <w:rPr>
          <w:rFonts w:eastAsia="Calibri"/>
          <w:lang w:eastAsia="en-US"/>
        </w:rPr>
      </w:pPr>
      <w:r w:rsidRPr="00812DE3">
        <w:rPr>
          <w:rFonts w:eastAsia="Calibri"/>
          <w:lang w:eastAsia="en-US"/>
        </w:rPr>
        <w:t xml:space="preserve">През месец юни Европейската комисия и Европейската централна банка публикуваха </w:t>
      </w:r>
      <w:proofErr w:type="spellStart"/>
      <w:r w:rsidRPr="00812DE3">
        <w:rPr>
          <w:rFonts w:eastAsia="Calibri"/>
          <w:lang w:eastAsia="en-US"/>
        </w:rPr>
        <w:t>конвергентните</w:t>
      </w:r>
      <w:proofErr w:type="spellEnd"/>
      <w:r w:rsidRPr="00812DE3">
        <w:rPr>
          <w:rFonts w:eastAsia="Calibri"/>
          <w:lang w:eastAsia="en-US"/>
        </w:rPr>
        <w:t xml:space="preserve"> доклади за 2024 г., в които представят оценката си за напредъка по пътя към еврозоната, постигнат от шестте държави членки, задължени да приемат еврото: България, Чехия, Унгария, Полша, Румъния и Швеция. Според докладите страната ни изпълнява три от четирите числови критерия за членство в еврозоната, а именно</w:t>
      </w:r>
      <w:r w:rsidR="00037D50">
        <w:rPr>
          <w:rFonts w:eastAsia="Calibri"/>
          <w:lang w:eastAsia="en-US"/>
        </w:rPr>
        <w:t>:</w:t>
      </w:r>
      <w:r w:rsidRPr="00812DE3">
        <w:rPr>
          <w:rFonts w:eastAsia="Calibri"/>
          <w:lang w:eastAsia="en-US"/>
        </w:rPr>
        <w:t xml:space="preserve"> стабилност на публичните финанси (бюджетно салдо и държавен дълг), валут</w:t>
      </w:r>
      <w:r w:rsidR="00037D50">
        <w:rPr>
          <w:rFonts w:eastAsia="Calibri"/>
          <w:lang w:eastAsia="en-US"/>
        </w:rPr>
        <w:t>е</w:t>
      </w:r>
      <w:r w:rsidRPr="00812DE3">
        <w:rPr>
          <w:rFonts w:eastAsia="Calibri"/>
          <w:lang w:eastAsia="en-US"/>
        </w:rPr>
        <w:t>н курс и дългосроч</w:t>
      </w:r>
      <w:r w:rsidR="00037D50">
        <w:rPr>
          <w:rFonts w:eastAsia="Calibri"/>
          <w:lang w:eastAsia="en-US"/>
        </w:rPr>
        <w:t>е</w:t>
      </w:r>
      <w:r w:rsidRPr="00812DE3">
        <w:rPr>
          <w:rFonts w:eastAsia="Calibri"/>
          <w:lang w:eastAsia="en-US"/>
        </w:rPr>
        <w:t>н лихвен процент. България не изпълнява единствено критерия за ценова стабилност, като очакванията са инфлацията да се понижи през следващите месеци</w:t>
      </w:r>
      <w:r>
        <w:rPr>
          <w:rFonts w:eastAsia="Calibri"/>
          <w:lang w:eastAsia="en-US"/>
        </w:rPr>
        <w:t>.</w:t>
      </w:r>
    </w:p>
    <w:p w14:paraId="11B14E4A" w14:textId="5D1ACA75" w:rsidR="003B753B" w:rsidRDefault="003B753B" w:rsidP="00906717">
      <w:pPr>
        <w:numPr>
          <w:ilvl w:val="2"/>
          <w:numId w:val="32"/>
        </w:numPr>
        <w:tabs>
          <w:tab w:val="clear" w:pos="2160"/>
          <w:tab w:val="left" w:pos="720"/>
        </w:tabs>
        <w:spacing w:before="120" w:after="240"/>
        <w:ind w:left="0" w:firstLine="357"/>
        <w:jc w:val="both"/>
        <w:rPr>
          <w:color w:val="0070C0"/>
        </w:rPr>
      </w:pPr>
      <w:r w:rsidRPr="001E1E12">
        <w:t>Фискалните развити</w:t>
      </w:r>
      <w:r>
        <w:t>я през първото полугодие на 2024</w:t>
      </w:r>
      <w:r w:rsidRPr="001E1E12">
        <w:t xml:space="preserve"> г</w:t>
      </w:r>
      <w:r w:rsidRPr="00864A5B">
        <w:t>.</w:t>
      </w:r>
      <w:r w:rsidRPr="001E1E12">
        <w:t xml:space="preserve"> бяха доминирани от множество фактори, влияещи разнопосочно върху бюджетните показатели. </w:t>
      </w:r>
      <w:r>
        <w:t>От една страна</w:t>
      </w:r>
      <w:r w:rsidR="00037D50">
        <w:t>,</w:t>
      </w:r>
      <w:r>
        <w:t xml:space="preserve"> завръщането към нормалния бюджетен процес и приемането на закона за бюджета преди началото на бюджетната година повиши предвидимостта за икономиката и се очаква да подкрепи растежа с одобрената безпрецедентна по размер капиталова програма. Тенденциите на забавяне и спад при инфлацията продължиха, а безработицата остана на ниско равнище. От друга страна обаче</w:t>
      </w:r>
      <w:r w:rsidR="00037D50">
        <w:t>,</w:t>
      </w:r>
      <w:r>
        <w:t xml:space="preserve"> страната отново се завърна към периода на политическа нестабилност, което съответно води до по-голяма неопределеност сред икономическите субекти за политиките и приоритетите, които ще бъдат следвани в краткосрочен и средносрочен план.</w:t>
      </w:r>
      <w:r w:rsidRPr="00FA7549">
        <w:rPr>
          <w:color w:val="0070C0"/>
        </w:rPr>
        <w:t xml:space="preserve"> </w:t>
      </w:r>
    </w:p>
    <w:p w14:paraId="5A15187D" w14:textId="1B6F5A5C" w:rsidR="003B753B" w:rsidRPr="00FA7549" w:rsidRDefault="003B753B" w:rsidP="00906717">
      <w:pPr>
        <w:numPr>
          <w:ilvl w:val="2"/>
          <w:numId w:val="32"/>
        </w:numPr>
        <w:tabs>
          <w:tab w:val="clear" w:pos="2160"/>
          <w:tab w:val="left" w:pos="720"/>
        </w:tabs>
        <w:spacing w:before="120" w:after="240"/>
        <w:ind w:left="0" w:firstLine="357"/>
        <w:jc w:val="both"/>
        <w:rPr>
          <w:color w:val="0070C0"/>
        </w:rPr>
      </w:pPr>
      <w:r w:rsidRPr="00B3403D">
        <w:t>Продължителният период на политическа нестабилност допълнително поставя предизвикателства както при изпълнението на бюджета за 2024 г., така и при изпълнението на етапите на бюджетната процедура за изготвянето на законопроекта за държавния бюджет за следващата година, Актуализирана</w:t>
      </w:r>
      <w:r w:rsidR="00037D50">
        <w:t>та</w:t>
      </w:r>
      <w:r w:rsidRPr="00B3403D">
        <w:t xml:space="preserve"> средносрочна бюджетна прогноза за периода 2025-2027</w:t>
      </w:r>
      <w:r w:rsidR="0070352A">
        <w:t> </w:t>
      </w:r>
      <w:r w:rsidRPr="00B3403D">
        <w:t>г. и Националн</w:t>
      </w:r>
      <w:r w:rsidR="00037D50">
        <w:t>ия</w:t>
      </w:r>
      <w:r w:rsidRPr="00B3403D">
        <w:t xml:space="preserve"> средносрочен фискално-структурен план на Република България за периода 2025-2028 г. Последният е от изключително значение в контекста на усилията на България за присъединяване към еврозоната</w:t>
      </w:r>
      <w:r>
        <w:t>.</w:t>
      </w:r>
    </w:p>
    <w:p w14:paraId="765968AC" w14:textId="77777777" w:rsidR="003B753B" w:rsidRPr="00FA7549" w:rsidRDefault="003B753B" w:rsidP="00906717">
      <w:pPr>
        <w:numPr>
          <w:ilvl w:val="2"/>
          <w:numId w:val="32"/>
        </w:numPr>
        <w:tabs>
          <w:tab w:val="clear" w:pos="2160"/>
          <w:tab w:val="left" w:pos="720"/>
        </w:tabs>
        <w:spacing w:before="120" w:after="240"/>
        <w:ind w:left="0" w:firstLine="357"/>
        <w:jc w:val="both"/>
        <w:rPr>
          <w:color w:val="0070C0"/>
        </w:rPr>
      </w:pPr>
      <w:r>
        <w:t>Рамката</w:t>
      </w:r>
      <w:r w:rsidRPr="00B25639">
        <w:t xml:space="preserve"> по приходите в разчетите към ЗДБРБ за 2024 г. е планирана амбициозно и изисква максимална мобилизация на приходните администрации за подобряване на събираемостта на приходите, борба със сивата икономика и данъчните престъпления и насърчаване доброволното плащане на дължимите публични вземания.</w:t>
      </w:r>
    </w:p>
    <w:p w14:paraId="5F117296" w14:textId="4605B90D" w:rsidR="003B753B" w:rsidRPr="00FA7549" w:rsidRDefault="003B753B" w:rsidP="00906717">
      <w:pPr>
        <w:numPr>
          <w:ilvl w:val="2"/>
          <w:numId w:val="32"/>
        </w:numPr>
        <w:tabs>
          <w:tab w:val="clear" w:pos="2160"/>
          <w:tab w:val="left" w:pos="720"/>
        </w:tabs>
        <w:spacing w:before="120" w:after="240"/>
        <w:ind w:left="0" w:firstLine="357"/>
        <w:jc w:val="both"/>
        <w:rPr>
          <w:color w:val="0070C0"/>
        </w:rPr>
      </w:pPr>
      <w:r w:rsidRPr="00636354">
        <w:t xml:space="preserve">През първите шест месеца на 2024 г. се </w:t>
      </w:r>
      <w:r w:rsidRPr="002A6F90">
        <w:t xml:space="preserve">наблюдава </w:t>
      </w:r>
      <w:r w:rsidRPr="00636354">
        <w:t>относително ускорено нарастване на разходите, докато нарастването в частта на приходите е по-умерено, което съответно се отрази във формиране на дефицит в размер на 0,6 млрд. лв. (0,3</w:t>
      </w:r>
      <w:r w:rsidR="00D87318" w:rsidRPr="00D126C1">
        <w:rPr>
          <w:lang w:val="ru-RU"/>
        </w:rPr>
        <w:t xml:space="preserve"> </w:t>
      </w:r>
      <w:r w:rsidRPr="00636354">
        <w:t>% от прогнозния БВП) по консолидираната фискална програма към края на юни 2024 г. За разлика от предходната година, когато през юни и юли еднократните приходи от дивидент за държавата от държавни предприятия компенсираха натрупания дефицит от предходните месеци, през 2024 г. ръстът на разходите е по-висок от темпа на нарастване на приходите, включително и поради липсата на еднократни приходи, което е причината бюджетното салдо да премине на отрицателна територия още към полугодието.</w:t>
      </w:r>
    </w:p>
    <w:p w14:paraId="3B65D81B" w14:textId="59065F5A" w:rsidR="003B753B" w:rsidRPr="00D126C1" w:rsidRDefault="003B753B" w:rsidP="00906717">
      <w:pPr>
        <w:numPr>
          <w:ilvl w:val="2"/>
          <w:numId w:val="32"/>
        </w:numPr>
        <w:tabs>
          <w:tab w:val="clear" w:pos="2160"/>
          <w:tab w:val="left" w:pos="720"/>
        </w:tabs>
        <w:spacing w:before="120" w:after="240"/>
        <w:ind w:left="0" w:firstLine="357"/>
        <w:jc w:val="both"/>
        <w:rPr>
          <w:color w:val="0070C0"/>
        </w:rPr>
      </w:pPr>
      <w:r w:rsidRPr="00AA0C9B">
        <w:t xml:space="preserve">При отделните </w:t>
      </w:r>
      <w:r w:rsidRPr="00D126C1">
        <w:t>елементи на разходите, съпоставено със същия период на предходната година, най-значителен номинален ръст се отчита при социалните и здравноосигурителните разходи (2,5 млрд. лв. или 18,2 на сто), разходите за персонал (с 1,9 млрд. лв. или 24,5 на сто), капиталовите разходи (на съпоставима база), които нарастват с 1,0 млрд. лв. или 47,</w:t>
      </w:r>
      <w:r w:rsidR="00D52552" w:rsidRPr="00D126C1">
        <w:rPr>
          <w:lang w:val="ru-RU"/>
        </w:rPr>
        <w:t>9</w:t>
      </w:r>
      <w:r w:rsidRPr="00D126C1">
        <w:t xml:space="preserve"> на сто, и други.</w:t>
      </w:r>
    </w:p>
    <w:p w14:paraId="4D206810" w14:textId="11C5C696" w:rsidR="003B753B" w:rsidRDefault="003B753B" w:rsidP="00906717">
      <w:pPr>
        <w:numPr>
          <w:ilvl w:val="2"/>
          <w:numId w:val="32"/>
        </w:numPr>
        <w:tabs>
          <w:tab w:val="clear" w:pos="2160"/>
          <w:tab w:val="left" w:pos="720"/>
        </w:tabs>
        <w:spacing w:before="120" w:after="240"/>
        <w:ind w:left="0" w:firstLine="357"/>
        <w:jc w:val="both"/>
        <w:rPr>
          <w:color w:val="0070C0"/>
        </w:rPr>
      </w:pPr>
      <w:r>
        <w:t>В частта на разходите съществуват</w:t>
      </w:r>
      <w:r w:rsidRPr="006E1C91">
        <w:t xml:space="preserve"> пот</w:t>
      </w:r>
      <w:r>
        <w:t>енциални рискове, свързани с</w:t>
      </w:r>
      <w:r w:rsidRPr="006E1C91">
        <w:t xml:space="preserve"> възможностите за финансиране в рамките на одобрените разходи за годината на планираните за реализиране през 2024 г. проекти по Инвестиционната програма </w:t>
      </w:r>
      <w:r w:rsidR="009562FB" w:rsidRPr="009562FB">
        <w:t>по чл. 106 и чл. 107 от Закона за държавния бюджет на Република България за 2024 г., тъй като индикативният размер на прогнозния бюджет в Приложение № 2 към чл. 106, ал. 5 и Приложение № 3 към чл. 107, ал. 13</w:t>
      </w:r>
      <w:r w:rsidRPr="006E1C91">
        <w:t xml:space="preserve"> на ЗДБРБ за 2024 г. е по-висок от заложените разходи в разчетите към закона за бюджета за настоящата година.</w:t>
      </w:r>
    </w:p>
    <w:p w14:paraId="6F4508FF" w14:textId="77777777" w:rsidR="003B753B" w:rsidRDefault="003B753B" w:rsidP="00906717">
      <w:pPr>
        <w:numPr>
          <w:ilvl w:val="2"/>
          <w:numId w:val="32"/>
        </w:numPr>
        <w:tabs>
          <w:tab w:val="clear" w:pos="2160"/>
          <w:tab w:val="left" w:pos="720"/>
        </w:tabs>
        <w:spacing w:before="120" w:after="240"/>
        <w:ind w:left="0" w:firstLine="357"/>
        <w:jc w:val="both"/>
        <w:rPr>
          <w:color w:val="000000" w:themeColor="text1"/>
        </w:rPr>
      </w:pPr>
      <w:r w:rsidRPr="00EA7FDE">
        <w:rPr>
          <w:color w:val="000000" w:themeColor="text1"/>
        </w:rPr>
        <w:t xml:space="preserve">В контекста на усилията за присъединяване на България към еврозоната и поддържане на дефицита и дълга на сектор „Държавно управление“ в рамките на критериите за конвергенция при спазване на референтните стойности от Пакта за стабилност и растеж, в краткосрочен план за 2024 г. основните предизвикателства за постигане на заложената цел - дефицитът на сектор „Държавно управление“ да не надвиши 3 на сто от прогнозния БВП, се свързват, от една страна, с постигане на заложените цели по отношение на приходите, и от друга – с недопускане възникването на нови задължения за разходи в края на годината, които независимо че не оказват влияние на касова основа се отразяват като разход за годината по методологията на ЕСС 2010. </w:t>
      </w:r>
    </w:p>
    <w:p w14:paraId="46772103" w14:textId="7B7DF18E" w:rsidR="003B753B" w:rsidRPr="00EA7FDE" w:rsidRDefault="003B753B" w:rsidP="00906717">
      <w:pPr>
        <w:numPr>
          <w:ilvl w:val="2"/>
          <w:numId w:val="32"/>
        </w:numPr>
        <w:tabs>
          <w:tab w:val="clear" w:pos="2160"/>
          <w:tab w:val="left" w:pos="720"/>
        </w:tabs>
        <w:spacing w:before="120" w:after="240"/>
        <w:ind w:left="0" w:firstLine="357"/>
        <w:jc w:val="both"/>
        <w:rPr>
          <w:color w:val="000000" w:themeColor="text1"/>
        </w:rPr>
      </w:pPr>
      <w:r w:rsidRPr="004D06AF">
        <w:t xml:space="preserve">По отношение на планираните траншове по Механизма за възстановяване и устойчивост затруднения могат да възникнат при евентуално допълнително забавяне на изпълнението на заложените съгласно актуалния профил за плащане по НПВУ етапи и цели в т.ч. и приемането на необходимите законодателни промени, съответно закъснение при отчитането им и изпращането </w:t>
      </w:r>
      <w:r w:rsidRPr="00A95C9C">
        <w:t xml:space="preserve">на ново искане за плащане до Европейската комисия, което ще създаде риск от </w:t>
      </w:r>
      <w:proofErr w:type="spellStart"/>
      <w:r w:rsidRPr="00A95C9C">
        <w:t>неполучаване</w:t>
      </w:r>
      <w:proofErr w:type="spellEnd"/>
      <w:r w:rsidRPr="00A95C9C">
        <w:t xml:space="preserve"> на</w:t>
      </w:r>
      <w:r w:rsidRPr="004D06AF">
        <w:t xml:space="preserve"> планирания приход в рамките на финансовата година.</w:t>
      </w:r>
    </w:p>
    <w:p w14:paraId="633A4C06" w14:textId="77777777" w:rsidR="003B753B" w:rsidRPr="00E56679" w:rsidRDefault="003B753B" w:rsidP="00906717">
      <w:pPr>
        <w:numPr>
          <w:ilvl w:val="2"/>
          <w:numId w:val="32"/>
        </w:numPr>
        <w:tabs>
          <w:tab w:val="clear" w:pos="2160"/>
          <w:tab w:val="num" w:pos="567"/>
        </w:tabs>
        <w:spacing w:before="120" w:after="240"/>
        <w:ind w:left="0" w:firstLine="425"/>
        <w:jc w:val="both"/>
        <w:rPr>
          <w:noProof/>
          <w:color w:val="0070C0"/>
        </w:rPr>
      </w:pPr>
      <w:r w:rsidRPr="0071769E">
        <w:t>Размерът на фискалния резерв към 30.06.2024 г. е 11 303,1 млн. лв., в т.ч. 9 143,3 млн. лв. депозити на фискалния резерв в БНБ и банки и 2 159,8 млн. лв. вземания от фондовете на Европейския съюз за сертифицирани разходи, аванси и други.</w:t>
      </w:r>
      <w:r w:rsidRPr="00224BC8">
        <w:rPr>
          <w:bCs/>
          <w:sz w:val="28"/>
          <w:szCs w:val="28"/>
        </w:rPr>
        <w:t xml:space="preserve"> </w:t>
      </w:r>
    </w:p>
    <w:p w14:paraId="4E837D83" w14:textId="77777777" w:rsidR="003B753B" w:rsidRPr="0071769E" w:rsidRDefault="003B753B" w:rsidP="00906717">
      <w:pPr>
        <w:numPr>
          <w:ilvl w:val="2"/>
          <w:numId w:val="32"/>
        </w:numPr>
        <w:tabs>
          <w:tab w:val="clear" w:pos="2160"/>
          <w:tab w:val="num" w:pos="567"/>
        </w:tabs>
        <w:spacing w:before="120" w:after="240"/>
        <w:ind w:left="0" w:firstLine="425"/>
        <w:jc w:val="both"/>
      </w:pPr>
      <w:r w:rsidRPr="0071769E">
        <w:t xml:space="preserve">Общият размер на касовите постъпления от ЕС (от Структурните и Кохезионния фондове, от ЕЗФРСР и ЕФМДР, от средства за директни плащания към земеделските производители и плащания по пазарни мерки и др.) за първите шест месеца на 2024 г. е 2 781,0 млн. лв. Нетните постъпления от ЕС към 30.06.2024 г. (касови постъпления от ЕС, намалени с вноската в общия бюджет на ЕС) са положителни в размер на 2 067,5 млн. лева. </w:t>
      </w:r>
    </w:p>
    <w:p w14:paraId="3ABFE773" w14:textId="77777777" w:rsidR="007554E9" w:rsidRPr="00E56679" w:rsidRDefault="007554E9" w:rsidP="00906717">
      <w:pPr>
        <w:spacing w:before="120" w:after="240"/>
        <w:jc w:val="both"/>
        <w:rPr>
          <w:color w:val="0070C0"/>
          <w:sz w:val="8"/>
        </w:rPr>
      </w:pPr>
    </w:p>
    <w:p w14:paraId="218188DE" w14:textId="77777777" w:rsidR="003723AB" w:rsidRDefault="003723AB" w:rsidP="003723AB">
      <w:pPr>
        <w:rPr>
          <w:sz w:val="20"/>
          <w:szCs w:val="20"/>
        </w:rPr>
      </w:pPr>
    </w:p>
    <w:p w14:paraId="3EDEC8CC" w14:textId="77777777" w:rsidR="003723AB" w:rsidRDefault="003723AB" w:rsidP="003723AB">
      <w:pPr>
        <w:rPr>
          <w:sz w:val="20"/>
          <w:szCs w:val="20"/>
        </w:rPr>
      </w:pPr>
    </w:p>
    <w:p w14:paraId="45CD13F6" w14:textId="77777777" w:rsidR="00522163" w:rsidRDefault="00522163" w:rsidP="003723AB">
      <w:pPr>
        <w:rPr>
          <w:sz w:val="20"/>
          <w:szCs w:val="20"/>
        </w:rPr>
      </w:pPr>
    </w:p>
    <w:p w14:paraId="0E6EBA98" w14:textId="77777777" w:rsidR="00522163" w:rsidRDefault="00522163" w:rsidP="003723AB">
      <w:pPr>
        <w:rPr>
          <w:sz w:val="20"/>
          <w:szCs w:val="20"/>
        </w:rPr>
      </w:pPr>
    </w:p>
    <w:p w14:paraId="3B7B3C37" w14:textId="77777777" w:rsidR="00522163" w:rsidRDefault="00522163" w:rsidP="003723AB">
      <w:pPr>
        <w:rPr>
          <w:sz w:val="20"/>
          <w:szCs w:val="20"/>
        </w:rPr>
      </w:pPr>
    </w:p>
    <w:p w14:paraId="6F1EFA52" w14:textId="77777777" w:rsidR="002C1D43" w:rsidRPr="006A6C0F" w:rsidRDefault="002C1D43" w:rsidP="00906717">
      <w:pPr>
        <w:spacing w:before="120" w:after="240"/>
        <w:jc w:val="both"/>
        <w:rPr>
          <w:color w:val="0070C0"/>
        </w:rPr>
      </w:pPr>
    </w:p>
    <w:p w14:paraId="127609F0" w14:textId="77777777" w:rsidR="00F2369A" w:rsidRPr="00E56679" w:rsidRDefault="00F2369A" w:rsidP="00906717">
      <w:pPr>
        <w:spacing w:before="120" w:after="240"/>
        <w:jc w:val="both"/>
        <w:rPr>
          <w:color w:val="0070C0"/>
          <w:sz w:val="8"/>
        </w:rPr>
      </w:pPr>
    </w:p>
    <w:p w14:paraId="5567F043" w14:textId="77777777" w:rsidR="002C1D43" w:rsidRPr="00E56679" w:rsidRDefault="002C1D43" w:rsidP="00906717">
      <w:pPr>
        <w:spacing w:before="120" w:after="240"/>
        <w:jc w:val="both"/>
        <w:rPr>
          <w:color w:val="0070C0"/>
          <w:sz w:val="8"/>
        </w:rPr>
      </w:pPr>
    </w:p>
    <w:p w14:paraId="0F791D66" w14:textId="77777777" w:rsidR="00FD192E" w:rsidRPr="00E56679" w:rsidRDefault="00FD192E" w:rsidP="00906717">
      <w:pPr>
        <w:spacing w:before="120" w:after="240"/>
        <w:jc w:val="both"/>
        <w:rPr>
          <w:color w:val="0070C0"/>
          <w:sz w:val="8"/>
        </w:rPr>
      </w:pPr>
    </w:p>
    <w:p w14:paraId="34698A7A" w14:textId="77777777" w:rsidR="00FD192E" w:rsidRPr="00E56679" w:rsidRDefault="00FD192E" w:rsidP="00906717">
      <w:pPr>
        <w:spacing w:before="120" w:after="240"/>
        <w:jc w:val="both"/>
        <w:rPr>
          <w:color w:val="0070C0"/>
          <w:sz w:val="8"/>
        </w:rPr>
      </w:pPr>
    </w:p>
    <w:p w14:paraId="1553C4A4" w14:textId="77777777" w:rsidR="002C1D43" w:rsidRPr="00E56679" w:rsidRDefault="002C1D43" w:rsidP="00906717">
      <w:pPr>
        <w:spacing w:before="120" w:after="240"/>
        <w:jc w:val="both"/>
        <w:rPr>
          <w:color w:val="0070C0"/>
          <w:sz w:val="8"/>
        </w:rPr>
      </w:pPr>
    </w:p>
    <w:p w14:paraId="49AB9115" w14:textId="77777777" w:rsidR="00FD192E" w:rsidRPr="001853DF" w:rsidRDefault="00FD192E" w:rsidP="005C260F">
      <w:pPr>
        <w:jc w:val="both"/>
        <w:rPr>
          <w:color w:val="0070C0"/>
          <w:sz w:val="8"/>
          <w:lang w:val="ru-RU"/>
        </w:rPr>
      </w:pPr>
    </w:p>
    <w:sectPr w:rsidR="00FD192E" w:rsidRPr="001853DF" w:rsidSect="002B03A6">
      <w:footnotePr>
        <w:pos w:val="beneathText"/>
      </w:footnotePr>
      <w:type w:val="continuous"/>
      <w:pgSz w:w="11906" w:h="16838"/>
      <w:pgMar w:top="720" w:right="849"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EFC41" w14:textId="77777777" w:rsidR="001853DF" w:rsidRDefault="001853DF">
      <w:r>
        <w:separator/>
      </w:r>
    </w:p>
  </w:endnote>
  <w:endnote w:type="continuationSeparator" w:id="0">
    <w:p w14:paraId="3B842A18" w14:textId="77777777" w:rsidR="001853DF" w:rsidRDefault="0018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Arial"/>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ngs">
    <w:altName w:val="Yu Gothic UI"/>
    <w:charset w:val="80"/>
    <w:family w:val="roman"/>
    <w:pitch w:val="default"/>
    <w:sig w:usb0="00000000" w:usb1="0000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CC"/>
    <w:family w:val="roman"/>
    <w:notTrueType/>
    <w:pitch w:val="default"/>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EEAF0" w14:textId="77777777" w:rsidR="001853DF" w:rsidRDefault="001853DF" w:rsidP="00417E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E7B906" w14:textId="77777777" w:rsidR="001853DF" w:rsidRDefault="001853DF" w:rsidP="0011450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CE062" w14:textId="0043D3FA" w:rsidR="001853DF" w:rsidRPr="006D31F7" w:rsidRDefault="001853DF" w:rsidP="00417EF2">
    <w:pPr>
      <w:pStyle w:val="Footer"/>
      <w:framePr w:wrap="around" w:vAnchor="text" w:hAnchor="margin" w:xAlign="right" w:y="1"/>
      <w:rPr>
        <w:rStyle w:val="PageNumber"/>
        <w:color w:val="000000"/>
      </w:rPr>
    </w:pPr>
    <w:r w:rsidRPr="006D31F7">
      <w:rPr>
        <w:rStyle w:val="PageNumber"/>
        <w:color w:val="000000"/>
      </w:rPr>
      <w:fldChar w:fldCharType="begin"/>
    </w:r>
    <w:r w:rsidRPr="006D31F7">
      <w:rPr>
        <w:rStyle w:val="PageNumber"/>
        <w:color w:val="000000"/>
      </w:rPr>
      <w:instrText xml:space="preserve">PAGE  </w:instrText>
    </w:r>
    <w:r w:rsidRPr="006D31F7">
      <w:rPr>
        <w:rStyle w:val="PageNumber"/>
        <w:color w:val="000000"/>
      </w:rPr>
      <w:fldChar w:fldCharType="separate"/>
    </w:r>
    <w:r w:rsidR="0053056D">
      <w:rPr>
        <w:rStyle w:val="PageNumber"/>
        <w:noProof/>
        <w:color w:val="000000"/>
      </w:rPr>
      <w:t>25</w:t>
    </w:r>
    <w:r w:rsidRPr="006D31F7">
      <w:rPr>
        <w:rStyle w:val="PageNumber"/>
        <w:color w:val="000000"/>
      </w:rPr>
      <w:fldChar w:fldCharType="end"/>
    </w:r>
  </w:p>
  <w:p w14:paraId="32E8FC40" w14:textId="77777777" w:rsidR="001853DF" w:rsidRDefault="001853DF" w:rsidP="0011450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CFCA3" w14:textId="77777777" w:rsidR="001853DF" w:rsidRDefault="001853DF">
      <w:r>
        <w:separator/>
      </w:r>
    </w:p>
  </w:footnote>
  <w:footnote w:type="continuationSeparator" w:id="0">
    <w:p w14:paraId="1BEF854A" w14:textId="77777777" w:rsidR="001853DF" w:rsidRDefault="001853DF">
      <w:r>
        <w:continuationSeparator/>
      </w:r>
    </w:p>
  </w:footnote>
  <w:footnote w:id="1">
    <w:p w14:paraId="7D2DBCBA" w14:textId="77777777" w:rsidR="001853DF" w:rsidRPr="00EC4764" w:rsidRDefault="001853DF" w:rsidP="00AC028A">
      <w:r>
        <w:rPr>
          <w:rStyle w:val="FootnoteReference"/>
        </w:rPr>
        <w:t>[1]</w:t>
      </w:r>
      <w:r>
        <w:t xml:space="preserve"> </w:t>
      </w:r>
      <w:r w:rsidRPr="00EC4764">
        <w:rPr>
          <w:sz w:val="18"/>
          <w:szCs w:val="18"/>
        </w:rPr>
        <w:t>Данните за второ тримесечие на 202</w:t>
      </w:r>
      <w:r>
        <w:rPr>
          <w:sz w:val="18"/>
          <w:szCs w:val="18"/>
          <w:lang w:val="ru-RU"/>
        </w:rPr>
        <w:t>4</w:t>
      </w:r>
      <w:r w:rsidRPr="00EC4764">
        <w:rPr>
          <w:sz w:val="18"/>
          <w:szCs w:val="18"/>
        </w:rPr>
        <w:t xml:space="preserve"> г. са на база експресни оценки за БВП на НСИ.</w:t>
      </w:r>
    </w:p>
  </w:footnote>
  <w:footnote w:id="2">
    <w:p w14:paraId="5EAE32E4" w14:textId="77777777" w:rsidR="001853DF" w:rsidRDefault="001853DF" w:rsidP="00AC028A">
      <w:pPr>
        <w:pStyle w:val="FootnoteText"/>
      </w:pPr>
      <w:r w:rsidRPr="00EC4764">
        <w:rPr>
          <w:rStyle w:val="FootnoteReference"/>
        </w:rPr>
        <w:t>[2]</w:t>
      </w:r>
      <w:r w:rsidRPr="00EC4764">
        <w:t xml:space="preserve"> </w:t>
      </w:r>
      <w:r w:rsidRPr="00EC4764">
        <w:rPr>
          <w:sz w:val="18"/>
          <w:szCs w:val="18"/>
        </w:rPr>
        <w:t>Данните за БВП и компонентите му са сезонно изгладени с корекция в разликите в броя на работните дни. Представените растежи са спрямо същия период на предходната година.</w:t>
      </w:r>
    </w:p>
  </w:footnote>
  <w:footnote w:id="3">
    <w:p w14:paraId="6E2F3010" w14:textId="0C777D16" w:rsidR="001853DF" w:rsidRDefault="001853DF" w:rsidP="00833087">
      <w:pPr>
        <w:pStyle w:val="FootnoteText"/>
        <w:jc w:val="both"/>
      </w:pPr>
      <w:r>
        <w:rPr>
          <w:rStyle w:val="FootnoteReference"/>
        </w:rPr>
        <w:footnoteRef/>
      </w:r>
      <w:r>
        <w:t xml:space="preserve"> </w:t>
      </w:r>
      <w:r w:rsidR="008F2D67" w:rsidRPr="001172B3">
        <w:rPr>
          <w:rFonts w:eastAsia="Calibri"/>
          <w:sz w:val="18"/>
          <w:szCs w:val="18"/>
          <w:lang w:val="ru-RU"/>
        </w:rPr>
        <w:t xml:space="preserve">През месец февруари 2024 г. в изпълнение на чл. 71, ал.1 от Постановление № 13 на Министерския съвет от 2024 г. от сметката за чужди средства по бюджета на Министерството на регионалното развитие и благоустройството </w:t>
      </w:r>
      <w:r w:rsidR="008F2D67" w:rsidRPr="001172B3">
        <w:rPr>
          <w:rFonts w:eastAsia="Calibri"/>
          <w:sz w:val="18"/>
          <w:szCs w:val="18"/>
        </w:rPr>
        <w:t xml:space="preserve">(МРРБ) </w:t>
      </w:r>
      <w:r w:rsidR="008F2D67" w:rsidRPr="001172B3">
        <w:rPr>
          <w:rFonts w:eastAsia="Calibri"/>
          <w:sz w:val="18"/>
          <w:szCs w:val="18"/>
          <w:lang w:val="ru-RU"/>
        </w:rPr>
        <w:t xml:space="preserve">бяха възстановени средства в общ размер на 1 200,0 млн. лв. В хода на изпълнението на бюджета за 2024 г. тези средства </w:t>
      </w:r>
      <w:r w:rsidR="008F2D67">
        <w:rPr>
          <w:rFonts w:eastAsia="Calibri"/>
          <w:sz w:val="18"/>
          <w:szCs w:val="18"/>
          <w:lang w:val="ru-RU"/>
        </w:rPr>
        <w:t>с</w:t>
      </w:r>
      <w:r w:rsidR="008F2D67" w:rsidRPr="001172B3">
        <w:rPr>
          <w:rFonts w:eastAsia="Calibri"/>
          <w:sz w:val="18"/>
          <w:szCs w:val="18"/>
          <w:lang w:val="ru-RU"/>
        </w:rPr>
        <w:t>е предоставя</w:t>
      </w:r>
      <w:r w:rsidR="008F2D67">
        <w:rPr>
          <w:rFonts w:eastAsia="Calibri"/>
          <w:sz w:val="18"/>
          <w:szCs w:val="18"/>
          <w:lang w:val="ru-RU"/>
        </w:rPr>
        <w:t>т</w:t>
      </w:r>
      <w:r w:rsidR="008F2D67" w:rsidRPr="001172B3">
        <w:rPr>
          <w:rFonts w:eastAsia="Calibri"/>
          <w:sz w:val="18"/>
          <w:szCs w:val="18"/>
          <w:lang w:val="ru-RU"/>
        </w:rPr>
        <w:t xml:space="preserve"> с акт на Министерския съвет на базата на подписани споразумения с МРРБ като трансфери за общините за финансиране на Инвестиционната програма </w:t>
      </w:r>
      <w:r w:rsidR="008F2D67">
        <w:rPr>
          <w:rFonts w:eastAsia="Calibri"/>
          <w:sz w:val="18"/>
          <w:szCs w:val="18"/>
          <w:lang w:val="ru-RU"/>
        </w:rPr>
        <w:t>по реда на чл. 10</w:t>
      </w:r>
      <w:r w:rsidR="008F2D67">
        <w:rPr>
          <w:rFonts w:eastAsia="Calibri"/>
          <w:sz w:val="18"/>
          <w:szCs w:val="18"/>
        </w:rPr>
        <w:t>7 от ЗДБРБ за 2024 г., по реда на чл.</w:t>
      </w:r>
      <w:r w:rsidR="008F2D67">
        <w:rPr>
          <w:rFonts w:eastAsia="Calibri"/>
          <w:sz w:val="18"/>
          <w:szCs w:val="18"/>
          <w:lang w:val="en-US"/>
        </w:rPr>
        <w:t xml:space="preserve"> 10</w:t>
      </w:r>
      <w:r w:rsidR="008F2D67">
        <w:rPr>
          <w:rFonts w:eastAsia="Calibri"/>
          <w:sz w:val="18"/>
          <w:szCs w:val="18"/>
        </w:rPr>
        <w:t>6</w:t>
      </w:r>
      <w:r w:rsidR="008F2D67" w:rsidRPr="001172B3">
        <w:rPr>
          <w:rFonts w:eastAsia="Calibri"/>
          <w:sz w:val="18"/>
          <w:szCs w:val="18"/>
          <w:lang w:val="ru-RU"/>
        </w:rPr>
        <w:t xml:space="preserve"> от </w:t>
      </w:r>
      <w:r w:rsidR="008F2D67">
        <w:rPr>
          <w:rFonts w:eastAsia="Calibri"/>
          <w:sz w:val="18"/>
          <w:szCs w:val="18"/>
          <w:lang w:val="ru-RU"/>
        </w:rPr>
        <w:t>ЗДБРБ</w:t>
      </w:r>
      <w:r w:rsidR="008F2D67" w:rsidRPr="001172B3">
        <w:rPr>
          <w:rFonts w:eastAsia="Calibri"/>
          <w:sz w:val="18"/>
          <w:szCs w:val="18"/>
          <w:lang w:val="ru-RU"/>
        </w:rPr>
        <w:t xml:space="preserve"> за 2024 г. и други. </w:t>
      </w:r>
      <w:r w:rsidR="008F2D67" w:rsidRPr="00192A1D">
        <w:rPr>
          <w:sz w:val="18"/>
        </w:rPr>
        <w:t>При елиминирането на тази трансакция, с оглед съпоставимост с предходната година, разходите към края на юли 2024</w:t>
      </w:r>
      <w:r w:rsidR="008F2D67">
        <w:rPr>
          <w:sz w:val="18"/>
        </w:rPr>
        <w:t> </w:t>
      </w:r>
      <w:r w:rsidR="008F2D67" w:rsidRPr="00192A1D">
        <w:rPr>
          <w:sz w:val="18"/>
        </w:rPr>
        <w:t>г. са 43 018,9 млн. лв. при 37 056,8 млн. лв. за същия период на 2023 г.</w:t>
      </w:r>
    </w:p>
  </w:footnote>
  <w:footnote w:id="4">
    <w:p w14:paraId="36AE956F" w14:textId="77777777" w:rsidR="001853DF" w:rsidRPr="00C20B5B" w:rsidRDefault="001853DF" w:rsidP="00677E5F">
      <w:pPr>
        <w:pStyle w:val="FootnoteText"/>
        <w:jc w:val="both"/>
        <w:rPr>
          <w:sz w:val="22"/>
        </w:rPr>
      </w:pPr>
      <w:r w:rsidRPr="00C20B5B">
        <w:rPr>
          <w:rStyle w:val="FootnoteReference"/>
          <w:sz w:val="22"/>
        </w:rPr>
        <w:footnoteRef/>
      </w:r>
      <w:r w:rsidRPr="00C20B5B">
        <w:rPr>
          <w:bCs/>
          <w:sz w:val="18"/>
          <w:szCs w:val="16"/>
        </w:rPr>
        <w:t>Съгласно §1, т. 41 от Допълнителните разпоредби на Закона за публичните финанси.</w:t>
      </w:r>
    </w:p>
  </w:footnote>
  <w:footnote w:id="5">
    <w:p w14:paraId="2BF1B0E4" w14:textId="77777777" w:rsidR="001853DF" w:rsidRDefault="001853DF" w:rsidP="008502D4">
      <w:pPr>
        <w:pStyle w:val="FootnoteText"/>
      </w:pPr>
      <w:r>
        <w:rPr>
          <w:rStyle w:val="FootnoteReference"/>
        </w:rPr>
        <w:footnoteRef/>
      </w:r>
      <w:r>
        <w:t xml:space="preserve"> </w:t>
      </w:r>
      <w:r>
        <w:rPr>
          <w:rFonts w:ascii="Segoe UI" w:hAnsi="Segoe UI" w:cs="Segoe UI"/>
          <w:color w:val="333333"/>
          <w:shd w:val="clear" w:color="auto" w:fill="FFFFFF"/>
        </w:rPr>
        <w:t> </w:t>
      </w:r>
      <w:r w:rsidRPr="002D3007">
        <w:rPr>
          <w:sz w:val="18"/>
          <w:szCs w:val="18"/>
        </w:rPr>
        <w:t xml:space="preserve">РЕГЛАМЕНТ НА СЪВЕТА (ЕС) № 833/2014 </w:t>
      </w:r>
      <w:r w:rsidRPr="0039562E">
        <w:rPr>
          <w:sz w:val="18"/>
          <w:szCs w:val="18"/>
        </w:rPr>
        <w:t>от 31 юли 2014 година</w:t>
      </w:r>
      <w:r w:rsidRPr="002D3007">
        <w:rPr>
          <w:sz w:val="18"/>
          <w:szCs w:val="18"/>
        </w:rPr>
        <w:t xml:space="preserve"> относно ограничителни мерки с оглед на действията на Русия, дестабилизиращи положението в Украйна</w:t>
      </w:r>
    </w:p>
  </w:footnote>
  <w:footnote w:id="6">
    <w:p w14:paraId="721BE561" w14:textId="77777777" w:rsidR="001853DF" w:rsidRDefault="001853DF" w:rsidP="008502D4">
      <w:pPr>
        <w:pStyle w:val="FootnoteText"/>
      </w:pPr>
      <w:r>
        <w:rPr>
          <w:rStyle w:val="FootnoteReference"/>
        </w:rPr>
        <w:footnoteRef/>
      </w:r>
      <w:r>
        <w:t xml:space="preserve"> </w:t>
      </w:r>
      <w:r w:rsidRPr="00A815ED">
        <w:rPr>
          <w:sz w:val="18"/>
          <w:szCs w:val="18"/>
        </w:rPr>
        <w:t>Регламент (ЕС) 2023/1077 на Европейския парламент и на Съвета от 31 май 2023 година относно временни мерки за либерализиране на търговията с цел допълване на търговските отстъпки, приложими за украинските продукти съгласно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w:t>
      </w:r>
      <w:r>
        <w:rPr>
          <w:sz w:val="18"/>
          <w:szCs w:val="18"/>
        </w:rPr>
        <w:t>, като</w:t>
      </w:r>
      <w:r w:rsidRPr="00A3731D">
        <w:rPr>
          <w:sz w:val="18"/>
          <w:szCs w:val="18"/>
        </w:rPr>
        <w:t xml:space="preserve"> действа до 5 юни 2024 г.</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759B"/>
    <w:multiLevelType w:val="hybridMultilevel"/>
    <w:tmpl w:val="0B040A0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15:restartNumberingAfterBreak="0">
    <w:nsid w:val="0D4D6F98"/>
    <w:multiLevelType w:val="hybridMultilevel"/>
    <w:tmpl w:val="21CCF716"/>
    <w:lvl w:ilvl="0" w:tplc="CA2817EE">
      <w:start w:val="1"/>
      <w:numFmt w:val="bullet"/>
      <w:lvlText w:val="-"/>
      <w:lvlJc w:val="left"/>
      <w:pPr>
        <w:tabs>
          <w:tab w:val="num" w:pos="1080"/>
        </w:tabs>
        <w:ind w:left="1080" w:hanging="360"/>
      </w:pPr>
      <w:rPr>
        <w:rFonts w:ascii="Times New Roman" w:hAnsi="Times New Roman" w:hint="default"/>
        <w:b/>
        <w:i w:val="0"/>
        <w:color w:val="auto"/>
        <w:sz w:val="28"/>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D161A"/>
    <w:multiLevelType w:val="multilevel"/>
    <w:tmpl w:val="539AB72C"/>
    <w:lvl w:ilvl="0">
      <w:start w:val="2"/>
      <w:numFmt w:val="decimal"/>
      <w:lvlText w:val="%1"/>
      <w:lvlJc w:val="left"/>
      <w:pPr>
        <w:ind w:left="360" w:hanging="360"/>
      </w:pPr>
      <w:rPr>
        <w:rFonts w:cs="Times New Roman" w:hint="default"/>
      </w:rPr>
    </w:lvl>
    <w:lvl w:ilvl="1">
      <w:start w:val="1"/>
      <w:numFmt w:val="decimal"/>
      <w:lvlText w:val="%1.%2"/>
      <w:lvlJc w:val="left"/>
      <w:pPr>
        <w:ind w:left="2160"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6120" w:hanging="72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080" w:hanging="1080"/>
      </w:pPr>
      <w:rPr>
        <w:rFonts w:cs="Times New Roman" w:hint="default"/>
      </w:rPr>
    </w:lvl>
    <w:lvl w:ilvl="6">
      <w:start w:val="1"/>
      <w:numFmt w:val="decimal"/>
      <w:lvlText w:val="%1.%2.%3.%4.%5.%6.%7"/>
      <w:lvlJc w:val="left"/>
      <w:pPr>
        <w:ind w:left="12240" w:hanging="1440"/>
      </w:pPr>
      <w:rPr>
        <w:rFonts w:cs="Times New Roman" w:hint="default"/>
      </w:rPr>
    </w:lvl>
    <w:lvl w:ilvl="7">
      <w:start w:val="1"/>
      <w:numFmt w:val="decimal"/>
      <w:lvlText w:val="%1.%2.%3.%4.%5.%6.%7.%8"/>
      <w:lvlJc w:val="left"/>
      <w:pPr>
        <w:ind w:left="14040" w:hanging="1440"/>
      </w:pPr>
      <w:rPr>
        <w:rFonts w:cs="Times New Roman" w:hint="default"/>
      </w:rPr>
    </w:lvl>
    <w:lvl w:ilvl="8">
      <w:start w:val="1"/>
      <w:numFmt w:val="decimal"/>
      <w:lvlText w:val="%1.%2.%3.%4.%5.%6.%7.%8.%9"/>
      <w:lvlJc w:val="left"/>
      <w:pPr>
        <w:ind w:left="16200" w:hanging="1800"/>
      </w:pPr>
      <w:rPr>
        <w:rFonts w:cs="Times New Roman" w:hint="default"/>
      </w:rPr>
    </w:lvl>
  </w:abstractNum>
  <w:abstractNum w:abstractNumId="3" w15:restartNumberingAfterBreak="0">
    <w:nsid w:val="16700B01"/>
    <w:multiLevelType w:val="hybridMultilevel"/>
    <w:tmpl w:val="CCCE8668"/>
    <w:lvl w:ilvl="0" w:tplc="7DDCFFB6">
      <w:start w:val="1"/>
      <w:numFmt w:val="bullet"/>
      <w:lvlText w:val=""/>
      <w:lvlJc w:val="left"/>
      <w:pPr>
        <w:tabs>
          <w:tab w:val="num" w:pos="720"/>
        </w:tabs>
        <w:ind w:left="720" w:hanging="360"/>
      </w:pPr>
      <w:rPr>
        <w:rFonts w:ascii="Wingdings" w:hAnsi="Wingdings" w:hint="default"/>
        <w:sz w:val="24"/>
      </w:rPr>
    </w:lvl>
    <w:lvl w:ilvl="1" w:tplc="04020003" w:tentative="1">
      <w:start w:val="1"/>
      <w:numFmt w:val="bullet"/>
      <w:lvlText w:val="o"/>
      <w:lvlJc w:val="left"/>
      <w:pPr>
        <w:tabs>
          <w:tab w:val="num" w:pos="2145"/>
        </w:tabs>
        <w:ind w:left="2145" w:hanging="360"/>
      </w:pPr>
      <w:rPr>
        <w:rFonts w:ascii="Courier New" w:hAnsi="Courier New"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18424A9A"/>
    <w:multiLevelType w:val="multilevel"/>
    <w:tmpl w:val="5BB4A636"/>
    <w:lvl w:ilvl="0">
      <w:start w:val="5"/>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5" w15:restartNumberingAfterBreak="0">
    <w:nsid w:val="18D01BB1"/>
    <w:multiLevelType w:val="hybridMultilevel"/>
    <w:tmpl w:val="F9525E5E"/>
    <w:lvl w:ilvl="0" w:tplc="98022A8C">
      <w:start w:val="1"/>
      <w:numFmt w:val="bullet"/>
      <w:lvlText w:val=""/>
      <w:lvlJc w:val="left"/>
      <w:pPr>
        <w:tabs>
          <w:tab w:val="num" w:pos="1980"/>
        </w:tabs>
        <w:ind w:left="1980" w:hanging="360"/>
      </w:pPr>
      <w:rPr>
        <w:rFonts w:ascii="Wingdings" w:hAnsi="Wingdings" w:hint="default"/>
        <w:color w:val="000000"/>
        <w:sz w:val="24"/>
      </w:rPr>
    </w:lvl>
    <w:lvl w:ilvl="1" w:tplc="04020003" w:tentative="1">
      <w:start w:val="1"/>
      <w:numFmt w:val="bullet"/>
      <w:lvlText w:val="o"/>
      <w:lvlJc w:val="left"/>
      <w:pPr>
        <w:tabs>
          <w:tab w:val="num" w:pos="1440"/>
        </w:tabs>
        <w:ind w:left="1440" w:hanging="360"/>
      </w:pPr>
      <w:rPr>
        <w:rFonts w:ascii="Courier New" w:hAnsi="Courier New" w:hint="default"/>
      </w:rPr>
    </w:lvl>
    <w:lvl w:ilvl="2" w:tplc="1A4E7B5E">
      <w:start w:val="1"/>
      <w:numFmt w:val="bullet"/>
      <w:lvlText w:val=""/>
      <w:lvlJc w:val="left"/>
      <w:pPr>
        <w:tabs>
          <w:tab w:val="num" w:pos="2160"/>
        </w:tabs>
        <w:ind w:left="2160" w:hanging="360"/>
      </w:pPr>
      <w:rPr>
        <w:rFonts w:ascii="Wingdings" w:hAnsi="Wingdings" w:hint="default"/>
        <w:color w:val="000000"/>
        <w:sz w:val="24"/>
        <w:szCs w:val="24"/>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F0E88"/>
    <w:multiLevelType w:val="multilevel"/>
    <w:tmpl w:val="49E41F0A"/>
    <w:lvl w:ilvl="0">
      <w:start w:val="4"/>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27C855F4"/>
    <w:multiLevelType w:val="multilevel"/>
    <w:tmpl w:val="72603012"/>
    <w:lvl w:ilvl="0">
      <w:start w:val="1"/>
      <w:numFmt w:val="decimal"/>
      <w:lvlText w:val="%1"/>
      <w:lvlJc w:val="left"/>
      <w:pPr>
        <w:ind w:left="360" w:hanging="360"/>
      </w:pPr>
      <w:rPr>
        <w:rFonts w:cs="Times New Roman" w:hint="default"/>
      </w:rPr>
    </w:lvl>
    <w:lvl w:ilvl="1">
      <w:start w:val="1"/>
      <w:numFmt w:val="decimal"/>
      <w:lvlText w:val="%1.%2"/>
      <w:lvlJc w:val="left"/>
      <w:pPr>
        <w:ind w:left="2160" w:hanging="36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120" w:hanging="72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080" w:hanging="1080"/>
      </w:pPr>
      <w:rPr>
        <w:rFonts w:cs="Times New Roman" w:hint="default"/>
      </w:rPr>
    </w:lvl>
    <w:lvl w:ilvl="6">
      <w:start w:val="1"/>
      <w:numFmt w:val="decimal"/>
      <w:lvlText w:val="%1.%2.%3.%4.%5.%6.%7"/>
      <w:lvlJc w:val="left"/>
      <w:pPr>
        <w:ind w:left="12240" w:hanging="1440"/>
      </w:pPr>
      <w:rPr>
        <w:rFonts w:cs="Times New Roman" w:hint="default"/>
      </w:rPr>
    </w:lvl>
    <w:lvl w:ilvl="7">
      <w:start w:val="1"/>
      <w:numFmt w:val="decimal"/>
      <w:lvlText w:val="%1.%2.%3.%4.%5.%6.%7.%8"/>
      <w:lvlJc w:val="left"/>
      <w:pPr>
        <w:ind w:left="14040" w:hanging="1440"/>
      </w:pPr>
      <w:rPr>
        <w:rFonts w:cs="Times New Roman" w:hint="default"/>
      </w:rPr>
    </w:lvl>
    <w:lvl w:ilvl="8">
      <w:start w:val="1"/>
      <w:numFmt w:val="decimal"/>
      <w:lvlText w:val="%1.%2.%3.%4.%5.%6.%7.%8.%9"/>
      <w:lvlJc w:val="left"/>
      <w:pPr>
        <w:ind w:left="16200" w:hanging="1800"/>
      </w:pPr>
      <w:rPr>
        <w:rFonts w:cs="Times New Roman" w:hint="default"/>
      </w:rPr>
    </w:lvl>
  </w:abstractNum>
  <w:abstractNum w:abstractNumId="9" w15:restartNumberingAfterBreak="0">
    <w:nsid w:val="27DC6E40"/>
    <w:multiLevelType w:val="hybridMultilevel"/>
    <w:tmpl w:val="1CBCD9A8"/>
    <w:lvl w:ilvl="0" w:tplc="6FFC9B36">
      <w:start w:val="1"/>
      <w:numFmt w:val="none"/>
      <w:isLgl/>
      <w:lvlText w:val="4.2"/>
      <w:lvlJc w:val="left"/>
      <w:pPr>
        <w:tabs>
          <w:tab w:val="num" w:pos="1380"/>
        </w:tabs>
        <w:ind w:left="1380" w:hanging="360"/>
      </w:pPr>
      <w:rPr>
        <w:rFonts w:cs="Times New Roman" w:hint="default"/>
      </w:rPr>
    </w:lvl>
    <w:lvl w:ilvl="1" w:tplc="936C2FC8">
      <w:start w:val="4"/>
      <w:numFmt w:val="decimal"/>
      <w:lvlText w:val="%2."/>
      <w:lvlJc w:val="left"/>
      <w:pPr>
        <w:tabs>
          <w:tab w:val="num" w:pos="1440"/>
        </w:tabs>
        <w:ind w:left="1440" w:hanging="360"/>
      </w:pPr>
      <w:rPr>
        <w:rFonts w:cs="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9C6531B"/>
    <w:multiLevelType w:val="hybridMultilevel"/>
    <w:tmpl w:val="2AFC5AD6"/>
    <w:lvl w:ilvl="0" w:tplc="EDA44120">
      <w:start w:val="1"/>
      <w:numFmt w:val="bullet"/>
      <w:lvlText w:val="-"/>
      <w:lvlJc w:val="left"/>
      <w:pPr>
        <w:ind w:left="2138" w:hanging="360"/>
      </w:pPr>
      <w:rPr>
        <w:rFonts w:ascii="Mangal" w:hAnsi="Manga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2A9562AD"/>
    <w:multiLevelType w:val="multilevel"/>
    <w:tmpl w:val="AEBE44AA"/>
    <w:lvl w:ilvl="0">
      <w:start w:val="3"/>
      <w:numFmt w:val="decimal"/>
      <w:lvlText w:val="%1"/>
      <w:lvlJc w:val="left"/>
      <w:pPr>
        <w:ind w:left="360" w:hanging="360"/>
      </w:pPr>
      <w:rPr>
        <w:rFonts w:cs="Times New Roman" w:hint="default"/>
      </w:rPr>
    </w:lvl>
    <w:lvl w:ilvl="1">
      <w:start w:val="1"/>
      <w:numFmt w:val="decimal"/>
      <w:lvlText w:val="%1.%2"/>
      <w:lvlJc w:val="left"/>
      <w:pPr>
        <w:ind w:left="2160" w:hanging="36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120" w:hanging="72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080" w:hanging="1080"/>
      </w:pPr>
      <w:rPr>
        <w:rFonts w:cs="Times New Roman" w:hint="default"/>
      </w:rPr>
    </w:lvl>
    <w:lvl w:ilvl="6">
      <w:start w:val="1"/>
      <w:numFmt w:val="decimal"/>
      <w:lvlText w:val="%1.%2.%3.%4.%5.%6.%7"/>
      <w:lvlJc w:val="left"/>
      <w:pPr>
        <w:ind w:left="12240" w:hanging="1440"/>
      </w:pPr>
      <w:rPr>
        <w:rFonts w:cs="Times New Roman" w:hint="default"/>
      </w:rPr>
    </w:lvl>
    <w:lvl w:ilvl="7">
      <w:start w:val="1"/>
      <w:numFmt w:val="decimal"/>
      <w:lvlText w:val="%1.%2.%3.%4.%5.%6.%7.%8"/>
      <w:lvlJc w:val="left"/>
      <w:pPr>
        <w:ind w:left="14040" w:hanging="1440"/>
      </w:pPr>
      <w:rPr>
        <w:rFonts w:cs="Times New Roman" w:hint="default"/>
      </w:rPr>
    </w:lvl>
    <w:lvl w:ilvl="8">
      <w:start w:val="1"/>
      <w:numFmt w:val="decimal"/>
      <w:lvlText w:val="%1.%2.%3.%4.%5.%6.%7.%8.%9"/>
      <w:lvlJc w:val="left"/>
      <w:pPr>
        <w:ind w:left="16200" w:hanging="1800"/>
      </w:pPr>
      <w:rPr>
        <w:rFonts w:cs="Times New Roman" w:hint="default"/>
      </w:rPr>
    </w:lvl>
  </w:abstractNum>
  <w:abstractNum w:abstractNumId="12" w15:restartNumberingAfterBreak="0">
    <w:nsid w:val="2FB44B6B"/>
    <w:multiLevelType w:val="hybridMultilevel"/>
    <w:tmpl w:val="77B8486A"/>
    <w:lvl w:ilvl="0" w:tplc="7292E9EC">
      <w:start w:val="1"/>
      <w:numFmt w:val="bullet"/>
      <w:lvlText w:val=""/>
      <w:lvlJc w:val="left"/>
      <w:pPr>
        <w:tabs>
          <w:tab w:val="num" w:pos="720"/>
        </w:tabs>
        <w:ind w:left="720" w:hanging="360"/>
      </w:pPr>
      <w:rPr>
        <w:rFonts w:ascii="Wingdings" w:hAnsi="Wingdings" w:hint="default"/>
        <w:color w:val="auto"/>
        <w:sz w:val="24"/>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25CFF"/>
    <w:multiLevelType w:val="hybridMultilevel"/>
    <w:tmpl w:val="58BEE4DA"/>
    <w:lvl w:ilvl="0" w:tplc="EDA44120">
      <w:start w:val="1"/>
      <w:numFmt w:val="bullet"/>
      <w:lvlText w:val="-"/>
      <w:lvlJc w:val="left"/>
      <w:pPr>
        <w:ind w:left="1211" w:hanging="360"/>
      </w:pPr>
      <w:rPr>
        <w:rFonts w:ascii="Mangal" w:hAnsi="Mangal"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4" w15:restartNumberingAfterBreak="0">
    <w:nsid w:val="30DC3776"/>
    <w:multiLevelType w:val="multilevel"/>
    <w:tmpl w:val="E2BAA5BE"/>
    <w:lvl w:ilvl="0">
      <w:start w:val="4"/>
      <w:numFmt w:val="decimal"/>
      <w:lvlText w:val="%1"/>
      <w:lvlJc w:val="left"/>
      <w:pPr>
        <w:ind w:left="360" w:hanging="360"/>
      </w:pPr>
      <w:rPr>
        <w:rFonts w:cs="Times New Roman" w:hint="default"/>
      </w:rPr>
    </w:lvl>
    <w:lvl w:ilvl="1">
      <w:start w:val="1"/>
      <w:numFmt w:val="decimal"/>
      <w:lvlText w:val="%1.%2"/>
      <w:lvlJc w:val="left"/>
      <w:pPr>
        <w:ind w:left="2160" w:hanging="36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120" w:hanging="72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080" w:hanging="1080"/>
      </w:pPr>
      <w:rPr>
        <w:rFonts w:cs="Times New Roman" w:hint="default"/>
      </w:rPr>
    </w:lvl>
    <w:lvl w:ilvl="6">
      <w:start w:val="1"/>
      <w:numFmt w:val="decimal"/>
      <w:lvlText w:val="%1.%2.%3.%4.%5.%6.%7"/>
      <w:lvlJc w:val="left"/>
      <w:pPr>
        <w:ind w:left="12240" w:hanging="1440"/>
      </w:pPr>
      <w:rPr>
        <w:rFonts w:cs="Times New Roman" w:hint="default"/>
      </w:rPr>
    </w:lvl>
    <w:lvl w:ilvl="7">
      <w:start w:val="1"/>
      <w:numFmt w:val="decimal"/>
      <w:lvlText w:val="%1.%2.%3.%4.%5.%6.%7.%8"/>
      <w:lvlJc w:val="left"/>
      <w:pPr>
        <w:ind w:left="14040" w:hanging="1440"/>
      </w:pPr>
      <w:rPr>
        <w:rFonts w:cs="Times New Roman" w:hint="default"/>
      </w:rPr>
    </w:lvl>
    <w:lvl w:ilvl="8">
      <w:start w:val="1"/>
      <w:numFmt w:val="decimal"/>
      <w:lvlText w:val="%1.%2.%3.%4.%5.%6.%7.%8.%9"/>
      <w:lvlJc w:val="left"/>
      <w:pPr>
        <w:ind w:left="16200" w:hanging="1800"/>
      </w:pPr>
      <w:rPr>
        <w:rFonts w:cs="Times New Roman" w:hint="default"/>
      </w:rPr>
    </w:lvl>
  </w:abstractNum>
  <w:abstractNum w:abstractNumId="15" w15:restartNumberingAfterBreak="0">
    <w:nsid w:val="316779B3"/>
    <w:multiLevelType w:val="hybridMultilevel"/>
    <w:tmpl w:val="21589FA4"/>
    <w:lvl w:ilvl="0" w:tplc="04020001">
      <w:start w:val="1"/>
      <w:numFmt w:val="bullet"/>
      <w:lvlText w:val=""/>
      <w:lvlJc w:val="left"/>
      <w:pPr>
        <w:tabs>
          <w:tab w:val="num" w:pos="360"/>
        </w:tabs>
        <w:ind w:left="360" w:hanging="360"/>
      </w:pPr>
      <w:rPr>
        <w:rFonts w:ascii="Symbol" w:hAnsi="Symbol"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6E236CB"/>
    <w:multiLevelType w:val="hybridMultilevel"/>
    <w:tmpl w:val="9C5CF38C"/>
    <w:lvl w:ilvl="0" w:tplc="EF3EE3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F86BBB"/>
    <w:multiLevelType w:val="hybridMultilevel"/>
    <w:tmpl w:val="C65EBD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F7B1F69"/>
    <w:multiLevelType w:val="multilevel"/>
    <w:tmpl w:val="76368578"/>
    <w:lvl w:ilvl="0">
      <w:start w:val="4"/>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3FB66FC3"/>
    <w:multiLevelType w:val="multilevel"/>
    <w:tmpl w:val="A75A9694"/>
    <w:lvl w:ilvl="0">
      <w:start w:val="1"/>
      <w:numFmt w:val="decimal"/>
      <w:lvlText w:val="%1"/>
      <w:lvlJc w:val="left"/>
      <w:pPr>
        <w:ind w:left="360" w:hanging="360"/>
      </w:pPr>
      <w:rPr>
        <w:rFonts w:hint="default"/>
      </w:rPr>
    </w:lvl>
    <w:lvl w:ilvl="1">
      <w:start w:val="1"/>
      <w:numFmt w:val="decimal"/>
      <w:lvlText w:val="%1.%2"/>
      <w:lvlJc w:val="left"/>
      <w:pPr>
        <w:ind w:left="612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0" w15:restartNumberingAfterBreak="0">
    <w:nsid w:val="40506C4C"/>
    <w:multiLevelType w:val="hybridMultilevel"/>
    <w:tmpl w:val="8C6A6A6C"/>
    <w:lvl w:ilvl="0" w:tplc="0402000B">
      <w:start w:val="1"/>
      <w:numFmt w:val="bullet"/>
      <w:lvlText w:val=""/>
      <w:lvlJc w:val="left"/>
      <w:pPr>
        <w:tabs>
          <w:tab w:val="num" w:pos="720"/>
        </w:tabs>
        <w:ind w:left="720" w:hanging="360"/>
      </w:pPr>
      <w:rPr>
        <w:rFonts w:ascii="Wingdings" w:hAnsi="Wingdings" w:hint="default"/>
      </w:rPr>
    </w:lvl>
    <w:lvl w:ilvl="1" w:tplc="0402000F">
      <w:start w:val="1"/>
      <w:numFmt w:val="decimal"/>
      <w:lvlText w:val="%2."/>
      <w:lvlJc w:val="left"/>
      <w:pPr>
        <w:tabs>
          <w:tab w:val="num" w:pos="1440"/>
        </w:tabs>
        <w:ind w:left="1440" w:hanging="360"/>
      </w:pPr>
      <w:rPr>
        <w:rFonts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FB698F"/>
    <w:multiLevelType w:val="hybridMultilevel"/>
    <w:tmpl w:val="B72A5882"/>
    <w:lvl w:ilvl="0" w:tplc="B8089F6A">
      <w:start w:val="1"/>
      <w:numFmt w:val="bullet"/>
      <w:lvlText w:val=""/>
      <w:lvlJc w:val="left"/>
      <w:pPr>
        <w:tabs>
          <w:tab w:val="num" w:pos="717"/>
        </w:tabs>
        <w:ind w:left="717" w:hanging="357"/>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3C1CCC"/>
    <w:multiLevelType w:val="hybridMultilevel"/>
    <w:tmpl w:val="BB622932"/>
    <w:lvl w:ilvl="0" w:tplc="C128D420">
      <w:start w:val="1"/>
      <w:numFmt w:val="bullet"/>
      <w:lvlText w:val=""/>
      <w:lvlJc w:val="left"/>
      <w:pPr>
        <w:tabs>
          <w:tab w:val="num" w:pos="1380"/>
        </w:tabs>
        <w:ind w:left="1380" w:hanging="360"/>
      </w:pPr>
      <w:rPr>
        <w:rFonts w:ascii="Wingdings" w:hAnsi="Wingdings" w:hint="default"/>
        <w:color w:val="auto"/>
        <w:sz w:val="24"/>
      </w:rPr>
    </w:lvl>
    <w:lvl w:ilvl="1" w:tplc="04020003">
      <w:start w:val="1"/>
      <w:numFmt w:val="bullet"/>
      <w:lvlText w:val="o"/>
      <w:lvlJc w:val="left"/>
      <w:pPr>
        <w:tabs>
          <w:tab w:val="num" w:pos="2640"/>
        </w:tabs>
        <w:ind w:left="2640" w:hanging="360"/>
      </w:pPr>
      <w:rPr>
        <w:rFonts w:ascii="Courier New" w:hAnsi="Courier New" w:hint="default"/>
      </w:rPr>
    </w:lvl>
    <w:lvl w:ilvl="2" w:tplc="04020005" w:tentative="1">
      <w:start w:val="1"/>
      <w:numFmt w:val="bullet"/>
      <w:lvlText w:val=""/>
      <w:lvlJc w:val="left"/>
      <w:pPr>
        <w:tabs>
          <w:tab w:val="num" w:pos="3360"/>
        </w:tabs>
        <w:ind w:left="3360" w:hanging="360"/>
      </w:pPr>
      <w:rPr>
        <w:rFonts w:ascii="Wingdings" w:hAnsi="Wingdings" w:hint="default"/>
      </w:rPr>
    </w:lvl>
    <w:lvl w:ilvl="3" w:tplc="04020001" w:tentative="1">
      <w:start w:val="1"/>
      <w:numFmt w:val="bullet"/>
      <w:lvlText w:val=""/>
      <w:lvlJc w:val="left"/>
      <w:pPr>
        <w:tabs>
          <w:tab w:val="num" w:pos="4080"/>
        </w:tabs>
        <w:ind w:left="4080" w:hanging="360"/>
      </w:pPr>
      <w:rPr>
        <w:rFonts w:ascii="Symbol" w:hAnsi="Symbol" w:hint="default"/>
      </w:rPr>
    </w:lvl>
    <w:lvl w:ilvl="4" w:tplc="04020003" w:tentative="1">
      <w:start w:val="1"/>
      <w:numFmt w:val="bullet"/>
      <w:lvlText w:val="o"/>
      <w:lvlJc w:val="left"/>
      <w:pPr>
        <w:tabs>
          <w:tab w:val="num" w:pos="4800"/>
        </w:tabs>
        <w:ind w:left="4800" w:hanging="360"/>
      </w:pPr>
      <w:rPr>
        <w:rFonts w:ascii="Courier New" w:hAnsi="Courier New" w:hint="default"/>
      </w:rPr>
    </w:lvl>
    <w:lvl w:ilvl="5" w:tplc="04020005" w:tentative="1">
      <w:start w:val="1"/>
      <w:numFmt w:val="bullet"/>
      <w:lvlText w:val=""/>
      <w:lvlJc w:val="left"/>
      <w:pPr>
        <w:tabs>
          <w:tab w:val="num" w:pos="5520"/>
        </w:tabs>
        <w:ind w:left="5520" w:hanging="360"/>
      </w:pPr>
      <w:rPr>
        <w:rFonts w:ascii="Wingdings" w:hAnsi="Wingdings" w:hint="default"/>
      </w:rPr>
    </w:lvl>
    <w:lvl w:ilvl="6" w:tplc="04020001" w:tentative="1">
      <w:start w:val="1"/>
      <w:numFmt w:val="bullet"/>
      <w:lvlText w:val=""/>
      <w:lvlJc w:val="left"/>
      <w:pPr>
        <w:tabs>
          <w:tab w:val="num" w:pos="6240"/>
        </w:tabs>
        <w:ind w:left="6240" w:hanging="360"/>
      </w:pPr>
      <w:rPr>
        <w:rFonts w:ascii="Symbol" w:hAnsi="Symbol" w:hint="default"/>
      </w:rPr>
    </w:lvl>
    <w:lvl w:ilvl="7" w:tplc="04020003" w:tentative="1">
      <w:start w:val="1"/>
      <w:numFmt w:val="bullet"/>
      <w:lvlText w:val="o"/>
      <w:lvlJc w:val="left"/>
      <w:pPr>
        <w:tabs>
          <w:tab w:val="num" w:pos="6960"/>
        </w:tabs>
        <w:ind w:left="6960" w:hanging="360"/>
      </w:pPr>
      <w:rPr>
        <w:rFonts w:ascii="Courier New" w:hAnsi="Courier New" w:hint="default"/>
      </w:rPr>
    </w:lvl>
    <w:lvl w:ilvl="8" w:tplc="04020005" w:tentative="1">
      <w:start w:val="1"/>
      <w:numFmt w:val="bullet"/>
      <w:lvlText w:val=""/>
      <w:lvlJc w:val="left"/>
      <w:pPr>
        <w:tabs>
          <w:tab w:val="num" w:pos="7680"/>
        </w:tabs>
        <w:ind w:left="7680" w:hanging="360"/>
      </w:pPr>
      <w:rPr>
        <w:rFonts w:ascii="Wingdings" w:hAnsi="Wingdings" w:hint="default"/>
      </w:rPr>
    </w:lvl>
  </w:abstractNum>
  <w:abstractNum w:abstractNumId="23" w15:restartNumberingAfterBreak="0">
    <w:nsid w:val="4A5F564A"/>
    <w:multiLevelType w:val="hybridMultilevel"/>
    <w:tmpl w:val="19C03E34"/>
    <w:lvl w:ilvl="0" w:tplc="B8089F6A">
      <w:start w:val="1"/>
      <w:numFmt w:val="bullet"/>
      <w:lvlText w:val=""/>
      <w:lvlJc w:val="left"/>
      <w:pPr>
        <w:tabs>
          <w:tab w:val="num" w:pos="357"/>
        </w:tabs>
        <w:ind w:left="357" w:hanging="357"/>
      </w:pPr>
      <w:rPr>
        <w:rFonts w:ascii="Wingdings" w:hAnsi="Wingdings" w:hint="default"/>
        <w:color w:val="auto"/>
        <w:sz w:val="28"/>
        <w:u w:color="FFFFFF"/>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B1C3D5E"/>
    <w:multiLevelType w:val="hybridMultilevel"/>
    <w:tmpl w:val="05085AC2"/>
    <w:lvl w:ilvl="0" w:tplc="EDA44120">
      <w:start w:val="1"/>
      <w:numFmt w:val="bullet"/>
      <w:lvlText w:val="-"/>
      <w:lvlJc w:val="left"/>
      <w:pPr>
        <w:tabs>
          <w:tab w:val="num" w:pos="502"/>
        </w:tabs>
        <w:ind w:left="502"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5E2CB1"/>
    <w:multiLevelType w:val="hybridMultilevel"/>
    <w:tmpl w:val="9F287194"/>
    <w:lvl w:ilvl="0" w:tplc="0402000B">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EB1EBB"/>
    <w:multiLevelType w:val="hybridMultilevel"/>
    <w:tmpl w:val="3134F908"/>
    <w:lvl w:ilvl="0" w:tplc="0402000B">
      <w:start w:val="1"/>
      <w:numFmt w:val="bullet"/>
      <w:lvlText w:val=""/>
      <w:lvlJc w:val="left"/>
      <w:pPr>
        <w:tabs>
          <w:tab w:val="num" w:pos="540"/>
        </w:tabs>
        <w:ind w:left="540" w:hanging="360"/>
      </w:pPr>
      <w:rPr>
        <w:rFonts w:ascii="Wingdings" w:hAnsi="Wingdings" w:hint="default"/>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D92F24"/>
    <w:multiLevelType w:val="hybridMultilevel"/>
    <w:tmpl w:val="4FCA68B8"/>
    <w:lvl w:ilvl="0" w:tplc="0402000D">
      <w:start w:val="1"/>
      <w:numFmt w:val="bullet"/>
      <w:lvlText w:val=""/>
      <w:lvlJc w:val="left"/>
      <w:pPr>
        <w:ind w:left="132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28" w15:restartNumberingAfterBreak="0">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9" w15:restartNumberingAfterBreak="0">
    <w:nsid w:val="5B7B494D"/>
    <w:multiLevelType w:val="multilevel"/>
    <w:tmpl w:val="BEA2C92C"/>
    <w:lvl w:ilvl="0">
      <w:start w:val="6"/>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30" w15:restartNumberingAfterBreak="0">
    <w:nsid w:val="5C2F44AF"/>
    <w:multiLevelType w:val="hybridMultilevel"/>
    <w:tmpl w:val="8AB47F1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DA1374E"/>
    <w:multiLevelType w:val="hybridMultilevel"/>
    <w:tmpl w:val="1DC6B158"/>
    <w:lvl w:ilvl="0" w:tplc="EF3EE33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15:restartNumberingAfterBreak="0">
    <w:nsid w:val="637F5E06"/>
    <w:multiLevelType w:val="hybridMultilevel"/>
    <w:tmpl w:val="18803A0C"/>
    <w:lvl w:ilvl="0" w:tplc="F934C166">
      <w:numFmt w:val="bullet"/>
      <w:lvlText w:val="-"/>
      <w:lvlJc w:val="left"/>
      <w:pPr>
        <w:ind w:left="898" w:hanging="360"/>
      </w:pPr>
      <w:rPr>
        <w:rFonts w:ascii="Times New Roman" w:eastAsia="Times New Roman" w:hAnsi="Times New Roman" w:cs="Times New Roman" w:hint="default"/>
      </w:rPr>
    </w:lvl>
    <w:lvl w:ilvl="1" w:tplc="04020003" w:tentative="1">
      <w:start w:val="1"/>
      <w:numFmt w:val="bullet"/>
      <w:lvlText w:val="o"/>
      <w:lvlJc w:val="left"/>
      <w:pPr>
        <w:ind w:left="1618" w:hanging="360"/>
      </w:pPr>
      <w:rPr>
        <w:rFonts w:ascii="Courier New" w:hAnsi="Courier New" w:cs="Courier New" w:hint="default"/>
      </w:rPr>
    </w:lvl>
    <w:lvl w:ilvl="2" w:tplc="04020005" w:tentative="1">
      <w:start w:val="1"/>
      <w:numFmt w:val="bullet"/>
      <w:lvlText w:val=""/>
      <w:lvlJc w:val="left"/>
      <w:pPr>
        <w:ind w:left="2338" w:hanging="360"/>
      </w:pPr>
      <w:rPr>
        <w:rFonts w:ascii="Wingdings" w:hAnsi="Wingdings" w:hint="default"/>
      </w:rPr>
    </w:lvl>
    <w:lvl w:ilvl="3" w:tplc="04020001" w:tentative="1">
      <w:start w:val="1"/>
      <w:numFmt w:val="bullet"/>
      <w:lvlText w:val=""/>
      <w:lvlJc w:val="left"/>
      <w:pPr>
        <w:ind w:left="3058" w:hanging="360"/>
      </w:pPr>
      <w:rPr>
        <w:rFonts w:ascii="Symbol" w:hAnsi="Symbol" w:hint="default"/>
      </w:rPr>
    </w:lvl>
    <w:lvl w:ilvl="4" w:tplc="04020003" w:tentative="1">
      <w:start w:val="1"/>
      <w:numFmt w:val="bullet"/>
      <w:lvlText w:val="o"/>
      <w:lvlJc w:val="left"/>
      <w:pPr>
        <w:ind w:left="3778" w:hanging="360"/>
      </w:pPr>
      <w:rPr>
        <w:rFonts w:ascii="Courier New" w:hAnsi="Courier New" w:cs="Courier New" w:hint="default"/>
      </w:rPr>
    </w:lvl>
    <w:lvl w:ilvl="5" w:tplc="04020005" w:tentative="1">
      <w:start w:val="1"/>
      <w:numFmt w:val="bullet"/>
      <w:lvlText w:val=""/>
      <w:lvlJc w:val="left"/>
      <w:pPr>
        <w:ind w:left="4498" w:hanging="360"/>
      </w:pPr>
      <w:rPr>
        <w:rFonts w:ascii="Wingdings" w:hAnsi="Wingdings" w:hint="default"/>
      </w:rPr>
    </w:lvl>
    <w:lvl w:ilvl="6" w:tplc="04020001" w:tentative="1">
      <w:start w:val="1"/>
      <w:numFmt w:val="bullet"/>
      <w:lvlText w:val=""/>
      <w:lvlJc w:val="left"/>
      <w:pPr>
        <w:ind w:left="5218" w:hanging="360"/>
      </w:pPr>
      <w:rPr>
        <w:rFonts w:ascii="Symbol" w:hAnsi="Symbol" w:hint="default"/>
      </w:rPr>
    </w:lvl>
    <w:lvl w:ilvl="7" w:tplc="04020003" w:tentative="1">
      <w:start w:val="1"/>
      <w:numFmt w:val="bullet"/>
      <w:lvlText w:val="o"/>
      <w:lvlJc w:val="left"/>
      <w:pPr>
        <w:ind w:left="5938" w:hanging="360"/>
      </w:pPr>
      <w:rPr>
        <w:rFonts w:ascii="Courier New" w:hAnsi="Courier New" w:cs="Courier New" w:hint="default"/>
      </w:rPr>
    </w:lvl>
    <w:lvl w:ilvl="8" w:tplc="04020005" w:tentative="1">
      <w:start w:val="1"/>
      <w:numFmt w:val="bullet"/>
      <w:lvlText w:val=""/>
      <w:lvlJc w:val="left"/>
      <w:pPr>
        <w:ind w:left="6658" w:hanging="360"/>
      </w:pPr>
      <w:rPr>
        <w:rFonts w:ascii="Wingdings" w:hAnsi="Wingdings" w:hint="default"/>
      </w:rPr>
    </w:lvl>
  </w:abstractNum>
  <w:abstractNum w:abstractNumId="33" w15:restartNumberingAfterBreak="0">
    <w:nsid w:val="643A5E75"/>
    <w:multiLevelType w:val="hybridMultilevel"/>
    <w:tmpl w:val="F88C976A"/>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34" w15:restartNumberingAfterBreak="0">
    <w:nsid w:val="64F4293A"/>
    <w:multiLevelType w:val="multilevel"/>
    <w:tmpl w:val="9D369BFE"/>
    <w:lvl w:ilvl="0">
      <w:start w:val="3"/>
      <w:numFmt w:val="decimal"/>
      <w:lvlText w:val="%1"/>
      <w:lvlJc w:val="left"/>
      <w:pPr>
        <w:ind w:left="360" w:hanging="360"/>
      </w:pPr>
      <w:rPr>
        <w:rFonts w:cs="Times New Roman" w:hint="default"/>
      </w:rPr>
    </w:lvl>
    <w:lvl w:ilvl="1">
      <w:start w:val="1"/>
      <w:numFmt w:val="decimal"/>
      <w:lvlText w:val="%1.%2"/>
      <w:lvlJc w:val="left"/>
      <w:pPr>
        <w:ind w:left="2160" w:hanging="36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120" w:hanging="72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080" w:hanging="1080"/>
      </w:pPr>
      <w:rPr>
        <w:rFonts w:cs="Times New Roman" w:hint="default"/>
      </w:rPr>
    </w:lvl>
    <w:lvl w:ilvl="6">
      <w:start w:val="1"/>
      <w:numFmt w:val="decimal"/>
      <w:lvlText w:val="%1.%2.%3.%4.%5.%6.%7"/>
      <w:lvlJc w:val="left"/>
      <w:pPr>
        <w:ind w:left="12240" w:hanging="1440"/>
      </w:pPr>
      <w:rPr>
        <w:rFonts w:cs="Times New Roman" w:hint="default"/>
      </w:rPr>
    </w:lvl>
    <w:lvl w:ilvl="7">
      <w:start w:val="1"/>
      <w:numFmt w:val="decimal"/>
      <w:lvlText w:val="%1.%2.%3.%4.%5.%6.%7.%8"/>
      <w:lvlJc w:val="left"/>
      <w:pPr>
        <w:ind w:left="14040" w:hanging="1440"/>
      </w:pPr>
      <w:rPr>
        <w:rFonts w:cs="Times New Roman" w:hint="default"/>
      </w:rPr>
    </w:lvl>
    <w:lvl w:ilvl="8">
      <w:start w:val="1"/>
      <w:numFmt w:val="decimal"/>
      <w:lvlText w:val="%1.%2.%3.%4.%5.%6.%7.%8.%9"/>
      <w:lvlJc w:val="left"/>
      <w:pPr>
        <w:ind w:left="16200" w:hanging="1800"/>
      </w:pPr>
      <w:rPr>
        <w:rFonts w:cs="Times New Roman" w:hint="default"/>
      </w:rPr>
    </w:lvl>
  </w:abstractNum>
  <w:abstractNum w:abstractNumId="35" w15:restartNumberingAfterBreak="0">
    <w:nsid w:val="679E6BBC"/>
    <w:multiLevelType w:val="hybridMultilevel"/>
    <w:tmpl w:val="9AC84F70"/>
    <w:lvl w:ilvl="0" w:tplc="3B28C328">
      <w:start w:val="1"/>
      <w:numFmt w:val="bullet"/>
      <w:lvlText w:val="♦"/>
      <w:lvlJc w:val="left"/>
      <w:pPr>
        <w:tabs>
          <w:tab w:val="num" w:pos="2880"/>
        </w:tabs>
        <w:ind w:left="2880" w:hanging="360"/>
      </w:pPr>
      <w:rPr>
        <w:rFonts w:ascii="Courier New" w:hAnsi="Courier New" w:hint="default"/>
        <w:sz w:val="24"/>
      </w:rPr>
    </w:lvl>
    <w:lvl w:ilvl="1" w:tplc="1450C996">
      <w:start w:val="1"/>
      <w:numFmt w:val="bullet"/>
      <w:lvlText w:val=""/>
      <w:lvlJc w:val="left"/>
      <w:pPr>
        <w:tabs>
          <w:tab w:val="num" w:pos="2160"/>
        </w:tabs>
        <w:ind w:left="2160" w:hanging="360"/>
      </w:pPr>
      <w:rPr>
        <w:rFonts w:ascii="Wingdings" w:hAnsi="Wingdings" w:hint="default"/>
        <w:color w:val="auto"/>
        <w:sz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D2B5869"/>
    <w:multiLevelType w:val="multilevel"/>
    <w:tmpl w:val="4418BF74"/>
    <w:lvl w:ilvl="0">
      <w:start w:val="1"/>
      <w:numFmt w:val="decimal"/>
      <w:lvlText w:val="%1."/>
      <w:lvlJc w:val="left"/>
      <w:pPr>
        <w:ind w:left="502" w:hanging="360"/>
      </w:pPr>
      <w:rPr>
        <w:rFonts w:hint="default"/>
      </w:rPr>
    </w:lvl>
    <w:lvl w:ilvl="1">
      <w:start w:val="1"/>
      <w:numFmt w:val="decimal"/>
      <w:isLgl/>
      <w:lvlText w:val="%1.%2"/>
      <w:lvlJc w:val="left"/>
      <w:pPr>
        <w:ind w:left="1095" w:hanging="375"/>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440" w:hanging="72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1800" w:hanging="1080"/>
      </w:pPr>
      <w:rPr>
        <w:rFonts w:hint="default"/>
        <w:b/>
        <w:i/>
      </w:rPr>
    </w:lvl>
    <w:lvl w:ilvl="6">
      <w:start w:val="1"/>
      <w:numFmt w:val="decimal"/>
      <w:isLgl/>
      <w:lvlText w:val="%1.%2.%3.%4.%5.%6.%7"/>
      <w:lvlJc w:val="left"/>
      <w:pPr>
        <w:ind w:left="2160" w:hanging="1440"/>
      </w:pPr>
      <w:rPr>
        <w:rFonts w:hint="default"/>
        <w:b/>
        <w:i/>
      </w:rPr>
    </w:lvl>
    <w:lvl w:ilvl="7">
      <w:start w:val="1"/>
      <w:numFmt w:val="decimal"/>
      <w:isLgl/>
      <w:lvlText w:val="%1.%2.%3.%4.%5.%6.%7.%8"/>
      <w:lvlJc w:val="left"/>
      <w:pPr>
        <w:ind w:left="2160" w:hanging="1440"/>
      </w:pPr>
      <w:rPr>
        <w:rFonts w:hint="default"/>
        <w:b/>
        <w:i/>
      </w:rPr>
    </w:lvl>
    <w:lvl w:ilvl="8">
      <w:start w:val="1"/>
      <w:numFmt w:val="decimal"/>
      <w:isLgl/>
      <w:lvlText w:val="%1.%2.%3.%4.%5.%6.%7.%8.%9"/>
      <w:lvlJc w:val="left"/>
      <w:pPr>
        <w:ind w:left="2520" w:hanging="1800"/>
      </w:pPr>
      <w:rPr>
        <w:rFonts w:hint="default"/>
        <w:b/>
        <w:i/>
      </w:rPr>
    </w:lvl>
  </w:abstractNum>
  <w:abstractNum w:abstractNumId="37" w15:restartNumberingAfterBreak="0">
    <w:nsid w:val="6E544B1C"/>
    <w:multiLevelType w:val="hybridMultilevel"/>
    <w:tmpl w:val="F19A58DE"/>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8" w15:restartNumberingAfterBreak="0">
    <w:nsid w:val="712C066E"/>
    <w:multiLevelType w:val="hybridMultilevel"/>
    <w:tmpl w:val="606ED110"/>
    <w:lvl w:ilvl="0" w:tplc="092660D6">
      <w:start w:val="1"/>
      <w:numFmt w:val="bullet"/>
      <w:lvlText w:val=""/>
      <w:lvlJc w:val="left"/>
      <w:pPr>
        <w:tabs>
          <w:tab w:val="num" w:pos="900"/>
        </w:tabs>
        <w:ind w:left="900" w:hanging="360"/>
      </w:pPr>
      <w:rPr>
        <w:rFonts w:ascii="Symbol" w:hAnsi="Symbol" w:hint="default"/>
        <w:color w:val="000000"/>
        <w:sz w:val="24"/>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4E7FF9"/>
    <w:multiLevelType w:val="hybridMultilevel"/>
    <w:tmpl w:val="6F0C91F2"/>
    <w:lvl w:ilvl="0" w:tplc="733EA6EC">
      <w:start w:val="1"/>
      <w:numFmt w:val="decimal"/>
      <w:lvlText w:val="%1."/>
      <w:lvlJc w:val="left"/>
      <w:pPr>
        <w:tabs>
          <w:tab w:val="num" w:pos="1620"/>
        </w:tabs>
        <w:ind w:left="1620" w:hanging="360"/>
      </w:pPr>
      <w:rPr>
        <w:rFonts w:ascii="Times New Roman" w:hAnsi="Times New Roman" w:cs="Times New Roman" w:hint="default"/>
        <w:b/>
        <w:i w:val="0"/>
        <w:sz w:val="24"/>
        <w:szCs w:val="24"/>
      </w:rPr>
    </w:lvl>
    <w:lvl w:ilvl="1" w:tplc="04020019">
      <w:start w:val="1"/>
      <w:numFmt w:val="lowerLetter"/>
      <w:lvlText w:val="%2."/>
      <w:lvlJc w:val="left"/>
      <w:pPr>
        <w:tabs>
          <w:tab w:val="num" w:pos="2340"/>
        </w:tabs>
        <w:ind w:left="2340" w:hanging="360"/>
      </w:pPr>
      <w:rPr>
        <w:rFonts w:cs="Times New Roman"/>
      </w:rPr>
    </w:lvl>
    <w:lvl w:ilvl="2" w:tplc="0402001B" w:tentative="1">
      <w:start w:val="1"/>
      <w:numFmt w:val="lowerRoman"/>
      <w:lvlText w:val="%3."/>
      <w:lvlJc w:val="right"/>
      <w:pPr>
        <w:tabs>
          <w:tab w:val="num" w:pos="3060"/>
        </w:tabs>
        <w:ind w:left="3060" w:hanging="180"/>
      </w:pPr>
      <w:rPr>
        <w:rFonts w:cs="Times New Roman"/>
      </w:rPr>
    </w:lvl>
    <w:lvl w:ilvl="3" w:tplc="0402000F" w:tentative="1">
      <w:start w:val="1"/>
      <w:numFmt w:val="decimal"/>
      <w:lvlText w:val="%4."/>
      <w:lvlJc w:val="left"/>
      <w:pPr>
        <w:tabs>
          <w:tab w:val="num" w:pos="3780"/>
        </w:tabs>
        <w:ind w:left="3780" w:hanging="360"/>
      </w:pPr>
      <w:rPr>
        <w:rFonts w:cs="Times New Roman"/>
      </w:rPr>
    </w:lvl>
    <w:lvl w:ilvl="4" w:tplc="04020019" w:tentative="1">
      <w:start w:val="1"/>
      <w:numFmt w:val="lowerLetter"/>
      <w:lvlText w:val="%5."/>
      <w:lvlJc w:val="left"/>
      <w:pPr>
        <w:tabs>
          <w:tab w:val="num" w:pos="4500"/>
        </w:tabs>
        <w:ind w:left="4500" w:hanging="360"/>
      </w:pPr>
      <w:rPr>
        <w:rFonts w:cs="Times New Roman"/>
      </w:rPr>
    </w:lvl>
    <w:lvl w:ilvl="5" w:tplc="0402001B" w:tentative="1">
      <w:start w:val="1"/>
      <w:numFmt w:val="lowerRoman"/>
      <w:lvlText w:val="%6."/>
      <w:lvlJc w:val="right"/>
      <w:pPr>
        <w:tabs>
          <w:tab w:val="num" w:pos="5220"/>
        </w:tabs>
        <w:ind w:left="5220" w:hanging="180"/>
      </w:pPr>
      <w:rPr>
        <w:rFonts w:cs="Times New Roman"/>
      </w:rPr>
    </w:lvl>
    <w:lvl w:ilvl="6" w:tplc="0402000F" w:tentative="1">
      <w:start w:val="1"/>
      <w:numFmt w:val="decimal"/>
      <w:lvlText w:val="%7."/>
      <w:lvlJc w:val="left"/>
      <w:pPr>
        <w:tabs>
          <w:tab w:val="num" w:pos="5940"/>
        </w:tabs>
        <w:ind w:left="5940" w:hanging="360"/>
      </w:pPr>
      <w:rPr>
        <w:rFonts w:cs="Times New Roman"/>
      </w:rPr>
    </w:lvl>
    <w:lvl w:ilvl="7" w:tplc="04020019" w:tentative="1">
      <w:start w:val="1"/>
      <w:numFmt w:val="lowerLetter"/>
      <w:lvlText w:val="%8."/>
      <w:lvlJc w:val="left"/>
      <w:pPr>
        <w:tabs>
          <w:tab w:val="num" w:pos="6660"/>
        </w:tabs>
        <w:ind w:left="6660" w:hanging="360"/>
      </w:pPr>
      <w:rPr>
        <w:rFonts w:cs="Times New Roman"/>
      </w:rPr>
    </w:lvl>
    <w:lvl w:ilvl="8" w:tplc="0402001B" w:tentative="1">
      <w:start w:val="1"/>
      <w:numFmt w:val="lowerRoman"/>
      <w:lvlText w:val="%9."/>
      <w:lvlJc w:val="right"/>
      <w:pPr>
        <w:tabs>
          <w:tab w:val="num" w:pos="7380"/>
        </w:tabs>
        <w:ind w:left="7380" w:hanging="180"/>
      </w:pPr>
      <w:rPr>
        <w:rFonts w:cs="Times New Roman"/>
      </w:rPr>
    </w:lvl>
  </w:abstractNum>
  <w:abstractNum w:abstractNumId="40" w15:restartNumberingAfterBreak="0">
    <w:nsid w:val="75B43BAA"/>
    <w:multiLevelType w:val="hybridMultilevel"/>
    <w:tmpl w:val="3F0C15C6"/>
    <w:lvl w:ilvl="0" w:tplc="8FF6547A">
      <w:start w:val="1"/>
      <w:numFmt w:val="bullet"/>
      <w:lvlText w:val=""/>
      <w:lvlJc w:val="left"/>
      <w:pPr>
        <w:tabs>
          <w:tab w:val="num" w:pos="360"/>
        </w:tabs>
        <w:ind w:left="360" w:hanging="360"/>
      </w:pPr>
      <w:rPr>
        <w:rFonts w:ascii="Wingdings" w:hAnsi="Wingdings" w:hint="default"/>
        <w:color w:val="auto"/>
      </w:rPr>
    </w:lvl>
    <w:lvl w:ilvl="1" w:tplc="C0F28A1C">
      <w:start w:val="1"/>
      <w:numFmt w:val="bullet"/>
      <w:lvlText w:val=""/>
      <w:lvlJc w:val="left"/>
      <w:pPr>
        <w:tabs>
          <w:tab w:val="num" w:pos="1788"/>
        </w:tabs>
        <w:ind w:left="1788" w:hanging="360"/>
      </w:pPr>
      <w:rPr>
        <w:rFonts w:ascii="Symbol" w:hAnsi="Symbol" w:hint="default"/>
        <w:color w:val="000000"/>
        <w:sz w:val="18"/>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81A45BB"/>
    <w:multiLevelType w:val="hybridMultilevel"/>
    <w:tmpl w:val="6B3AF01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AF71973"/>
    <w:multiLevelType w:val="hybridMultilevel"/>
    <w:tmpl w:val="0AF47E9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DDF370C"/>
    <w:multiLevelType w:val="hybridMultilevel"/>
    <w:tmpl w:val="20A0F378"/>
    <w:lvl w:ilvl="0" w:tplc="0402000F">
      <w:start w:val="1"/>
      <w:numFmt w:val="decimal"/>
      <w:lvlText w:val="%1."/>
      <w:lvlJc w:val="left"/>
      <w:pPr>
        <w:tabs>
          <w:tab w:val="num" w:pos="720"/>
        </w:tabs>
        <w:ind w:left="720" w:hanging="360"/>
      </w:pPr>
      <w:rPr>
        <w:rFonts w:cs="Times New Roman" w:hint="default"/>
      </w:rPr>
    </w:lvl>
    <w:lvl w:ilvl="1" w:tplc="0809000D">
      <w:start w:val="1"/>
      <w:numFmt w:val="bullet"/>
      <w:lvlText w:val=""/>
      <w:lvlJc w:val="left"/>
      <w:pPr>
        <w:tabs>
          <w:tab w:val="num" w:pos="1440"/>
        </w:tabs>
        <w:ind w:left="1440" w:hanging="360"/>
      </w:pPr>
      <w:rPr>
        <w:rFonts w:ascii="Wingdings" w:hAnsi="Wingdings" w:hint="default"/>
      </w:rPr>
    </w:lvl>
    <w:lvl w:ilvl="2" w:tplc="B22CB506">
      <w:start w:val="1"/>
      <w:numFmt w:val="none"/>
      <w:isLgl/>
      <w:lvlText w:val="1.1.2"/>
      <w:lvlJc w:val="left"/>
      <w:pPr>
        <w:tabs>
          <w:tab w:val="num" w:pos="2340"/>
        </w:tabs>
        <w:ind w:left="2340" w:hanging="360"/>
      </w:pPr>
      <w:rPr>
        <w:rFonts w:cs="Times New Roman" w:hint="default"/>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num w:numId="1">
    <w:abstractNumId w:val="40"/>
  </w:num>
  <w:num w:numId="2">
    <w:abstractNumId w:val="38"/>
  </w:num>
  <w:num w:numId="3">
    <w:abstractNumId w:val="43"/>
  </w:num>
  <w:num w:numId="4">
    <w:abstractNumId w:val="1"/>
  </w:num>
  <w:num w:numId="5">
    <w:abstractNumId w:val="22"/>
  </w:num>
  <w:num w:numId="6">
    <w:abstractNumId w:val="25"/>
  </w:num>
  <w:num w:numId="7">
    <w:abstractNumId w:val="9"/>
  </w:num>
  <w:num w:numId="8">
    <w:abstractNumId w:val="21"/>
  </w:num>
  <w:num w:numId="9">
    <w:abstractNumId w:val="39"/>
  </w:num>
  <w:num w:numId="10">
    <w:abstractNumId w:val="26"/>
  </w:num>
  <w:num w:numId="11">
    <w:abstractNumId w:val="35"/>
  </w:num>
  <w:num w:numId="12">
    <w:abstractNumId w:val="3"/>
  </w:num>
  <w:num w:numId="13">
    <w:abstractNumId w:val="20"/>
  </w:num>
  <w:num w:numId="14">
    <w:abstractNumId w:val="23"/>
  </w:num>
  <w:num w:numId="15">
    <w:abstractNumId w:val="12"/>
  </w:num>
  <w:num w:numId="16">
    <w:abstractNumId w:val="33"/>
  </w:num>
  <w:num w:numId="17">
    <w:abstractNumId w:val="7"/>
  </w:num>
  <w:num w:numId="18">
    <w:abstractNumId w:val="2"/>
  </w:num>
  <w:num w:numId="19">
    <w:abstractNumId w:val="34"/>
  </w:num>
  <w:num w:numId="20">
    <w:abstractNumId w:val="14"/>
  </w:num>
  <w:num w:numId="21">
    <w:abstractNumId w:val="8"/>
  </w:num>
  <w:num w:numId="22">
    <w:abstractNumId w:val="11"/>
  </w:num>
  <w:num w:numId="23">
    <w:abstractNumId w:val="29"/>
  </w:num>
  <w:num w:numId="24">
    <w:abstractNumId w:val="4"/>
  </w:num>
  <w:num w:numId="25">
    <w:abstractNumId w:val="27"/>
  </w:num>
  <w:num w:numId="26">
    <w:abstractNumId w:val="28"/>
  </w:num>
  <w:num w:numId="27">
    <w:abstractNumId w:val="31"/>
  </w:num>
  <w:num w:numId="28">
    <w:abstractNumId w:val="24"/>
  </w:num>
  <w:num w:numId="29">
    <w:abstractNumId w:val="42"/>
  </w:num>
  <w:num w:numId="30">
    <w:abstractNumId w:val="17"/>
  </w:num>
  <w:num w:numId="31">
    <w:abstractNumId w:val="18"/>
  </w:num>
  <w:num w:numId="32">
    <w:abstractNumId w:val="5"/>
  </w:num>
  <w:num w:numId="33">
    <w:abstractNumId w:val="41"/>
  </w:num>
  <w:num w:numId="34">
    <w:abstractNumId w:val="36"/>
  </w:num>
  <w:num w:numId="35">
    <w:abstractNumId w:val="15"/>
  </w:num>
  <w:num w:numId="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37"/>
  </w:num>
  <w:num w:numId="41">
    <w:abstractNumId w:val="32"/>
  </w:num>
  <w:num w:numId="42">
    <w:abstractNumId w:val="16"/>
  </w:num>
  <w:num w:numId="43">
    <w:abstractNumId w:val="0"/>
  </w:num>
  <w:num w:numId="44">
    <w:abstractNumId w:val="10"/>
  </w:num>
  <w:num w:numId="45">
    <w:abstractNumId w:val="13"/>
  </w:num>
  <w:num w:numId="46">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85"/>
    <w:rsid w:val="000010D0"/>
    <w:rsid w:val="00001208"/>
    <w:rsid w:val="00001D7E"/>
    <w:rsid w:val="000020DB"/>
    <w:rsid w:val="00002B2B"/>
    <w:rsid w:val="00003629"/>
    <w:rsid w:val="00003A38"/>
    <w:rsid w:val="00003F85"/>
    <w:rsid w:val="00003F88"/>
    <w:rsid w:val="00004518"/>
    <w:rsid w:val="00004FC8"/>
    <w:rsid w:val="00005065"/>
    <w:rsid w:val="000050B1"/>
    <w:rsid w:val="000059DA"/>
    <w:rsid w:val="00005A81"/>
    <w:rsid w:val="00005DDE"/>
    <w:rsid w:val="00006288"/>
    <w:rsid w:val="000063DF"/>
    <w:rsid w:val="000064D7"/>
    <w:rsid w:val="0000732D"/>
    <w:rsid w:val="000076B4"/>
    <w:rsid w:val="00007B08"/>
    <w:rsid w:val="00010EFD"/>
    <w:rsid w:val="00010FB4"/>
    <w:rsid w:val="0001149D"/>
    <w:rsid w:val="0001180C"/>
    <w:rsid w:val="00011B46"/>
    <w:rsid w:val="00011C00"/>
    <w:rsid w:val="00011CE2"/>
    <w:rsid w:val="0001203F"/>
    <w:rsid w:val="0001247E"/>
    <w:rsid w:val="00012C4A"/>
    <w:rsid w:val="00012D00"/>
    <w:rsid w:val="00012EC5"/>
    <w:rsid w:val="00012EE1"/>
    <w:rsid w:val="00013286"/>
    <w:rsid w:val="00013ADB"/>
    <w:rsid w:val="00013BC8"/>
    <w:rsid w:val="000142F4"/>
    <w:rsid w:val="00015334"/>
    <w:rsid w:val="00015710"/>
    <w:rsid w:val="00015A33"/>
    <w:rsid w:val="00015C52"/>
    <w:rsid w:val="0001638B"/>
    <w:rsid w:val="00016727"/>
    <w:rsid w:val="00016858"/>
    <w:rsid w:val="000168AB"/>
    <w:rsid w:val="00016C4D"/>
    <w:rsid w:val="00016DB5"/>
    <w:rsid w:val="00016EA8"/>
    <w:rsid w:val="00017608"/>
    <w:rsid w:val="000176AF"/>
    <w:rsid w:val="000176F3"/>
    <w:rsid w:val="000177A7"/>
    <w:rsid w:val="00017BD5"/>
    <w:rsid w:val="00017D60"/>
    <w:rsid w:val="00017E1C"/>
    <w:rsid w:val="00017E3D"/>
    <w:rsid w:val="000202DA"/>
    <w:rsid w:val="000205B6"/>
    <w:rsid w:val="00020B06"/>
    <w:rsid w:val="00020BA5"/>
    <w:rsid w:val="00020E4F"/>
    <w:rsid w:val="00021457"/>
    <w:rsid w:val="00021E2E"/>
    <w:rsid w:val="00021E85"/>
    <w:rsid w:val="0002222B"/>
    <w:rsid w:val="00022350"/>
    <w:rsid w:val="00022567"/>
    <w:rsid w:val="00022DBC"/>
    <w:rsid w:val="00022F66"/>
    <w:rsid w:val="0002307C"/>
    <w:rsid w:val="000231D5"/>
    <w:rsid w:val="000232D5"/>
    <w:rsid w:val="00023D54"/>
    <w:rsid w:val="00024185"/>
    <w:rsid w:val="000243DD"/>
    <w:rsid w:val="00024639"/>
    <w:rsid w:val="0002477E"/>
    <w:rsid w:val="000247D3"/>
    <w:rsid w:val="000249F5"/>
    <w:rsid w:val="00025484"/>
    <w:rsid w:val="000260D9"/>
    <w:rsid w:val="00026442"/>
    <w:rsid w:val="000270D9"/>
    <w:rsid w:val="0002715B"/>
    <w:rsid w:val="00027281"/>
    <w:rsid w:val="000277C3"/>
    <w:rsid w:val="00027CD4"/>
    <w:rsid w:val="00027DBD"/>
    <w:rsid w:val="00027FAA"/>
    <w:rsid w:val="000309A9"/>
    <w:rsid w:val="00030BFD"/>
    <w:rsid w:val="00030FA2"/>
    <w:rsid w:val="00031173"/>
    <w:rsid w:val="000313A3"/>
    <w:rsid w:val="000314D4"/>
    <w:rsid w:val="00031D17"/>
    <w:rsid w:val="00031ED4"/>
    <w:rsid w:val="00032022"/>
    <w:rsid w:val="00032097"/>
    <w:rsid w:val="00032267"/>
    <w:rsid w:val="0003242F"/>
    <w:rsid w:val="00032C63"/>
    <w:rsid w:val="00032FB3"/>
    <w:rsid w:val="00033303"/>
    <w:rsid w:val="000335E1"/>
    <w:rsid w:val="0003371F"/>
    <w:rsid w:val="0003383C"/>
    <w:rsid w:val="00033B2B"/>
    <w:rsid w:val="00034094"/>
    <w:rsid w:val="000352CB"/>
    <w:rsid w:val="000353F8"/>
    <w:rsid w:val="00035712"/>
    <w:rsid w:val="0003602A"/>
    <w:rsid w:val="000365F2"/>
    <w:rsid w:val="00036AB9"/>
    <w:rsid w:val="00036E1F"/>
    <w:rsid w:val="000374F1"/>
    <w:rsid w:val="0003754C"/>
    <w:rsid w:val="00037815"/>
    <w:rsid w:val="00037D50"/>
    <w:rsid w:val="00037F18"/>
    <w:rsid w:val="00040F98"/>
    <w:rsid w:val="00040FF1"/>
    <w:rsid w:val="00041C55"/>
    <w:rsid w:val="00041E63"/>
    <w:rsid w:val="000424E0"/>
    <w:rsid w:val="00042CB3"/>
    <w:rsid w:val="000437E9"/>
    <w:rsid w:val="000439C1"/>
    <w:rsid w:val="00043AFF"/>
    <w:rsid w:val="00043D7B"/>
    <w:rsid w:val="000441B6"/>
    <w:rsid w:val="00044701"/>
    <w:rsid w:val="00044DDA"/>
    <w:rsid w:val="00045113"/>
    <w:rsid w:val="000451BE"/>
    <w:rsid w:val="000452DD"/>
    <w:rsid w:val="00045324"/>
    <w:rsid w:val="00045403"/>
    <w:rsid w:val="00045D14"/>
    <w:rsid w:val="00045E47"/>
    <w:rsid w:val="000469B5"/>
    <w:rsid w:val="00046ACE"/>
    <w:rsid w:val="00046C9F"/>
    <w:rsid w:val="00046E08"/>
    <w:rsid w:val="000470AB"/>
    <w:rsid w:val="000473E1"/>
    <w:rsid w:val="0004740D"/>
    <w:rsid w:val="00047500"/>
    <w:rsid w:val="00047CA5"/>
    <w:rsid w:val="00047EA4"/>
    <w:rsid w:val="0005028E"/>
    <w:rsid w:val="000504F0"/>
    <w:rsid w:val="000509C1"/>
    <w:rsid w:val="00051527"/>
    <w:rsid w:val="00051544"/>
    <w:rsid w:val="00051951"/>
    <w:rsid w:val="00051B8D"/>
    <w:rsid w:val="00051CB1"/>
    <w:rsid w:val="00053248"/>
    <w:rsid w:val="000537BB"/>
    <w:rsid w:val="00053812"/>
    <w:rsid w:val="00053CAE"/>
    <w:rsid w:val="00053DAB"/>
    <w:rsid w:val="00053DF6"/>
    <w:rsid w:val="00053FCE"/>
    <w:rsid w:val="000549AE"/>
    <w:rsid w:val="00054DEF"/>
    <w:rsid w:val="000550F5"/>
    <w:rsid w:val="000552CA"/>
    <w:rsid w:val="00055332"/>
    <w:rsid w:val="00056E76"/>
    <w:rsid w:val="00056F6C"/>
    <w:rsid w:val="0005701C"/>
    <w:rsid w:val="00057323"/>
    <w:rsid w:val="00061573"/>
    <w:rsid w:val="0006175F"/>
    <w:rsid w:val="0006192A"/>
    <w:rsid w:val="00061B28"/>
    <w:rsid w:val="00062140"/>
    <w:rsid w:val="00062411"/>
    <w:rsid w:val="0006245B"/>
    <w:rsid w:val="00062921"/>
    <w:rsid w:val="00062927"/>
    <w:rsid w:val="00062A47"/>
    <w:rsid w:val="00062BDB"/>
    <w:rsid w:val="00062E04"/>
    <w:rsid w:val="00063421"/>
    <w:rsid w:val="000636D6"/>
    <w:rsid w:val="000647BD"/>
    <w:rsid w:val="00064CBB"/>
    <w:rsid w:val="00064F54"/>
    <w:rsid w:val="00064FCB"/>
    <w:rsid w:val="0006574D"/>
    <w:rsid w:val="00066508"/>
    <w:rsid w:val="00066584"/>
    <w:rsid w:val="00066945"/>
    <w:rsid w:val="00066D2F"/>
    <w:rsid w:val="00066F59"/>
    <w:rsid w:val="00067092"/>
    <w:rsid w:val="00067142"/>
    <w:rsid w:val="0006738F"/>
    <w:rsid w:val="0006739A"/>
    <w:rsid w:val="000676E6"/>
    <w:rsid w:val="00067B4F"/>
    <w:rsid w:val="00070766"/>
    <w:rsid w:val="00070C8E"/>
    <w:rsid w:val="00070DFA"/>
    <w:rsid w:val="0007105C"/>
    <w:rsid w:val="0007152E"/>
    <w:rsid w:val="00071619"/>
    <w:rsid w:val="00071856"/>
    <w:rsid w:val="0007227D"/>
    <w:rsid w:val="00072553"/>
    <w:rsid w:val="000726BE"/>
    <w:rsid w:val="00072E1C"/>
    <w:rsid w:val="0007385D"/>
    <w:rsid w:val="000738E9"/>
    <w:rsid w:val="000739A9"/>
    <w:rsid w:val="00073ED1"/>
    <w:rsid w:val="00074827"/>
    <w:rsid w:val="00074E2E"/>
    <w:rsid w:val="0007551D"/>
    <w:rsid w:val="00075A0B"/>
    <w:rsid w:val="00076EAD"/>
    <w:rsid w:val="00076FA7"/>
    <w:rsid w:val="00077343"/>
    <w:rsid w:val="00077888"/>
    <w:rsid w:val="00077892"/>
    <w:rsid w:val="000779A9"/>
    <w:rsid w:val="000779DF"/>
    <w:rsid w:val="00077A94"/>
    <w:rsid w:val="00077C0C"/>
    <w:rsid w:val="00077D08"/>
    <w:rsid w:val="000809BA"/>
    <w:rsid w:val="000812DA"/>
    <w:rsid w:val="0008130B"/>
    <w:rsid w:val="000819B9"/>
    <w:rsid w:val="00081AB1"/>
    <w:rsid w:val="00081CA8"/>
    <w:rsid w:val="00081E05"/>
    <w:rsid w:val="00082591"/>
    <w:rsid w:val="000827D5"/>
    <w:rsid w:val="00082855"/>
    <w:rsid w:val="00082897"/>
    <w:rsid w:val="000828CC"/>
    <w:rsid w:val="00082B48"/>
    <w:rsid w:val="00082B8B"/>
    <w:rsid w:val="00082D55"/>
    <w:rsid w:val="00082E4C"/>
    <w:rsid w:val="00082F05"/>
    <w:rsid w:val="00083776"/>
    <w:rsid w:val="00083C91"/>
    <w:rsid w:val="00083F70"/>
    <w:rsid w:val="000843C8"/>
    <w:rsid w:val="00084A70"/>
    <w:rsid w:val="00084C01"/>
    <w:rsid w:val="00084F91"/>
    <w:rsid w:val="000854C1"/>
    <w:rsid w:val="000856DE"/>
    <w:rsid w:val="00085DA6"/>
    <w:rsid w:val="00085E16"/>
    <w:rsid w:val="00085FDD"/>
    <w:rsid w:val="0008609D"/>
    <w:rsid w:val="00086768"/>
    <w:rsid w:val="00086B78"/>
    <w:rsid w:val="00086D48"/>
    <w:rsid w:val="00087023"/>
    <w:rsid w:val="000872C7"/>
    <w:rsid w:val="000876E0"/>
    <w:rsid w:val="00087700"/>
    <w:rsid w:val="000877E7"/>
    <w:rsid w:val="000879D8"/>
    <w:rsid w:val="00087BFB"/>
    <w:rsid w:val="000901C9"/>
    <w:rsid w:val="000905FF"/>
    <w:rsid w:val="00090BD8"/>
    <w:rsid w:val="00090C3E"/>
    <w:rsid w:val="00090D70"/>
    <w:rsid w:val="00090FCE"/>
    <w:rsid w:val="00091138"/>
    <w:rsid w:val="000919C7"/>
    <w:rsid w:val="00091AA5"/>
    <w:rsid w:val="000924C3"/>
    <w:rsid w:val="00092596"/>
    <w:rsid w:val="00092778"/>
    <w:rsid w:val="00093744"/>
    <w:rsid w:val="0009390E"/>
    <w:rsid w:val="00093D35"/>
    <w:rsid w:val="00094887"/>
    <w:rsid w:val="00094D39"/>
    <w:rsid w:val="00094DA3"/>
    <w:rsid w:val="00094F90"/>
    <w:rsid w:val="000951A6"/>
    <w:rsid w:val="000953BD"/>
    <w:rsid w:val="00095782"/>
    <w:rsid w:val="000957AB"/>
    <w:rsid w:val="000959A0"/>
    <w:rsid w:val="00095ED4"/>
    <w:rsid w:val="0009636A"/>
    <w:rsid w:val="00096487"/>
    <w:rsid w:val="00096816"/>
    <w:rsid w:val="000A0AE5"/>
    <w:rsid w:val="000A0B89"/>
    <w:rsid w:val="000A0E5D"/>
    <w:rsid w:val="000A106C"/>
    <w:rsid w:val="000A10DF"/>
    <w:rsid w:val="000A123A"/>
    <w:rsid w:val="000A1DC8"/>
    <w:rsid w:val="000A1E89"/>
    <w:rsid w:val="000A2A20"/>
    <w:rsid w:val="000A2E10"/>
    <w:rsid w:val="000A327E"/>
    <w:rsid w:val="000A3483"/>
    <w:rsid w:val="000A3967"/>
    <w:rsid w:val="000A42DA"/>
    <w:rsid w:val="000A47E6"/>
    <w:rsid w:val="000A4A42"/>
    <w:rsid w:val="000A4BB4"/>
    <w:rsid w:val="000A4D49"/>
    <w:rsid w:val="000A5360"/>
    <w:rsid w:val="000A5E80"/>
    <w:rsid w:val="000A625B"/>
    <w:rsid w:val="000A647F"/>
    <w:rsid w:val="000A64D8"/>
    <w:rsid w:val="000A67AA"/>
    <w:rsid w:val="000A7B4A"/>
    <w:rsid w:val="000A7EC6"/>
    <w:rsid w:val="000B051C"/>
    <w:rsid w:val="000B09B4"/>
    <w:rsid w:val="000B0A56"/>
    <w:rsid w:val="000B12E4"/>
    <w:rsid w:val="000B1459"/>
    <w:rsid w:val="000B1F14"/>
    <w:rsid w:val="000B2451"/>
    <w:rsid w:val="000B2A65"/>
    <w:rsid w:val="000B2ABA"/>
    <w:rsid w:val="000B2C3F"/>
    <w:rsid w:val="000B3976"/>
    <w:rsid w:val="000B3E4F"/>
    <w:rsid w:val="000B3ED5"/>
    <w:rsid w:val="000B3F34"/>
    <w:rsid w:val="000B42BF"/>
    <w:rsid w:val="000B4C97"/>
    <w:rsid w:val="000B4CF8"/>
    <w:rsid w:val="000B4E52"/>
    <w:rsid w:val="000B4EFB"/>
    <w:rsid w:val="000B571E"/>
    <w:rsid w:val="000B5804"/>
    <w:rsid w:val="000B5A4A"/>
    <w:rsid w:val="000B5B2C"/>
    <w:rsid w:val="000B5F0A"/>
    <w:rsid w:val="000B5F0B"/>
    <w:rsid w:val="000B5F28"/>
    <w:rsid w:val="000B7872"/>
    <w:rsid w:val="000B79A4"/>
    <w:rsid w:val="000B7AA3"/>
    <w:rsid w:val="000C0208"/>
    <w:rsid w:val="000C077D"/>
    <w:rsid w:val="000C0A51"/>
    <w:rsid w:val="000C0AC3"/>
    <w:rsid w:val="000C0AD2"/>
    <w:rsid w:val="000C0CC5"/>
    <w:rsid w:val="000C167E"/>
    <w:rsid w:val="000C16C8"/>
    <w:rsid w:val="000C19C8"/>
    <w:rsid w:val="000C1FFE"/>
    <w:rsid w:val="000C2769"/>
    <w:rsid w:val="000C2ABD"/>
    <w:rsid w:val="000C2B26"/>
    <w:rsid w:val="000C2EBC"/>
    <w:rsid w:val="000C3509"/>
    <w:rsid w:val="000C36FA"/>
    <w:rsid w:val="000C3716"/>
    <w:rsid w:val="000C40CF"/>
    <w:rsid w:val="000C4177"/>
    <w:rsid w:val="000C4FB4"/>
    <w:rsid w:val="000C50BF"/>
    <w:rsid w:val="000C5289"/>
    <w:rsid w:val="000C54FD"/>
    <w:rsid w:val="000C561B"/>
    <w:rsid w:val="000C5709"/>
    <w:rsid w:val="000C571C"/>
    <w:rsid w:val="000C5C7B"/>
    <w:rsid w:val="000C6951"/>
    <w:rsid w:val="000C69CB"/>
    <w:rsid w:val="000C6EC9"/>
    <w:rsid w:val="000C721B"/>
    <w:rsid w:val="000C727E"/>
    <w:rsid w:val="000C73E2"/>
    <w:rsid w:val="000C7622"/>
    <w:rsid w:val="000C7B70"/>
    <w:rsid w:val="000C7C82"/>
    <w:rsid w:val="000C7E0B"/>
    <w:rsid w:val="000C7E6F"/>
    <w:rsid w:val="000D0209"/>
    <w:rsid w:val="000D12A1"/>
    <w:rsid w:val="000D192B"/>
    <w:rsid w:val="000D1942"/>
    <w:rsid w:val="000D241A"/>
    <w:rsid w:val="000D283D"/>
    <w:rsid w:val="000D2BC3"/>
    <w:rsid w:val="000D2FF2"/>
    <w:rsid w:val="000D3055"/>
    <w:rsid w:val="000D33E4"/>
    <w:rsid w:val="000D41C4"/>
    <w:rsid w:val="000D4881"/>
    <w:rsid w:val="000D4959"/>
    <w:rsid w:val="000D51B1"/>
    <w:rsid w:val="000D522F"/>
    <w:rsid w:val="000D5459"/>
    <w:rsid w:val="000D5640"/>
    <w:rsid w:val="000D5975"/>
    <w:rsid w:val="000D6AAF"/>
    <w:rsid w:val="000D6CE5"/>
    <w:rsid w:val="000D6E2D"/>
    <w:rsid w:val="000D74FF"/>
    <w:rsid w:val="000D764D"/>
    <w:rsid w:val="000E0519"/>
    <w:rsid w:val="000E07D4"/>
    <w:rsid w:val="000E19B2"/>
    <w:rsid w:val="000E1AE9"/>
    <w:rsid w:val="000E1F38"/>
    <w:rsid w:val="000E254F"/>
    <w:rsid w:val="000E2C11"/>
    <w:rsid w:val="000E3FA6"/>
    <w:rsid w:val="000E401E"/>
    <w:rsid w:val="000E4B4C"/>
    <w:rsid w:val="000E56EB"/>
    <w:rsid w:val="000E5A28"/>
    <w:rsid w:val="000E5A9D"/>
    <w:rsid w:val="000E5C36"/>
    <w:rsid w:val="000E62B3"/>
    <w:rsid w:val="000E698D"/>
    <w:rsid w:val="000E6CEF"/>
    <w:rsid w:val="000E78D0"/>
    <w:rsid w:val="000E796B"/>
    <w:rsid w:val="000F036C"/>
    <w:rsid w:val="000F0BB0"/>
    <w:rsid w:val="000F100C"/>
    <w:rsid w:val="000F1726"/>
    <w:rsid w:val="000F1AE0"/>
    <w:rsid w:val="000F1F02"/>
    <w:rsid w:val="000F26E0"/>
    <w:rsid w:val="000F29C3"/>
    <w:rsid w:val="000F2A2C"/>
    <w:rsid w:val="000F2CB5"/>
    <w:rsid w:val="000F2F8C"/>
    <w:rsid w:val="000F2FFC"/>
    <w:rsid w:val="000F3010"/>
    <w:rsid w:val="000F3243"/>
    <w:rsid w:val="000F333E"/>
    <w:rsid w:val="000F35B7"/>
    <w:rsid w:val="000F3680"/>
    <w:rsid w:val="000F40C1"/>
    <w:rsid w:val="000F42C2"/>
    <w:rsid w:val="000F4D0E"/>
    <w:rsid w:val="000F54EF"/>
    <w:rsid w:val="000F5510"/>
    <w:rsid w:val="000F5C85"/>
    <w:rsid w:val="000F6276"/>
    <w:rsid w:val="000F6346"/>
    <w:rsid w:val="000F637C"/>
    <w:rsid w:val="000F63AC"/>
    <w:rsid w:val="000F6B38"/>
    <w:rsid w:val="000F6FC5"/>
    <w:rsid w:val="000F71DB"/>
    <w:rsid w:val="000F78F6"/>
    <w:rsid w:val="000F7B6B"/>
    <w:rsid w:val="00100033"/>
    <w:rsid w:val="001005AC"/>
    <w:rsid w:val="001006EE"/>
    <w:rsid w:val="00100801"/>
    <w:rsid w:val="00100844"/>
    <w:rsid w:val="00101438"/>
    <w:rsid w:val="001014BC"/>
    <w:rsid w:val="001014BF"/>
    <w:rsid w:val="00101B6F"/>
    <w:rsid w:val="00101C2C"/>
    <w:rsid w:val="00101D45"/>
    <w:rsid w:val="00102BA2"/>
    <w:rsid w:val="00102F93"/>
    <w:rsid w:val="00103232"/>
    <w:rsid w:val="00104291"/>
    <w:rsid w:val="001044BE"/>
    <w:rsid w:val="0010476D"/>
    <w:rsid w:val="00104D32"/>
    <w:rsid w:val="001051A1"/>
    <w:rsid w:val="0010528F"/>
    <w:rsid w:val="00105501"/>
    <w:rsid w:val="001056B1"/>
    <w:rsid w:val="00105D51"/>
    <w:rsid w:val="001062AA"/>
    <w:rsid w:val="00106316"/>
    <w:rsid w:val="00106426"/>
    <w:rsid w:val="0010694E"/>
    <w:rsid w:val="00106993"/>
    <w:rsid w:val="00106AB8"/>
    <w:rsid w:val="00106DDE"/>
    <w:rsid w:val="00106E0C"/>
    <w:rsid w:val="001078EC"/>
    <w:rsid w:val="00107E96"/>
    <w:rsid w:val="00110D3B"/>
    <w:rsid w:val="00110EF3"/>
    <w:rsid w:val="001116A2"/>
    <w:rsid w:val="001116A5"/>
    <w:rsid w:val="0011226A"/>
    <w:rsid w:val="00112FC8"/>
    <w:rsid w:val="001133D3"/>
    <w:rsid w:val="0011348B"/>
    <w:rsid w:val="00114475"/>
    <w:rsid w:val="00114503"/>
    <w:rsid w:val="00114666"/>
    <w:rsid w:val="001147B0"/>
    <w:rsid w:val="00114C9E"/>
    <w:rsid w:val="0011525A"/>
    <w:rsid w:val="00115DB4"/>
    <w:rsid w:val="00115F44"/>
    <w:rsid w:val="00116159"/>
    <w:rsid w:val="001165E1"/>
    <w:rsid w:val="00116785"/>
    <w:rsid w:val="00116931"/>
    <w:rsid w:val="00116DF9"/>
    <w:rsid w:val="00117E05"/>
    <w:rsid w:val="00117ECC"/>
    <w:rsid w:val="0012028B"/>
    <w:rsid w:val="00120394"/>
    <w:rsid w:val="00120A5E"/>
    <w:rsid w:val="00120D9C"/>
    <w:rsid w:val="00120F40"/>
    <w:rsid w:val="00121512"/>
    <w:rsid w:val="00121F78"/>
    <w:rsid w:val="00122601"/>
    <w:rsid w:val="00123311"/>
    <w:rsid w:val="00123F01"/>
    <w:rsid w:val="0012465A"/>
    <w:rsid w:val="001248E6"/>
    <w:rsid w:val="00124F68"/>
    <w:rsid w:val="00125585"/>
    <w:rsid w:val="00125D77"/>
    <w:rsid w:val="00125DC2"/>
    <w:rsid w:val="00125FDC"/>
    <w:rsid w:val="00126816"/>
    <w:rsid w:val="00126924"/>
    <w:rsid w:val="001272A0"/>
    <w:rsid w:val="0012746E"/>
    <w:rsid w:val="001278AC"/>
    <w:rsid w:val="001324F3"/>
    <w:rsid w:val="00132502"/>
    <w:rsid w:val="001329CA"/>
    <w:rsid w:val="00132ED8"/>
    <w:rsid w:val="0013400D"/>
    <w:rsid w:val="00134677"/>
    <w:rsid w:val="0013479E"/>
    <w:rsid w:val="001349E4"/>
    <w:rsid w:val="00134E55"/>
    <w:rsid w:val="00135607"/>
    <w:rsid w:val="00135C3D"/>
    <w:rsid w:val="00136387"/>
    <w:rsid w:val="001368CB"/>
    <w:rsid w:val="00136AAE"/>
    <w:rsid w:val="00136BEF"/>
    <w:rsid w:val="001371AD"/>
    <w:rsid w:val="0013720C"/>
    <w:rsid w:val="00137379"/>
    <w:rsid w:val="00137973"/>
    <w:rsid w:val="0013797E"/>
    <w:rsid w:val="00137D73"/>
    <w:rsid w:val="001404DA"/>
    <w:rsid w:val="001406D8"/>
    <w:rsid w:val="00140849"/>
    <w:rsid w:val="00140CC1"/>
    <w:rsid w:val="00141964"/>
    <w:rsid w:val="00142A8C"/>
    <w:rsid w:val="0014321D"/>
    <w:rsid w:val="001433CB"/>
    <w:rsid w:val="00144CD6"/>
    <w:rsid w:val="00144F57"/>
    <w:rsid w:val="0014555F"/>
    <w:rsid w:val="0014613E"/>
    <w:rsid w:val="0014626E"/>
    <w:rsid w:val="00146568"/>
    <w:rsid w:val="001467F0"/>
    <w:rsid w:val="00146849"/>
    <w:rsid w:val="00146A97"/>
    <w:rsid w:val="00146FF4"/>
    <w:rsid w:val="00147528"/>
    <w:rsid w:val="00147B62"/>
    <w:rsid w:val="00147C0E"/>
    <w:rsid w:val="001501B9"/>
    <w:rsid w:val="001501D0"/>
    <w:rsid w:val="001501DD"/>
    <w:rsid w:val="0015037B"/>
    <w:rsid w:val="0015037E"/>
    <w:rsid w:val="001507ED"/>
    <w:rsid w:val="00150805"/>
    <w:rsid w:val="00150997"/>
    <w:rsid w:val="00150E91"/>
    <w:rsid w:val="001515E0"/>
    <w:rsid w:val="0015196A"/>
    <w:rsid w:val="00151981"/>
    <w:rsid w:val="0015219F"/>
    <w:rsid w:val="0015224D"/>
    <w:rsid w:val="00152393"/>
    <w:rsid w:val="001527BA"/>
    <w:rsid w:val="00152D40"/>
    <w:rsid w:val="00152FDD"/>
    <w:rsid w:val="0015362D"/>
    <w:rsid w:val="001542FD"/>
    <w:rsid w:val="0015506E"/>
    <w:rsid w:val="0015530C"/>
    <w:rsid w:val="001553E1"/>
    <w:rsid w:val="00155FA8"/>
    <w:rsid w:val="00156083"/>
    <w:rsid w:val="001561E3"/>
    <w:rsid w:val="0015634A"/>
    <w:rsid w:val="0015637A"/>
    <w:rsid w:val="00156D4D"/>
    <w:rsid w:val="00157111"/>
    <w:rsid w:val="001576F9"/>
    <w:rsid w:val="00157893"/>
    <w:rsid w:val="00157E50"/>
    <w:rsid w:val="00157F40"/>
    <w:rsid w:val="001603C8"/>
    <w:rsid w:val="001607EF"/>
    <w:rsid w:val="00161333"/>
    <w:rsid w:val="00161508"/>
    <w:rsid w:val="001616C2"/>
    <w:rsid w:val="00161E51"/>
    <w:rsid w:val="0016269C"/>
    <w:rsid w:val="0016270A"/>
    <w:rsid w:val="00162827"/>
    <w:rsid w:val="0016290E"/>
    <w:rsid w:val="00162A8C"/>
    <w:rsid w:val="00162AF4"/>
    <w:rsid w:val="00162B1B"/>
    <w:rsid w:val="00162FFA"/>
    <w:rsid w:val="00163409"/>
    <w:rsid w:val="001635E3"/>
    <w:rsid w:val="00163852"/>
    <w:rsid w:val="00163D0A"/>
    <w:rsid w:val="001641ED"/>
    <w:rsid w:val="001648E6"/>
    <w:rsid w:val="00164C03"/>
    <w:rsid w:val="001652B8"/>
    <w:rsid w:val="00165C53"/>
    <w:rsid w:val="00166645"/>
    <w:rsid w:val="001666C1"/>
    <w:rsid w:val="00166E07"/>
    <w:rsid w:val="00166FB4"/>
    <w:rsid w:val="0016751C"/>
    <w:rsid w:val="001702CD"/>
    <w:rsid w:val="00170ECE"/>
    <w:rsid w:val="001712D5"/>
    <w:rsid w:val="001714A6"/>
    <w:rsid w:val="00171602"/>
    <w:rsid w:val="00171A67"/>
    <w:rsid w:val="0017313D"/>
    <w:rsid w:val="0017316E"/>
    <w:rsid w:val="001731C4"/>
    <w:rsid w:val="00173C75"/>
    <w:rsid w:val="00173E16"/>
    <w:rsid w:val="00173E8D"/>
    <w:rsid w:val="001743CD"/>
    <w:rsid w:val="00175890"/>
    <w:rsid w:val="00175F7E"/>
    <w:rsid w:val="001761CA"/>
    <w:rsid w:val="0017622D"/>
    <w:rsid w:val="001764A9"/>
    <w:rsid w:val="00176597"/>
    <w:rsid w:val="00177026"/>
    <w:rsid w:val="001772E0"/>
    <w:rsid w:val="00177866"/>
    <w:rsid w:val="00177910"/>
    <w:rsid w:val="0018011E"/>
    <w:rsid w:val="00180376"/>
    <w:rsid w:val="001804E6"/>
    <w:rsid w:val="00180D80"/>
    <w:rsid w:val="00181311"/>
    <w:rsid w:val="001813CE"/>
    <w:rsid w:val="0018171F"/>
    <w:rsid w:val="00181C16"/>
    <w:rsid w:val="00182D35"/>
    <w:rsid w:val="001831E5"/>
    <w:rsid w:val="001837C6"/>
    <w:rsid w:val="00183821"/>
    <w:rsid w:val="00183D87"/>
    <w:rsid w:val="00184929"/>
    <w:rsid w:val="0018493F"/>
    <w:rsid w:val="00184BF4"/>
    <w:rsid w:val="00184C25"/>
    <w:rsid w:val="00185095"/>
    <w:rsid w:val="001853DF"/>
    <w:rsid w:val="00185657"/>
    <w:rsid w:val="00185949"/>
    <w:rsid w:val="001861F3"/>
    <w:rsid w:val="00186997"/>
    <w:rsid w:val="00186E41"/>
    <w:rsid w:val="00186E5C"/>
    <w:rsid w:val="00186E76"/>
    <w:rsid w:val="00187177"/>
    <w:rsid w:val="001871BC"/>
    <w:rsid w:val="00187CDF"/>
    <w:rsid w:val="00187D03"/>
    <w:rsid w:val="00187F26"/>
    <w:rsid w:val="00190DE6"/>
    <w:rsid w:val="001917CA"/>
    <w:rsid w:val="00191D9F"/>
    <w:rsid w:val="001943A6"/>
    <w:rsid w:val="001945B1"/>
    <w:rsid w:val="00194B1A"/>
    <w:rsid w:val="00195E2D"/>
    <w:rsid w:val="00195E93"/>
    <w:rsid w:val="001962A9"/>
    <w:rsid w:val="001963F0"/>
    <w:rsid w:val="00196403"/>
    <w:rsid w:val="00196844"/>
    <w:rsid w:val="0019716B"/>
    <w:rsid w:val="00197364"/>
    <w:rsid w:val="0019743B"/>
    <w:rsid w:val="0019761B"/>
    <w:rsid w:val="00197FDF"/>
    <w:rsid w:val="001A03D2"/>
    <w:rsid w:val="001A0B79"/>
    <w:rsid w:val="001A0D10"/>
    <w:rsid w:val="001A0D74"/>
    <w:rsid w:val="001A15EA"/>
    <w:rsid w:val="001A17C2"/>
    <w:rsid w:val="001A19B1"/>
    <w:rsid w:val="001A23E6"/>
    <w:rsid w:val="001A25BE"/>
    <w:rsid w:val="001A2632"/>
    <w:rsid w:val="001A2703"/>
    <w:rsid w:val="001A27F0"/>
    <w:rsid w:val="001A283D"/>
    <w:rsid w:val="001A2C98"/>
    <w:rsid w:val="001A2FC8"/>
    <w:rsid w:val="001A30B0"/>
    <w:rsid w:val="001A3147"/>
    <w:rsid w:val="001A335F"/>
    <w:rsid w:val="001A3A00"/>
    <w:rsid w:val="001A3FE7"/>
    <w:rsid w:val="001A441B"/>
    <w:rsid w:val="001A46BB"/>
    <w:rsid w:val="001A487A"/>
    <w:rsid w:val="001A4CDB"/>
    <w:rsid w:val="001A53D8"/>
    <w:rsid w:val="001A5495"/>
    <w:rsid w:val="001A5AA8"/>
    <w:rsid w:val="001A5B4B"/>
    <w:rsid w:val="001A5BA0"/>
    <w:rsid w:val="001A6E2C"/>
    <w:rsid w:val="001A6FF9"/>
    <w:rsid w:val="001B02FF"/>
    <w:rsid w:val="001B0306"/>
    <w:rsid w:val="001B067A"/>
    <w:rsid w:val="001B0910"/>
    <w:rsid w:val="001B0AD8"/>
    <w:rsid w:val="001B0B01"/>
    <w:rsid w:val="001B0D49"/>
    <w:rsid w:val="001B101F"/>
    <w:rsid w:val="001B1B3C"/>
    <w:rsid w:val="001B1E42"/>
    <w:rsid w:val="001B22B7"/>
    <w:rsid w:val="001B2D1C"/>
    <w:rsid w:val="001B2DC3"/>
    <w:rsid w:val="001B32DF"/>
    <w:rsid w:val="001B39A6"/>
    <w:rsid w:val="001B3B70"/>
    <w:rsid w:val="001B417F"/>
    <w:rsid w:val="001B41A1"/>
    <w:rsid w:val="001B444D"/>
    <w:rsid w:val="001B47E6"/>
    <w:rsid w:val="001B4DA9"/>
    <w:rsid w:val="001B4DEE"/>
    <w:rsid w:val="001B4FDA"/>
    <w:rsid w:val="001B53CC"/>
    <w:rsid w:val="001B5C6B"/>
    <w:rsid w:val="001B5DA0"/>
    <w:rsid w:val="001B67E6"/>
    <w:rsid w:val="001B6980"/>
    <w:rsid w:val="001B6AE8"/>
    <w:rsid w:val="001B7607"/>
    <w:rsid w:val="001B7705"/>
    <w:rsid w:val="001B79D7"/>
    <w:rsid w:val="001B7ABB"/>
    <w:rsid w:val="001B7D0D"/>
    <w:rsid w:val="001C0245"/>
    <w:rsid w:val="001C037A"/>
    <w:rsid w:val="001C049C"/>
    <w:rsid w:val="001C07AA"/>
    <w:rsid w:val="001C0929"/>
    <w:rsid w:val="001C0B12"/>
    <w:rsid w:val="001C0C2A"/>
    <w:rsid w:val="001C0C8A"/>
    <w:rsid w:val="001C1944"/>
    <w:rsid w:val="001C1C95"/>
    <w:rsid w:val="001C2946"/>
    <w:rsid w:val="001C2FD6"/>
    <w:rsid w:val="001C3D3B"/>
    <w:rsid w:val="001C40B9"/>
    <w:rsid w:val="001C51F5"/>
    <w:rsid w:val="001C5AF8"/>
    <w:rsid w:val="001C5C3C"/>
    <w:rsid w:val="001C5CD0"/>
    <w:rsid w:val="001C615D"/>
    <w:rsid w:val="001C63C4"/>
    <w:rsid w:val="001C65F4"/>
    <w:rsid w:val="001C6639"/>
    <w:rsid w:val="001C6C8C"/>
    <w:rsid w:val="001C6C97"/>
    <w:rsid w:val="001C7046"/>
    <w:rsid w:val="001C723E"/>
    <w:rsid w:val="001C7572"/>
    <w:rsid w:val="001D0276"/>
    <w:rsid w:val="001D0964"/>
    <w:rsid w:val="001D0A70"/>
    <w:rsid w:val="001D0F0C"/>
    <w:rsid w:val="001D1023"/>
    <w:rsid w:val="001D168C"/>
    <w:rsid w:val="001D1C22"/>
    <w:rsid w:val="001D2061"/>
    <w:rsid w:val="001D25C7"/>
    <w:rsid w:val="001D3009"/>
    <w:rsid w:val="001D34F5"/>
    <w:rsid w:val="001D3E73"/>
    <w:rsid w:val="001D4210"/>
    <w:rsid w:val="001D4484"/>
    <w:rsid w:val="001D46A6"/>
    <w:rsid w:val="001D47BA"/>
    <w:rsid w:val="001D4B5D"/>
    <w:rsid w:val="001D4CA4"/>
    <w:rsid w:val="001D5000"/>
    <w:rsid w:val="001D511B"/>
    <w:rsid w:val="001D58C1"/>
    <w:rsid w:val="001D5958"/>
    <w:rsid w:val="001D6245"/>
    <w:rsid w:val="001D6FEA"/>
    <w:rsid w:val="001D7F5E"/>
    <w:rsid w:val="001E04C1"/>
    <w:rsid w:val="001E0721"/>
    <w:rsid w:val="001E0851"/>
    <w:rsid w:val="001E0953"/>
    <w:rsid w:val="001E0BAE"/>
    <w:rsid w:val="001E0C95"/>
    <w:rsid w:val="001E1076"/>
    <w:rsid w:val="001E126E"/>
    <w:rsid w:val="001E142A"/>
    <w:rsid w:val="001E1DA6"/>
    <w:rsid w:val="001E1DB7"/>
    <w:rsid w:val="001E2191"/>
    <w:rsid w:val="001E2975"/>
    <w:rsid w:val="001E2BC5"/>
    <w:rsid w:val="001E2CB4"/>
    <w:rsid w:val="001E3205"/>
    <w:rsid w:val="001E3621"/>
    <w:rsid w:val="001E3FD7"/>
    <w:rsid w:val="001E49B7"/>
    <w:rsid w:val="001E4BB7"/>
    <w:rsid w:val="001E4F8E"/>
    <w:rsid w:val="001E5D38"/>
    <w:rsid w:val="001E6101"/>
    <w:rsid w:val="001E6C4C"/>
    <w:rsid w:val="001E702C"/>
    <w:rsid w:val="001E7F00"/>
    <w:rsid w:val="001F0178"/>
    <w:rsid w:val="001F08A8"/>
    <w:rsid w:val="001F0900"/>
    <w:rsid w:val="001F099D"/>
    <w:rsid w:val="001F0EAB"/>
    <w:rsid w:val="001F172F"/>
    <w:rsid w:val="001F1A5B"/>
    <w:rsid w:val="001F212D"/>
    <w:rsid w:val="001F21E3"/>
    <w:rsid w:val="001F241C"/>
    <w:rsid w:val="001F2A15"/>
    <w:rsid w:val="001F2B78"/>
    <w:rsid w:val="001F2EE6"/>
    <w:rsid w:val="001F33BF"/>
    <w:rsid w:val="001F3DD1"/>
    <w:rsid w:val="001F3EB4"/>
    <w:rsid w:val="001F3F3F"/>
    <w:rsid w:val="001F4141"/>
    <w:rsid w:val="001F42B9"/>
    <w:rsid w:val="001F43E6"/>
    <w:rsid w:val="001F4474"/>
    <w:rsid w:val="001F5FE1"/>
    <w:rsid w:val="001F6714"/>
    <w:rsid w:val="001F68B4"/>
    <w:rsid w:val="001F6A9D"/>
    <w:rsid w:val="001F747A"/>
    <w:rsid w:val="001F7771"/>
    <w:rsid w:val="00200698"/>
    <w:rsid w:val="00200968"/>
    <w:rsid w:val="00200E7F"/>
    <w:rsid w:val="00201339"/>
    <w:rsid w:val="00201BB1"/>
    <w:rsid w:val="00201E40"/>
    <w:rsid w:val="002020C5"/>
    <w:rsid w:val="0020234E"/>
    <w:rsid w:val="002024F9"/>
    <w:rsid w:val="0020253F"/>
    <w:rsid w:val="00202BAB"/>
    <w:rsid w:val="00202D50"/>
    <w:rsid w:val="00202D9D"/>
    <w:rsid w:val="002030A1"/>
    <w:rsid w:val="00204762"/>
    <w:rsid w:val="00204920"/>
    <w:rsid w:val="00204DD6"/>
    <w:rsid w:val="00205793"/>
    <w:rsid w:val="002057BA"/>
    <w:rsid w:val="00205802"/>
    <w:rsid w:val="002059B7"/>
    <w:rsid w:val="00205A0F"/>
    <w:rsid w:val="002063F8"/>
    <w:rsid w:val="00206BC5"/>
    <w:rsid w:val="00206C62"/>
    <w:rsid w:val="002074FF"/>
    <w:rsid w:val="00207FDB"/>
    <w:rsid w:val="00210583"/>
    <w:rsid w:val="00210BA2"/>
    <w:rsid w:val="00210BBB"/>
    <w:rsid w:val="00210CD1"/>
    <w:rsid w:val="002111C0"/>
    <w:rsid w:val="0021191B"/>
    <w:rsid w:val="002122CC"/>
    <w:rsid w:val="00212912"/>
    <w:rsid w:val="002132FE"/>
    <w:rsid w:val="0021348C"/>
    <w:rsid w:val="0021357F"/>
    <w:rsid w:val="002136DF"/>
    <w:rsid w:val="00213BC2"/>
    <w:rsid w:val="00213BF1"/>
    <w:rsid w:val="0021467A"/>
    <w:rsid w:val="002147C9"/>
    <w:rsid w:val="00214A68"/>
    <w:rsid w:val="00214C90"/>
    <w:rsid w:val="00215B59"/>
    <w:rsid w:val="00215DF9"/>
    <w:rsid w:val="00216326"/>
    <w:rsid w:val="0021641A"/>
    <w:rsid w:val="002164AE"/>
    <w:rsid w:val="002169C5"/>
    <w:rsid w:val="00216AFC"/>
    <w:rsid w:val="00216BB6"/>
    <w:rsid w:val="00216E1D"/>
    <w:rsid w:val="00216EAE"/>
    <w:rsid w:val="00216F54"/>
    <w:rsid w:val="0021718A"/>
    <w:rsid w:val="00217528"/>
    <w:rsid w:val="00217881"/>
    <w:rsid w:val="00217CD7"/>
    <w:rsid w:val="002201D9"/>
    <w:rsid w:val="00220935"/>
    <w:rsid w:val="00220B42"/>
    <w:rsid w:val="00220BFA"/>
    <w:rsid w:val="00220C4B"/>
    <w:rsid w:val="00220CB7"/>
    <w:rsid w:val="00221300"/>
    <w:rsid w:val="002216F1"/>
    <w:rsid w:val="00221E46"/>
    <w:rsid w:val="00222749"/>
    <w:rsid w:val="00223C17"/>
    <w:rsid w:val="002241E3"/>
    <w:rsid w:val="002246CD"/>
    <w:rsid w:val="002247E6"/>
    <w:rsid w:val="002248B8"/>
    <w:rsid w:val="00224D4F"/>
    <w:rsid w:val="0022520F"/>
    <w:rsid w:val="002256F5"/>
    <w:rsid w:val="0022581B"/>
    <w:rsid w:val="00225890"/>
    <w:rsid w:val="00225C45"/>
    <w:rsid w:val="002262BB"/>
    <w:rsid w:val="0022658E"/>
    <w:rsid w:val="0022665C"/>
    <w:rsid w:val="002266A4"/>
    <w:rsid w:val="00226FCC"/>
    <w:rsid w:val="00227BC8"/>
    <w:rsid w:val="00227CC5"/>
    <w:rsid w:val="00227DEB"/>
    <w:rsid w:val="00227FE2"/>
    <w:rsid w:val="00230902"/>
    <w:rsid w:val="00230CD6"/>
    <w:rsid w:val="00231BC6"/>
    <w:rsid w:val="00232447"/>
    <w:rsid w:val="002325AD"/>
    <w:rsid w:val="00232C78"/>
    <w:rsid w:val="00232D16"/>
    <w:rsid w:val="002332AD"/>
    <w:rsid w:val="0023351B"/>
    <w:rsid w:val="00233A23"/>
    <w:rsid w:val="00234A9B"/>
    <w:rsid w:val="00234B99"/>
    <w:rsid w:val="00235B34"/>
    <w:rsid w:val="00235B9C"/>
    <w:rsid w:val="00236064"/>
    <w:rsid w:val="00236865"/>
    <w:rsid w:val="00236983"/>
    <w:rsid w:val="00237187"/>
    <w:rsid w:val="00237DCF"/>
    <w:rsid w:val="00237EC2"/>
    <w:rsid w:val="002402F7"/>
    <w:rsid w:val="0024044A"/>
    <w:rsid w:val="00240839"/>
    <w:rsid w:val="00240953"/>
    <w:rsid w:val="00241400"/>
    <w:rsid w:val="002415A1"/>
    <w:rsid w:val="00241682"/>
    <w:rsid w:val="00241762"/>
    <w:rsid w:val="00241C37"/>
    <w:rsid w:val="0024229F"/>
    <w:rsid w:val="002423BE"/>
    <w:rsid w:val="00242891"/>
    <w:rsid w:val="00243102"/>
    <w:rsid w:val="00243322"/>
    <w:rsid w:val="00243A5A"/>
    <w:rsid w:val="00243C75"/>
    <w:rsid w:val="00243E24"/>
    <w:rsid w:val="00243F71"/>
    <w:rsid w:val="002444F8"/>
    <w:rsid w:val="00244C43"/>
    <w:rsid w:val="00244E59"/>
    <w:rsid w:val="002451AF"/>
    <w:rsid w:val="00245436"/>
    <w:rsid w:val="00245533"/>
    <w:rsid w:val="002456FF"/>
    <w:rsid w:val="00245C62"/>
    <w:rsid w:val="0024635C"/>
    <w:rsid w:val="002463E5"/>
    <w:rsid w:val="00246580"/>
    <w:rsid w:val="002467E2"/>
    <w:rsid w:val="00246D42"/>
    <w:rsid w:val="00247429"/>
    <w:rsid w:val="00247B79"/>
    <w:rsid w:val="00250203"/>
    <w:rsid w:val="00250250"/>
    <w:rsid w:val="0025042F"/>
    <w:rsid w:val="0025067C"/>
    <w:rsid w:val="00250CCD"/>
    <w:rsid w:val="00251536"/>
    <w:rsid w:val="0025178E"/>
    <w:rsid w:val="00251AE2"/>
    <w:rsid w:val="00251D54"/>
    <w:rsid w:val="00251E9A"/>
    <w:rsid w:val="00251FBC"/>
    <w:rsid w:val="002521A6"/>
    <w:rsid w:val="00252330"/>
    <w:rsid w:val="00252AF3"/>
    <w:rsid w:val="002533E7"/>
    <w:rsid w:val="002539D0"/>
    <w:rsid w:val="00253FA2"/>
    <w:rsid w:val="00254650"/>
    <w:rsid w:val="00254844"/>
    <w:rsid w:val="00254B0A"/>
    <w:rsid w:val="00254CA8"/>
    <w:rsid w:val="00254D78"/>
    <w:rsid w:val="00254ED2"/>
    <w:rsid w:val="0025576B"/>
    <w:rsid w:val="002557C7"/>
    <w:rsid w:val="00255A65"/>
    <w:rsid w:val="00256432"/>
    <w:rsid w:val="00256A08"/>
    <w:rsid w:val="00256CA8"/>
    <w:rsid w:val="00257D29"/>
    <w:rsid w:val="0026054F"/>
    <w:rsid w:val="002608D4"/>
    <w:rsid w:val="002609A9"/>
    <w:rsid w:val="002609CD"/>
    <w:rsid w:val="00260BAA"/>
    <w:rsid w:val="00260F63"/>
    <w:rsid w:val="00261061"/>
    <w:rsid w:val="0026119C"/>
    <w:rsid w:val="0026146C"/>
    <w:rsid w:val="00261985"/>
    <w:rsid w:val="00261D7D"/>
    <w:rsid w:val="00261FF8"/>
    <w:rsid w:val="002623A7"/>
    <w:rsid w:val="002623E6"/>
    <w:rsid w:val="002632E4"/>
    <w:rsid w:val="00263479"/>
    <w:rsid w:val="00263701"/>
    <w:rsid w:val="00263D6A"/>
    <w:rsid w:val="00264230"/>
    <w:rsid w:val="00264480"/>
    <w:rsid w:val="00264D11"/>
    <w:rsid w:val="00264D1C"/>
    <w:rsid w:val="00264F2E"/>
    <w:rsid w:val="00265507"/>
    <w:rsid w:val="00265B0F"/>
    <w:rsid w:val="00265C0F"/>
    <w:rsid w:val="00265D92"/>
    <w:rsid w:val="00266021"/>
    <w:rsid w:val="002660B7"/>
    <w:rsid w:val="002660EA"/>
    <w:rsid w:val="00266415"/>
    <w:rsid w:val="00266D1C"/>
    <w:rsid w:val="00266D9E"/>
    <w:rsid w:val="00266DC4"/>
    <w:rsid w:val="00266DDA"/>
    <w:rsid w:val="002670CB"/>
    <w:rsid w:val="002672EF"/>
    <w:rsid w:val="00267578"/>
    <w:rsid w:val="00267AA6"/>
    <w:rsid w:val="002707B9"/>
    <w:rsid w:val="00270C0C"/>
    <w:rsid w:val="00271283"/>
    <w:rsid w:val="00271358"/>
    <w:rsid w:val="00271A29"/>
    <w:rsid w:val="00271AD5"/>
    <w:rsid w:val="00271B41"/>
    <w:rsid w:val="00272381"/>
    <w:rsid w:val="00272832"/>
    <w:rsid w:val="0027294B"/>
    <w:rsid w:val="002733B3"/>
    <w:rsid w:val="0027347F"/>
    <w:rsid w:val="002735C8"/>
    <w:rsid w:val="00273766"/>
    <w:rsid w:val="002739E0"/>
    <w:rsid w:val="00273DC8"/>
    <w:rsid w:val="00273EBE"/>
    <w:rsid w:val="0027409F"/>
    <w:rsid w:val="00274F41"/>
    <w:rsid w:val="002750E5"/>
    <w:rsid w:val="002751D9"/>
    <w:rsid w:val="002752B3"/>
    <w:rsid w:val="00275310"/>
    <w:rsid w:val="00275670"/>
    <w:rsid w:val="00276466"/>
    <w:rsid w:val="002767FE"/>
    <w:rsid w:val="00276D9A"/>
    <w:rsid w:val="00276E7F"/>
    <w:rsid w:val="00276E8D"/>
    <w:rsid w:val="00277765"/>
    <w:rsid w:val="00277A17"/>
    <w:rsid w:val="00277B25"/>
    <w:rsid w:val="00277D02"/>
    <w:rsid w:val="002802BA"/>
    <w:rsid w:val="002803BB"/>
    <w:rsid w:val="002806C4"/>
    <w:rsid w:val="00280E54"/>
    <w:rsid w:val="00280FA2"/>
    <w:rsid w:val="002813B0"/>
    <w:rsid w:val="00282D8D"/>
    <w:rsid w:val="00282F22"/>
    <w:rsid w:val="00283211"/>
    <w:rsid w:val="0028373A"/>
    <w:rsid w:val="00284CB2"/>
    <w:rsid w:val="002851D8"/>
    <w:rsid w:val="00285799"/>
    <w:rsid w:val="00285B08"/>
    <w:rsid w:val="00285B50"/>
    <w:rsid w:val="00285E73"/>
    <w:rsid w:val="0028610E"/>
    <w:rsid w:val="00286425"/>
    <w:rsid w:val="00286DC9"/>
    <w:rsid w:val="00286E10"/>
    <w:rsid w:val="00286F7C"/>
    <w:rsid w:val="00287169"/>
    <w:rsid w:val="002872A4"/>
    <w:rsid w:val="00287611"/>
    <w:rsid w:val="00287965"/>
    <w:rsid w:val="00287986"/>
    <w:rsid w:val="00287F9E"/>
    <w:rsid w:val="0029042F"/>
    <w:rsid w:val="002907E9"/>
    <w:rsid w:val="0029090E"/>
    <w:rsid w:val="00291517"/>
    <w:rsid w:val="00291622"/>
    <w:rsid w:val="002916E9"/>
    <w:rsid w:val="00291A83"/>
    <w:rsid w:val="00291F27"/>
    <w:rsid w:val="0029259C"/>
    <w:rsid w:val="002929FA"/>
    <w:rsid w:val="00292F90"/>
    <w:rsid w:val="002931A4"/>
    <w:rsid w:val="002935AD"/>
    <w:rsid w:val="0029381B"/>
    <w:rsid w:val="00293B84"/>
    <w:rsid w:val="00293C4C"/>
    <w:rsid w:val="002945FC"/>
    <w:rsid w:val="002946BA"/>
    <w:rsid w:val="00294C54"/>
    <w:rsid w:val="00295842"/>
    <w:rsid w:val="00295BFE"/>
    <w:rsid w:val="00296102"/>
    <w:rsid w:val="00296494"/>
    <w:rsid w:val="002966F7"/>
    <w:rsid w:val="00296CED"/>
    <w:rsid w:val="00297402"/>
    <w:rsid w:val="00297D9C"/>
    <w:rsid w:val="002A0703"/>
    <w:rsid w:val="002A0710"/>
    <w:rsid w:val="002A09C8"/>
    <w:rsid w:val="002A13B8"/>
    <w:rsid w:val="002A24D5"/>
    <w:rsid w:val="002A2754"/>
    <w:rsid w:val="002A381E"/>
    <w:rsid w:val="002A42DB"/>
    <w:rsid w:val="002A48CB"/>
    <w:rsid w:val="002A4AC9"/>
    <w:rsid w:val="002A5BE0"/>
    <w:rsid w:val="002A6033"/>
    <w:rsid w:val="002A6252"/>
    <w:rsid w:val="002A654F"/>
    <w:rsid w:val="002A6770"/>
    <w:rsid w:val="002A6A4A"/>
    <w:rsid w:val="002A6E94"/>
    <w:rsid w:val="002A73FF"/>
    <w:rsid w:val="002A7481"/>
    <w:rsid w:val="002A74FB"/>
    <w:rsid w:val="002A7752"/>
    <w:rsid w:val="002A797C"/>
    <w:rsid w:val="002A79FD"/>
    <w:rsid w:val="002A7B68"/>
    <w:rsid w:val="002B03A6"/>
    <w:rsid w:val="002B03F1"/>
    <w:rsid w:val="002B04CB"/>
    <w:rsid w:val="002B0A30"/>
    <w:rsid w:val="002B0D4B"/>
    <w:rsid w:val="002B19C1"/>
    <w:rsid w:val="002B1AD1"/>
    <w:rsid w:val="002B1AF9"/>
    <w:rsid w:val="002B215C"/>
    <w:rsid w:val="002B2B37"/>
    <w:rsid w:val="002B2F93"/>
    <w:rsid w:val="002B327B"/>
    <w:rsid w:val="002B3B01"/>
    <w:rsid w:val="002B3B3E"/>
    <w:rsid w:val="002B3C16"/>
    <w:rsid w:val="002B461E"/>
    <w:rsid w:val="002B4746"/>
    <w:rsid w:val="002B47A3"/>
    <w:rsid w:val="002B4FD2"/>
    <w:rsid w:val="002B53F6"/>
    <w:rsid w:val="002B55FE"/>
    <w:rsid w:val="002B6049"/>
    <w:rsid w:val="002B67DD"/>
    <w:rsid w:val="002B6B74"/>
    <w:rsid w:val="002B7016"/>
    <w:rsid w:val="002B7160"/>
    <w:rsid w:val="002B74BA"/>
    <w:rsid w:val="002B76A3"/>
    <w:rsid w:val="002B7AC4"/>
    <w:rsid w:val="002C1419"/>
    <w:rsid w:val="002C1C44"/>
    <w:rsid w:val="002C1D43"/>
    <w:rsid w:val="002C27E2"/>
    <w:rsid w:val="002C2DEA"/>
    <w:rsid w:val="002C2F45"/>
    <w:rsid w:val="002C3026"/>
    <w:rsid w:val="002C3427"/>
    <w:rsid w:val="002C34F7"/>
    <w:rsid w:val="002C3772"/>
    <w:rsid w:val="002C3CD0"/>
    <w:rsid w:val="002C3E3F"/>
    <w:rsid w:val="002C4264"/>
    <w:rsid w:val="002C43CC"/>
    <w:rsid w:val="002C44F3"/>
    <w:rsid w:val="002C4605"/>
    <w:rsid w:val="002C49FE"/>
    <w:rsid w:val="002C4C9F"/>
    <w:rsid w:val="002C4E01"/>
    <w:rsid w:val="002C4F9C"/>
    <w:rsid w:val="002C4FD2"/>
    <w:rsid w:val="002C5976"/>
    <w:rsid w:val="002C5A91"/>
    <w:rsid w:val="002C5F92"/>
    <w:rsid w:val="002C6BEF"/>
    <w:rsid w:val="002C6DD1"/>
    <w:rsid w:val="002C7070"/>
    <w:rsid w:val="002C70AB"/>
    <w:rsid w:val="002C74F4"/>
    <w:rsid w:val="002C7507"/>
    <w:rsid w:val="002C77D1"/>
    <w:rsid w:val="002C7BD4"/>
    <w:rsid w:val="002D0017"/>
    <w:rsid w:val="002D018F"/>
    <w:rsid w:val="002D0B29"/>
    <w:rsid w:val="002D0C54"/>
    <w:rsid w:val="002D0ED9"/>
    <w:rsid w:val="002D0F10"/>
    <w:rsid w:val="002D1669"/>
    <w:rsid w:val="002D1846"/>
    <w:rsid w:val="002D1875"/>
    <w:rsid w:val="002D1B58"/>
    <w:rsid w:val="002D231A"/>
    <w:rsid w:val="002D2AB7"/>
    <w:rsid w:val="002D2D13"/>
    <w:rsid w:val="002D3A2B"/>
    <w:rsid w:val="002D4597"/>
    <w:rsid w:val="002D4884"/>
    <w:rsid w:val="002D4AE2"/>
    <w:rsid w:val="002D4B57"/>
    <w:rsid w:val="002D5035"/>
    <w:rsid w:val="002D5259"/>
    <w:rsid w:val="002D63F8"/>
    <w:rsid w:val="002D66BB"/>
    <w:rsid w:val="002D73CE"/>
    <w:rsid w:val="002D75C1"/>
    <w:rsid w:val="002D7ACC"/>
    <w:rsid w:val="002D7CB9"/>
    <w:rsid w:val="002E088E"/>
    <w:rsid w:val="002E09E1"/>
    <w:rsid w:val="002E0B89"/>
    <w:rsid w:val="002E0C87"/>
    <w:rsid w:val="002E0E27"/>
    <w:rsid w:val="002E10A9"/>
    <w:rsid w:val="002E17E1"/>
    <w:rsid w:val="002E19D1"/>
    <w:rsid w:val="002E1A06"/>
    <w:rsid w:val="002E1CE2"/>
    <w:rsid w:val="002E1D71"/>
    <w:rsid w:val="002E2E55"/>
    <w:rsid w:val="002E317C"/>
    <w:rsid w:val="002E349F"/>
    <w:rsid w:val="002E384C"/>
    <w:rsid w:val="002E38D8"/>
    <w:rsid w:val="002E3E59"/>
    <w:rsid w:val="002E4598"/>
    <w:rsid w:val="002E51EC"/>
    <w:rsid w:val="002E55B9"/>
    <w:rsid w:val="002E565E"/>
    <w:rsid w:val="002E571A"/>
    <w:rsid w:val="002E62F8"/>
    <w:rsid w:val="002E64F4"/>
    <w:rsid w:val="002E66D1"/>
    <w:rsid w:val="002E69EF"/>
    <w:rsid w:val="002E6B5D"/>
    <w:rsid w:val="002E6C52"/>
    <w:rsid w:val="002E71B0"/>
    <w:rsid w:val="002E79D2"/>
    <w:rsid w:val="002E7DD0"/>
    <w:rsid w:val="002F0186"/>
    <w:rsid w:val="002F055F"/>
    <w:rsid w:val="002F0663"/>
    <w:rsid w:val="002F111E"/>
    <w:rsid w:val="002F13D0"/>
    <w:rsid w:val="002F1895"/>
    <w:rsid w:val="002F18DB"/>
    <w:rsid w:val="002F2011"/>
    <w:rsid w:val="002F24AD"/>
    <w:rsid w:val="002F2557"/>
    <w:rsid w:val="002F2A48"/>
    <w:rsid w:val="002F3439"/>
    <w:rsid w:val="002F35AC"/>
    <w:rsid w:val="002F362F"/>
    <w:rsid w:val="002F369D"/>
    <w:rsid w:val="002F3764"/>
    <w:rsid w:val="002F3770"/>
    <w:rsid w:val="002F3C72"/>
    <w:rsid w:val="002F3F81"/>
    <w:rsid w:val="002F3FEB"/>
    <w:rsid w:val="002F4636"/>
    <w:rsid w:val="002F53E0"/>
    <w:rsid w:val="002F59B5"/>
    <w:rsid w:val="002F5DB3"/>
    <w:rsid w:val="002F5F8E"/>
    <w:rsid w:val="002F7366"/>
    <w:rsid w:val="002F7723"/>
    <w:rsid w:val="002F78E2"/>
    <w:rsid w:val="002F7A60"/>
    <w:rsid w:val="003001F2"/>
    <w:rsid w:val="00300773"/>
    <w:rsid w:val="003015A2"/>
    <w:rsid w:val="00301931"/>
    <w:rsid w:val="00301BA8"/>
    <w:rsid w:val="00301CA3"/>
    <w:rsid w:val="00302134"/>
    <w:rsid w:val="003025B7"/>
    <w:rsid w:val="003028BB"/>
    <w:rsid w:val="00302EE0"/>
    <w:rsid w:val="003036AA"/>
    <w:rsid w:val="00303DB5"/>
    <w:rsid w:val="00304145"/>
    <w:rsid w:val="003046BB"/>
    <w:rsid w:val="00304712"/>
    <w:rsid w:val="00304A64"/>
    <w:rsid w:val="00304A9C"/>
    <w:rsid w:val="00304B2B"/>
    <w:rsid w:val="003052A6"/>
    <w:rsid w:val="00305B9C"/>
    <w:rsid w:val="00305C95"/>
    <w:rsid w:val="003077E2"/>
    <w:rsid w:val="003102B2"/>
    <w:rsid w:val="0031039D"/>
    <w:rsid w:val="00310580"/>
    <w:rsid w:val="003107B3"/>
    <w:rsid w:val="00310B6E"/>
    <w:rsid w:val="00310CF2"/>
    <w:rsid w:val="00311450"/>
    <w:rsid w:val="00311792"/>
    <w:rsid w:val="00311DC7"/>
    <w:rsid w:val="0031279A"/>
    <w:rsid w:val="00312A4D"/>
    <w:rsid w:val="00312D0F"/>
    <w:rsid w:val="003145F7"/>
    <w:rsid w:val="00314CF5"/>
    <w:rsid w:val="00314D50"/>
    <w:rsid w:val="00315336"/>
    <w:rsid w:val="0031589D"/>
    <w:rsid w:val="00315D90"/>
    <w:rsid w:val="00316089"/>
    <w:rsid w:val="00317734"/>
    <w:rsid w:val="00317960"/>
    <w:rsid w:val="00317F3A"/>
    <w:rsid w:val="00320076"/>
    <w:rsid w:val="00320236"/>
    <w:rsid w:val="00320BF3"/>
    <w:rsid w:val="00320EC2"/>
    <w:rsid w:val="003210D5"/>
    <w:rsid w:val="00321CE3"/>
    <w:rsid w:val="003220A3"/>
    <w:rsid w:val="003236EB"/>
    <w:rsid w:val="0032440C"/>
    <w:rsid w:val="00324492"/>
    <w:rsid w:val="003244F7"/>
    <w:rsid w:val="00324535"/>
    <w:rsid w:val="00324FDA"/>
    <w:rsid w:val="0032523C"/>
    <w:rsid w:val="003252CF"/>
    <w:rsid w:val="003252EE"/>
    <w:rsid w:val="00325825"/>
    <w:rsid w:val="0032635A"/>
    <w:rsid w:val="00326431"/>
    <w:rsid w:val="0032653C"/>
    <w:rsid w:val="00326768"/>
    <w:rsid w:val="00326996"/>
    <w:rsid w:val="00326F06"/>
    <w:rsid w:val="003271E0"/>
    <w:rsid w:val="00327CA8"/>
    <w:rsid w:val="003301D8"/>
    <w:rsid w:val="0033023A"/>
    <w:rsid w:val="00330CF9"/>
    <w:rsid w:val="00330DF8"/>
    <w:rsid w:val="003319C1"/>
    <w:rsid w:val="00331C04"/>
    <w:rsid w:val="00331FB3"/>
    <w:rsid w:val="003322E3"/>
    <w:rsid w:val="003326CD"/>
    <w:rsid w:val="003327F8"/>
    <w:rsid w:val="003328F4"/>
    <w:rsid w:val="00332B2F"/>
    <w:rsid w:val="003342F3"/>
    <w:rsid w:val="00334469"/>
    <w:rsid w:val="00334907"/>
    <w:rsid w:val="00334C8D"/>
    <w:rsid w:val="003350C9"/>
    <w:rsid w:val="00335A05"/>
    <w:rsid w:val="00335CA3"/>
    <w:rsid w:val="003360D3"/>
    <w:rsid w:val="00336335"/>
    <w:rsid w:val="003365C2"/>
    <w:rsid w:val="00336612"/>
    <w:rsid w:val="00340552"/>
    <w:rsid w:val="0034098A"/>
    <w:rsid w:val="00341134"/>
    <w:rsid w:val="003413B5"/>
    <w:rsid w:val="0034151F"/>
    <w:rsid w:val="00341534"/>
    <w:rsid w:val="0034173B"/>
    <w:rsid w:val="00341F28"/>
    <w:rsid w:val="0034239A"/>
    <w:rsid w:val="003424A8"/>
    <w:rsid w:val="00342E0B"/>
    <w:rsid w:val="00343883"/>
    <w:rsid w:val="003439D4"/>
    <w:rsid w:val="00343B00"/>
    <w:rsid w:val="00343E91"/>
    <w:rsid w:val="00343FCC"/>
    <w:rsid w:val="003449AD"/>
    <w:rsid w:val="00344AF4"/>
    <w:rsid w:val="00344BB6"/>
    <w:rsid w:val="00344E2F"/>
    <w:rsid w:val="00344F69"/>
    <w:rsid w:val="0034532F"/>
    <w:rsid w:val="00345846"/>
    <w:rsid w:val="00345AFE"/>
    <w:rsid w:val="00345E07"/>
    <w:rsid w:val="003461A2"/>
    <w:rsid w:val="003462F0"/>
    <w:rsid w:val="00347121"/>
    <w:rsid w:val="003473F0"/>
    <w:rsid w:val="00347EE7"/>
    <w:rsid w:val="003504FB"/>
    <w:rsid w:val="00350769"/>
    <w:rsid w:val="00350D18"/>
    <w:rsid w:val="00350D83"/>
    <w:rsid w:val="003512F6"/>
    <w:rsid w:val="003518A9"/>
    <w:rsid w:val="00352430"/>
    <w:rsid w:val="00352656"/>
    <w:rsid w:val="00352D5E"/>
    <w:rsid w:val="003532CE"/>
    <w:rsid w:val="0035378F"/>
    <w:rsid w:val="00353B82"/>
    <w:rsid w:val="00353B9F"/>
    <w:rsid w:val="00353DDB"/>
    <w:rsid w:val="00353F54"/>
    <w:rsid w:val="003540BC"/>
    <w:rsid w:val="0035466B"/>
    <w:rsid w:val="00354888"/>
    <w:rsid w:val="00354C48"/>
    <w:rsid w:val="00355091"/>
    <w:rsid w:val="003556DF"/>
    <w:rsid w:val="00355871"/>
    <w:rsid w:val="00355F3E"/>
    <w:rsid w:val="00355FDA"/>
    <w:rsid w:val="003560CA"/>
    <w:rsid w:val="00356A6E"/>
    <w:rsid w:val="00356E90"/>
    <w:rsid w:val="0036010C"/>
    <w:rsid w:val="003604C6"/>
    <w:rsid w:val="00360B29"/>
    <w:rsid w:val="00360C86"/>
    <w:rsid w:val="00360CEA"/>
    <w:rsid w:val="00360DF1"/>
    <w:rsid w:val="0036141D"/>
    <w:rsid w:val="00362458"/>
    <w:rsid w:val="00362A0D"/>
    <w:rsid w:val="00362BB6"/>
    <w:rsid w:val="00362D29"/>
    <w:rsid w:val="00362DC2"/>
    <w:rsid w:val="00362ECD"/>
    <w:rsid w:val="00362FC7"/>
    <w:rsid w:val="00363170"/>
    <w:rsid w:val="003631F6"/>
    <w:rsid w:val="0036326E"/>
    <w:rsid w:val="003634DE"/>
    <w:rsid w:val="00363D2F"/>
    <w:rsid w:val="0036412D"/>
    <w:rsid w:val="003641C3"/>
    <w:rsid w:val="00364942"/>
    <w:rsid w:val="00364A9B"/>
    <w:rsid w:val="00364B3B"/>
    <w:rsid w:val="0036500B"/>
    <w:rsid w:val="0036545C"/>
    <w:rsid w:val="00365A00"/>
    <w:rsid w:val="00365B3F"/>
    <w:rsid w:val="00365C08"/>
    <w:rsid w:val="00365D0A"/>
    <w:rsid w:val="00365F34"/>
    <w:rsid w:val="003666D8"/>
    <w:rsid w:val="003666FB"/>
    <w:rsid w:val="003667BF"/>
    <w:rsid w:val="003668E7"/>
    <w:rsid w:val="00366DEE"/>
    <w:rsid w:val="00366E83"/>
    <w:rsid w:val="003702D1"/>
    <w:rsid w:val="0037035F"/>
    <w:rsid w:val="0037056E"/>
    <w:rsid w:val="003709FD"/>
    <w:rsid w:val="00370DE6"/>
    <w:rsid w:val="00370F71"/>
    <w:rsid w:val="0037147D"/>
    <w:rsid w:val="00372216"/>
    <w:rsid w:val="003723AB"/>
    <w:rsid w:val="003725A5"/>
    <w:rsid w:val="0037289E"/>
    <w:rsid w:val="00372A39"/>
    <w:rsid w:val="00372D68"/>
    <w:rsid w:val="00372EA5"/>
    <w:rsid w:val="00373045"/>
    <w:rsid w:val="003736EE"/>
    <w:rsid w:val="0037378C"/>
    <w:rsid w:val="003737AC"/>
    <w:rsid w:val="00373DF6"/>
    <w:rsid w:val="00373E36"/>
    <w:rsid w:val="00374825"/>
    <w:rsid w:val="00374C06"/>
    <w:rsid w:val="00375077"/>
    <w:rsid w:val="00375231"/>
    <w:rsid w:val="00375265"/>
    <w:rsid w:val="0037559D"/>
    <w:rsid w:val="003763FF"/>
    <w:rsid w:val="003766AE"/>
    <w:rsid w:val="0037685D"/>
    <w:rsid w:val="00376DAD"/>
    <w:rsid w:val="00377394"/>
    <w:rsid w:val="00380086"/>
    <w:rsid w:val="00380411"/>
    <w:rsid w:val="0038084A"/>
    <w:rsid w:val="0038092F"/>
    <w:rsid w:val="00380CFF"/>
    <w:rsid w:val="00380D02"/>
    <w:rsid w:val="00380D84"/>
    <w:rsid w:val="00381FA7"/>
    <w:rsid w:val="00382073"/>
    <w:rsid w:val="00382A4A"/>
    <w:rsid w:val="003831CE"/>
    <w:rsid w:val="003833F9"/>
    <w:rsid w:val="003838DB"/>
    <w:rsid w:val="00383B46"/>
    <w:rsid w:val="00383BF4"/>
    <w:rsid w:val="00384115"/>
    <w:rsid w:val="0038423B"/>
    <w:rsid w:val="00384449"/>
    <w:rsid w:val="0038493B"/>
    <w:rsid w:val="00384C05"/>
    <w:rsid w:val="00384FA2"/>
    <w:rsid w:val="00385657"/>
    <w:rsid w:val="00386225"/>
    <w:rsid w:val="003862E8"/>
    <w:rsid w:val="003873E1"/>
    <w:rsid w:val="00387A05"/>
    <w:rsid w:val="00390829"/>
    <w:rsid w:val="0039159F"/>
    <w:rsid w:val="00391B17"/>
    <w:rsid w:val="00391DA4"/>
    <w:rsid w:val="0039244C"/>
    <w:rsid w:val="003927EC"/>
    <w:rsid w:val="00392926"/>
    <w:rsid w:val="00392B5D"/>
    <w:rsid w:val="00393C28"/>
    <w:rsid w:val="00393C95"/>
    <w:rsid w:val="00393E5E"/>
    <w:rsid w:val="00394771"/>
    <w:rsid w:val="00394C6D"/>
    <w:rsid w:val="00395330"/>
    <w:rsid w:val="00395F60"/>
    <w:rsid w:val="0039611B"/>
    <w:rsid w:val="003961A6"/>
    <w:rsid w:val="00396C94"/>
    <w:rsid w:val="00396E15"/>
    <w:rsid w:val="00396FEE"/>
    <w:rsid w:val="003976E8"/>
    <w:rsid w:val="0039796D"/>
    <w:rsid w:val="00397C85"/>
    <w:rsid w:val="00397FE0"/>
    <w:rsid w:val="003A0567"/>
    <w:rsid w:val="003A0615"/>
    <w:rsid w:val="003A07D1"/>
    <w:rsid w:val="003A0A5B"/>
    <w:rsid w:val="003A0B77"/>
    <w:rsid w:val="003A1203"/>
    <w:rsid w:val="003A1535"/>
    <w:rsid w:val="003A17CA"/>
    <w:rsid w:val="003A194E"/>
    <w:rsid w:val="003A2720"/>
    <w:rsid w:val="003A2942"/>
    <w:rsid w:val="003A29DC"/>
    <w:rsid w:val="003A3044"/>
    <w:rsid w:val="003A3B0D"/>
    <w:rsid w:val="003A3C3C"/>
    <w:rsid w:val="003A3CB2"/>
    <w:rsid w:val="003A41C4"/>
    <w:rsid w:val="003A4705"/>
    <w:rsid w:val="003A49A6"/>
    <w:rsid w:val="003A49D9"/>
    <w:rsid w:val="003A4A07"/>
    <w:rsid w:val="003A4CCB"/>
    <w:rsid w:val="003A52BC"/>
    <w:rsid w:val="003A53CA"/>
    <w:rsid w:val="003A639D"/>
    <w:rsid w:val="003A7204"/>
    <w:rsid w:val="003A7D98"/>
    <w:rsid w:val="003A7E16"/>
    <w:rsid w:val="003A7EEB"/>
    <w:rsid w:val="003B00BF"/>
    <w:rsid w:val="003B09EF"/>
    <w:rsid w:val="003B0DC1"/>
    <w:rsid w:val="003B1322"/>
    <w:rsid w:val="003B1710"/>
    <w:rsid w:val="003B23EB"/>
    <w:rsid w:val="003B30D8"/>
    <w:rsid w:val="003B36D1"/>
    <w:rsid w:val="003B3BDF"/>
    <w:rsid w:val="003B45FD"/>
    <w:rsid w:val="003B4800"/>
    <w:rsid w:val="003B4B72"/>
    <w:rsid w:val="003B4DF2"/>
    <w:rsid w:val="003B4E4E"/>
    <w:rsid w:val="003B527C"/>
    <w:rsid w:val="003B552C"/>
    <w:rsid w:val="003B5717"/>
    <w:rsid w:val="003B581A"/>
    <w:rsid w:val="003B66AE"/>
    <w:rsid w:val="003B6714"/>
    <w:rsid w:val="003B6D48"/>
    <w:rsid w:val="003B753B"/>
    <w:rsid w:val="003B78B7"/>
    <w:rsid w:val="003B7C36"/>
    <w:rsid w:val="003B7FEE"/>
    <w:rsid w:val="003C0066"/>
    <w:rsid w:val="003C00E0"/>
    <w:rsid w:val="003C13CF"/>
    <w:rsid w:val="003C1E0C"/>
    <w:rsid w:val="003C229F"/>
    <w:rsid w:val="003C27D4"/>
    <w:rsid w:val="003C305B"/>
    <w:rsid w:val="003C32E3"/>
    <w:rsid w:val="003C34BA"/>
    <w:rsid w:val="003C3759"/>
    <w:rsid w:val="003C398E"/>
    <w:rsid w:val="003C45C8"/>
    <w:rsid w:val="003C47F3"/>
    <w:rsid w:val="003C484C"/>
    <w:rsid w:val="003C4A2A"/>
    <w:rsid w:val="003C4B49"/>
    <w:rsid w:val="003C50DB"/>
    <w:rsid w:val="003C521F"/>
    <w:rsid w:val="003C56A8"/>
    <w:rsid w:val="003C5C36"/>
    <w:rsid w:val="003C6647"/>
    <w:rsid w:val="003C6A46"/>
    <w:rsid w:val="003C7060"/>
    <w:rsid w:val="003C739B"/>
    <w:rsid w:val="003C75B8"/>
    <w:rsid w:val="003D06EE"/>
    <w:rsid w:val="003D098B"/>
    <w:rsid w:val="003D0E9E"/>
    <w:rsid w:val="003D1B9D"/>
    <w:rsid w:val="003D206F"/>
    <w:rsid w:val="003D2232"/>
    <w:rsid w:val="003D2C4D"/>
    <w:rsid w:val="003D2D74"/>
    <w:rsid w:val="003D352E"/>
    <w:rsid w:val="003D3B77"/>
    <w:rsid w:val="003D3BE0"/>
    <w:rsid w:val="003D3F16"/>
    <w:rsid w:val="003D46AF"/>
    <w:rsid w:val="003D5466"/>
    <w:rsid w:val="003D552A"/>
    <w:rsid w:val="003D5585"/>
    <w:rsid w:val="003D5979"/>
    <w:rsid w:val="003D61DF"/>
    <w:rsid w:val="003D65F0"/>
    <w:rsid w:val="003D6809"/>
    <w:rsid w:val="003D76D7"/>
    <w:rsid w:val="003D78B4"/>
    <w:rsid w:val="003E0671"/>
    <w:rsid w:val="003E07E0"/>
    <w:rsid w:val="003E080E"/>
    <w:rsid w:val="003E084C"/>
    <w:rsid w:val="003E0977"/>
    <w:rsid w:val="003E0B4C"/>
    <w:rsid w:val="003E16B6"/>
    <w:rsid w:val="003E185D"/>
    <w:rsid w:val="003E1C3C"/>
    <w:rsid w:val="003E1EED"/>
    <w:rsid w:val="003E25C6"/>
    <w:rsid w:val="003E2994"/>
    <w:rsid w:val="003E2C29"/>
    <w:rsid w:val="003E31EF"/>
    <w:rsid w:val="003E34E0"/>
    <w:rsid w:val="003E3638"/>
    <w:rsid w:val="003E3946"/>
    <w:rsid w:val="003E4910"/>
    <w:rsid w:val="003E4FE3"/>
    <w:rsid w:val="003E5161"/>
    <w:rsid w:val="003E55D4"/>
    <w:rsid w:val="003E5AB1"/>
    <w:rsid w:val="003E5AF1"/>
    <w:rsid w:val="003E6529"/>
    <w:rsid w:val="003E6B7C"/>
    <w:rsid w:val="003E74DF"/>
    <w:rsid w:val="003E759F"/>
    <w:rsid w:val="003E7820"/>
    <w:rsid w:val="003E79A5"/>
    <w:rsid w:val="003E7D09"/>
    <w:rsid w:val="003F0D0B"/>
    <w:rsid w:val="003F11DE"/>
    <w:rsid w:val="003F14E2"/>
    <w:rsid w:val="003F1624"/>
    <w:rsid w:val="003F18A8"/>
    <w:rsid w:val="003F1BBE"/>
    <w:rsid w:val="003F1D7D"/>
    <w:rsid w:val="003F2093"/>
    <w:rsid w:val="003F2184"/>
    <w:rsid w:val="003F2E99"/>
    <w:rsid w:val="003F3886"/>
    <w:rsid w:val="003F3986"/>
    <w:rsid w:val="003F3CFA"/>
    <w:rsid w:val="003F3E84"/>
    <w:rsid w:val="003F4258"/>
    <w:rsid w:val="003F4894"/>
    <w:rsid w:val="003F4EB0"/>
    <w:rsid w:val="003F5110"/>
    <w:rsid w:val="003F5268"/>
    <w:rsid w:val="003F59A6"/>
    <w:rsid w:val="003F658B"/>
    <w:rsid w:val="003F6867"/>
    <w:rsid w:val="003F68B8"/>
    <w:rsid w:val="003F6932"/>
    <w:rsid w:val="003F6BEB"/>
    <w:rsid w:val="003F6CF1"/>
    <w:rsid w:val="003F6D9C"/>
    <w:rsid w:val="003F7163"/>
    <w:rsid w:val="003F7489"/>
    <w:rsid w:val="003F798B"/>
    <w:rsid w:val="00400277"/>
    <w:rsid w:val="00400AAF"/>
    <w:rsid w:val="00400B54"/>
    <w:rsid w:val="00400D52"/>
    <w:rsid w:val="00400FE1"/>
    <w:rsid w:val="004012AE"/>
    <w:rsid w:val="00401A6E"/>
    <w:rsid w:val="00401DF3"/>
    <w:rsid w:val="00401E50"/>
    <w:rsid w:val="004022EE"/>
    <w:rsid w:val="00402905"/>
    <w:rsid w:val="00402D52"/>
    <w:rsid w:val="00402E3E"/>
    <w:rsid w:val="0040327C"/>
    <w:rsid w:val="004037D9"/>
    <w:rsid w:val="00403BBB"/>
    <w:rsid w:val="00403CA5"/>
    <w:rsid w:val="00403E22"/>
    <w:rsid w:val="00404413"/>
    <w:rsid w:val="0040474A"/>
    <w:rsid w:val="00404BC4"/>
    <w:rsid w:val="00404E81"/>
    <w:rsid w:val="004051BC"/>
    <w:rsid w:val="004052A2"/>
    <w:rsid w:val="0040554C"/>
    <w:rsid w:val="00405A43"/>
    <w:rsid w:val="00405BDA"/>
    <w:rsid w:val="00405D02"/>
    <w:rsid w:val="00405EAC"/>
    <w:rsid w:val="00405EB7"/>
    <w:rsid w:val="00406AED"/>
    <w:rsid w:val="00406C52"/>
    <w:rsid w:val="00406CD0"/>
    <w:rsid w:val="00406DE9"/>
    <w:rsid w:val="00406EA8"/>
    <w:rsid w:val="00407968"/>
    <w:rsid w:val="00407A57"/>
    <w:rsid w:val="00407AC4"/>
    <w:rsid w:val="00410A73"/>
    <w:rsid w:val="00410BCA"/>
    <w:rsid w:val="00410C1C"/>
    <w:rsid w:val="00410C46"/>
    <w:rsid w:val="004116D4"/>
    <w:rsid w:val="00411E5E"/>
    <w:rsid w:val="00411F34"/>
    <w:rsid w:val="0041209A"/>
    <w:rsid w:val="0041298F"/>
    <w:rsid w:val="00412C52"/>
    <w:rsid w:val="00412CA0"/>
    <w:rsid w:val="0041354C"/>
    <w:rsid w:val="00413774"/>
    <w:rsid w:val="00413ED7"/>
    <w:rsid w:val="004141B2"/>
    <w:rsid w:val="00414558"/>
    <w:rsid w:val="00414E2A"/>
    <w:rsid w:val="00415439"/>
    <w:rsid w:val="00415A18"/>
    <w:rsid w:val="00415AEA"/>
    <w:rsid w:val="00416066"/>
    <w:rsid w:val="00416572"/>
    <w:rsid w:val="00416680"/>
    <w:rsid w:val="00416B72"/>
    <w:rsid w:val="00417108"/>
    <w:rsid w:val="00417439"/>
    <w:rsid w:val="0041767B"/>
    <w:rsid w:val="00417CAA"/>
    <w:rsid w:val="00417EF2"/>
    <w:rsid w:val="0042017E"/>
    <w:rsid w:val="00420319"/>
    <w:rsid w:val="0042048B"/>
    <w:rsid w:val="004206D8"/>
    <w:rsid w:val="0042106E"/>
    <w:rsid w:val="00421139"/>
    <w:rsid w:val="00421C43"/>
    <w:rsid w:val="00421E0A"/>
    <w:rsid w:val="004222BC"/>
    <w:rsid w:val="00422658"/>
    <w:rsid w:val="00423763"/>
    <w:rsid w:val="00423873"/>
    <w:rsid w:val="00423A59"/>
    <w:rsid w:val="00423AD5"/>
    <w:rsid w:val="004243CA"/>
    <w:rsid w:val="00424527"/>
    <w:rsid w:val="00424595"/>
    <w:rsid w:val="00424796"/>
    <w:rsid w:val="00424F3E"/>
    <w:rsid w:val="004258AD"/>
    <w:rsid w:val="00425D7A"/>
    <w:rsid w:val="00425EAB"/>
    <w:rsid w:val="00426365"/>
    <w:rsid w:val="00426832"/>
    <w:rsid w:val="00426DD8"/>
    <w:rsid w:val="0042740D"/>
    <w:rsid w:val="00427689"/>
    <w:rsid w:val="004277EA"/>
    <w:rsid w:val="0042788E"/>
    <w:rsid w:val="00427C4F"/>
    <w:rsid w:val="00427D96"/>
    <w:rsid w:val="0043004E"/>
    <w:rsid w:val="004306FF"/>
    <w:rsid w:val="00430833"/>
    <w:rsid w:val="00430ECF"/>
    <w:rsid w:val="00431299"/>
    <w:rsid w:val="00431A34"/>
    <w:rsid w:val="00431FEF"/>
    <w:rsid w:val="00432473"/>
    <w:rsid w:val="0043251B"/>
    <w:rsid w:val="00432916"/>
    <w:rsid w:val="004329E9"/>
    <w:rsid w:val="00433029"/>
    <w:rsid w:val="0043331B"/>
    <w:rsid w:val="00433787"/>
    <w:rsid w:val="004337C4"/>
    <w:rsid w:val="00433AC7"/>
    <w:rsid w:val="00433C37"/>
    <w:rsid w:val="00433C3D"/>
    <w:rsid w:val="00433C48"/>
    <w:rsid w:val="00434A6F"/>
    <w:rsid w:val="00434DE5"/>
    <w:rsid w:val="00434EFD"/>
    <w:rsid w:val="00435527"/>
    <w:rsid w:val="00435672"/>
    <w:rsid w:val="00435C53"/>
    <w:rsid w:val="0043670E"/>
    <w:rsid w:val="004369D4"/>
    <w:rsid w:val="00436C0E"/>
    <w:rsid w:val="00437838"/>
    <w:rsid w:val="00440029"/>
    <w:rsid w:val="00440142"/>
    <w:rsid w:val="0044014E"/>
    <w:rsid w:val="004410BD"/>
    <w:rsid w:val="00441416"/>
    <w:rsid w:val="00441596"/>
    <w:rsid w:val="0044176A"/>
    <w:rsid w:val="00441EF0"/>
    <w:rsid w:val="00441EF7"/>
    <w:rsid w:val="00441F68"/>
    <w:rsid w:val="00441FB6"/>
    <w:rsid w:val="00442317"/>
    <w:rsid w:val="00442425"/>
    <w:rsid w:val="004425BF"/>
    <w:rsid w:val="004430B4"/>
    <w:rsid w:val="00443DCF"/>
    <w:rsid w:val="00443DE2"/>
    <w:rsid w:val="0044422C"/>
    <w:rsid w:val="00444517"/>
    <w:rsid w:val="00445318"/>
    <w:rsid w:val="004455B6"/>
    <w:rsid w:val="004459A8"/>
    <w:rsid w:val="00445BD9"/>
    <w:rsid w:val="0044628E"/>
    <w:rsid w:val="0044651B"/>
    <w:rsid w:val="00446654"/>
    <w:rsid w:val="00446ABA"/>
    <w:rsid w:val="00446EFE"/>
    <w:rsid w:val="00447428"/>
    <w:rsid w:val="0044774F"/>
    <w:rsid w:val="00450988"/>
    <w:rsid w:val="00450E7B"/>
    <w:rsid w:val="00450F77"/>
    <w:rsid w:val="004511A4"/>
    <w:rsid w:val="00451589"/>
    <w:rsid w:val="00451C7C"/>
    <w:rsid w:val="00451E2E"/>
    <w:rsid w:val="004527DD"/>
    <w:rsid w:val="004528C7"/>
    <w:rsid w:val="00452AEE"/>
    <w:rsid w:val="0045340A"/>
    <w:rsid w:val="00454561"/>
    <w:rsid w:val="00454887"/>
    <w:rsid w:val="00454AA0"/>
    <w:rsid w:val="00454B24"/>
    <w:rsid w:val="00454CD2"/>
    <w:rsid w:val="00454D5E"/>
    <w:rsid w:val="00454D6D"/>
    <w:rsid w:val="00455028"/>
    <w:rsid w:val="004556E1"/>
    <w:rsid w:val="0045579C"/>
    <w:rsid w:val="00455B02"/>
    <w:rsid w:val="00455BBE"/>
    <w:rsid w:val="00455C0F"/>
    <w:rsid w:val="00456366"/>
    <w:rsid w:val="004566D8"/>
    <w:rsid w:val="00456C61"/>
    <w:rsid w:val="00457448"/>
    <w:rsid w:val="00457852"/>
    <w:rsid w:val="004579CE"/>
    <w:rsid w:val="00457A14"/>
    <w:rsid w:val="00457B19"/>
    <w:rsid w:val="00460565"/>
    <w:rsid w:val="004607D0"/>
    <w:rsid w:val="00460C51"/>
    <w:rsid w:val="00460FB6"/>
    <w:rsid w:val="004617C2"/>
    <w:rsid w:val="00461B8D"/>
    <w:rsid w:val="00462254"/>
    <w:rsid w:val="00462A99"/>
    <w:rsid w:val="00462B66"/>
    <w:rsid w:val="00462BBF"/>
    <w:rsid w:val="00462EFA"/>
    <w:rsid w:val="00462F71"/>
    <w:rsid w:val="004637A1"/>
    <w:rsid w:val="0046453F"/>
    <w:rsid w:val="00464733"/>
    <w:rsid w:val="00464D67"/>
    <w:rsid w:val="00464ED6"/>
    <w:rsid w:val="0046516B"/>
    <w:rsid w:val="00465475"/>
    <w:rsid w:val="004654EF"/>
    <w:rsid w:val="00465A98"/>
    <w:rsid w:val="00465FF4"/>
    <w:rsid w:val="00466CA4"/>
    <w:rsid w:val="00466E72"/>
    <w:rsid w:val="004670B0"/>
    <w:rsid w:val="00467391"/>
    <w:rsid w:val="00467571"/>
    <w:rsid w:val="00467C76"/>
    <w:rsid w:val="00467D72"/>
    <w:rsid w:val="00467D90"/>
    <w:rsid w:val="00470863"/>
    <w:rsid w:val="00470FE9"/>
    <w:rsid w:val="0047118F"/>
    <w:rsid w:val="00471373"/>
    <w:rsid w:val="004718DF"/>
    <w:rsid w:val="00471A91"/>
    <w:rsid w:val="00471CD4"/>
    <w:rsid w:val="00471F26"/>
    <w:rsid w:val="00471F29"/>
    <w:rsid w:val="00472863"/>
    <w:rsid w:val="00472C76"/>
    <w:rsid w:val="00473088"/>
    <w:rsid w:val="004731E2"/>
    <w:rsid w:val="00473297"/>
    <w:rsid w:val="00473408"/>
    <w:rsid w:val="0047393B"/>
    <w:rsid w:val="00474D1B"/>
    <w:rsid w:val="004750F8"/>
    <w:rsid w:val="00475599"/>
    <w:rsid w:val="00475B15"/>
    <w:rsid w:val="00475CDF"/>
    <w:rsid w:val="004762E2"/>
    <w:rsid w:val="0047633E"/>
    <w:rsid w:val="0047676A"/>
    <w:rsid w:val="00477504"/>
    <w:rsid w:val="004775E7"/>
    <w:rsid w:val="004779A7"/>
    <w:rsid w:val="00477F96"/>
    <w:rsid w:val="00480332"/>
    <w:rsid w:val="00480406"/>
    <w:rsid w:val="004808E9"/>
    <w:rsid w:val="00480F61"/>
    <w:rsid w:val="00481017"/>
    <w:rsid w:val="00481BDD"/>
    <w:rsid w:val="00481E8C"/>
    <w:rsid w:val="004825A6"/>
    <w:rsid w:val="00483319"/>
    <w:rsid w:val="004837F7"/>
    <w:rsid w:val="00483C92"/>
    <w:rsid w:val="004840B0"/>
    <w:rsid w:val="004849F9"/>
    <w:rsid w:val="00484E6D"/>
    <w:rsid w:val="004866E6"/>
    <w:rsid w:val="00487365"/>
    <w:rsid w:val="004879CA"/>
    <w:rsid w:val="00487D0D"/>
    <w:rsid w:val="00487DF3"/>
    <w:rsid w:val="00487FF1"/>
    <w:rsid w:val="00490632"/>
    <w:rsid w:val="0049071D"/>
    <w:rsid w:val="00490F49"/>
    <w:rsid w:val="00491477"/>
    <w:rsid w:val="004916FE"/>
    <w:rsid w:val="00491A0A"/>
    <w:rsid w:val="00491AD0"/>
    <w:rsid w:val="00492251"/>
    <w:rsid w:val="004923E3"/>
    <w:rsid w:val="00492447"/>
    <w:rsid w:val="00492E30"/>
    <w:rsid w:val="00494323"/>
    <w:rsid w:val="00494970"/>
    <w:rsid w:val="00494FD5"/>
    <w:rsid w:val="00496AA1"/>
    <w:rsid w:val="00497590"/>
    <w:rsid w:val="004A0746"/>
    <w:rsid w:val="004A08B5"/>
    <w:rsid w:val="004A0A25"/>
    <w:rsid w:val="004A0B1D"/>
    <w:rsid w:val="004A0B32"/>
    <w:rsid w:val="004A0CB3"/>
    <w:rsid w:val="004A1433"/>
    <w:rsid w:val="004A179F"/>
    <w:rsid w:val="004A1A6D"/>
    <w:rsid w:val="004A1A96"/>
    <w:rsid w:val="004A1DF6"/>
    <w:rsid w:val="004A2821"/>
    <w:rsid w:val="004A290E"/>
    <w:rsid w:val="004A2BC5"/>
    <w:rsid w:val="004A2BC9"/>
    <w:rsid w:val="004A2E7F"/>
    <w:rsid w:val="004A358C"/>
    <w:rsid w:val="004A37DD"/>
    <w:rsid w:val="004A3A1D"/>
    <w:rsid w:val="004A407D"/>
    <w:rsid w:val="004A44F6"/>
    <w:rsid w:val="004A4746"/>
    <w:rsid w:val="004A506E"/>
    <w:rsid w:val="004A5412"/>
    <w:rsid w:val="004A5521"/>
    <w:rsid w:val="004A5691"/>
    <w:rsid w:val="004A5756"/>
    <w:rsid w:val="004A6810"/>
    <w:rsid w:val="004A69AB"/>
    <w:rsid w:val="004A6E57"/>
    <w:rsid w:val="004A6FE6"/>
    <w:rsid w:val="004A7151"/>
    <w:rsid w:val="004A766B"/>
    <w:rsid w:val="004A77CD"/>
    <w:rsid w:val="004A7E6B"/>
    <w:rsid w:val="004B03C0"/>
    <w:rsid w:val="004B0421"/>
    <w:rsid w:val="004B0C23"/>
    <w:rsid w:val="004B10EE"/>
    <w:rsid w:val="004B1114"/>
    <w:rsid w:val="004B1474"/>
    <w:rsid w:val="004B18D4"/>
    <w:rsid w:val="004B18D8"/>
    <w:rsid w:val="004B1D6E"/>
    <w:rsid w:val="004B22DD"/>
    <w:rsid w:val="004B25DE"/>
    <w:rsid w:val="004B25F2"/>
    <w:rsid w:val="004B2AEB"/>
    <w:rsid w:val="004B2CF8"/>
    <w:rsid w:val="004B2E65"/>
    <w:rsid w:val="004B3486"/>
    <w:rsid w:val="004B3BBB"/>
    <w:rsid w:val="004B3CBE"/>
    <w:rsid w:val="004B4168"/>
    <w:rsid w:val="004B4F12"/>
    <w:rsid w:val="004B513E"/>
    <w:rsid w:val="004B5D29"/>
    <w:rsid w:val="004B69F1"/>
    <w:rsid w:val="004B7321"/>
    <w:rsid w:val="004B74E4"/>
    <w:rsid w:val="004B751A"/>
    <w:rsid w:val="004B76D8"/>
    <w:rsid w:val="004B7A91"/>
    <w:rsid w:val="004B7C5F"/>
    <w:rsid w:val="004B7DFD"/>
    <w:rsid w:val="004C05DF"/>
    <w:rsid w:val="004C0770"/>
    <w:rsid w:val="004C0A12"/>
    <w:rsid w:val="004C0D1F"/>
    <w:rsid w:val="004C147C"/>
    <w:rsid w:val="004C162E"/>
    <w:rsid w:val="004C19A0"/>
    <w:rsid w:val="004C1D8F"/>
    <w:rsid w:val="004C1FD8"/>
    <w:rsid w:val="004C2285"/>
    <w:rsid w:val="004C22F7"/>
    <w:rsid w:val="004C3413"/>
    <w:rsid w:val="004C35B1"/>
    <w:rsid w:val="004C3930"/>
    <w:rsid w:val="004C3BE1"/>
    <w:rsid w:val="004C3D25"/>
    <w:rsid w:val="004C40BF"/>
    <w:rsid w:val="004C443D"/>
    <w:rsid w:val="004C4954"/>
    <w:rsid w:val="004C4C0B"/>
    <w:rsid w:val="004C4D7F"/>
    <w:rsid w:val="004C51C6"/>
    <w:rsid w:val="004C5233"/>
    <w:rsid w:val="004C56AF"/>
    <w:rsid w:val="004C5A5D"/>
    <w:rsid w:val="004C5D23"/>
    <w:rsid w:val="004C6159"/>
    <w:rsid w:val="004C6790"/>
    <w:rsid w:val="004C6B92"/>
    <w:rsid w:val="004C6B9D"/>
    <w:rsid w:val="004C6CA8"/>
    <w:rsid w:val="004C6EF9"/>
    <w:rsid w:val="004C7132"/>
    <w:rsid w:val="004D09A3"/>
    <w:rsid w:val="004D0F4B"/>
    <w:rsid w:val="004D1248"/>
    <w:rsid w:val="004D1EDA"/>
    <w:rsid w:val="004D28E9"/>
    <w:rsid w:val="004D3039"/>
    <w:rsid w:val="004D3114"/>
    <w:rsid w:val="004D32A2"/>
    <w:rsid w:val="004D32E5"/>
    <w:rsid w:val="004D36F0"/>
    <w:rsid w:val="004D3A87"/>
    <w:rsid w:val="004D46D6"/>
    <w:rsid w:val="004D48C4"/>
    <w:rsid w:val="004D4AF9"/>
    <w:rsid w:val="004D51E1"/>
    <w:rsid w:val="004D58B9"/>
    <w:rsid w:val="004D5B8A"/>
    <w:rsid w:val="004D5BD3"/>
    <w:rsid w:val="004D67F5"/>
    <w:rsid w:val="004D70EA"/>
    <w:rsid w:val="004D723C"/>
    <w:rsid w:val="004D7573"/>
    <w:rsid w:val="004D7644"/>
    <w:rsid w:val="004D7B54"/>
    <w:rsid w:val="004D7F71"/>
    <w:rsid w:val="004E04FC"/>
    <w:rsid w:val="004E08A4"/>
    <w:rsid w:val="004E0BC4"/>
    <w:rsid w:val="004E134F"/>
    <w:rsid w:val="004E1373"/>
    <w:rsid w:val="004E1558"/>
    <w:rsid w:val="004E2240"/>
    <w:rsid w:val="004E261D"/>
    <w:rsid w:val="004E31AA"/>
    <w:rsid w:val="004E3211"/>
    <w:rsid w:val="004E3707"/>
    <w:rsid w:val="004E3B59"/>
    <w:rsid w:val="004E3BBE"/>
    <w:rsid w:val="004E41F9"/>
    <w:rsid w:val="004E4290"/>
    <w:rsid w:val="004E42F0"/>
    <w:rsid w:val="004E4418"/>
    <w:rsid w:val="004E44F1"/>
    <w:rsid w:val="004E4693"/>
    <w:rsid w:val="004E4860"/>
    <w:rsid w:val="004E4C94"/>
    <w:rsid w:val="004E4DA6"/>
    <w:rsid w:val="004E51DB"/>
    <w:rsid w:val="004E52BE"/>
    <w:rsid w:val="004E5417"/>
    <w:rsid w:val="004E592A"/>
    <w:rsid w:val="004E6E90"/>
    <w:rsid w:val="004E710F"/>
    <w:rsid w:val="004E7536"/>
    <w:rsid w:val="004E76BB"/>
    <w:rsid w:val="004E7AD2"/>
    <w:rsid w:val="004F04C3"/>
    <w:rsid w:val="004F07BA"/>
    <w:rsid w:val="004F1107"/>
    <w:rsid w:val="004F16EC"/>
    <w:rsid w:val="004F1C2A"/>
    <w:rsid w:val="004F1FBE"/>
    <w:rsid w:val="004F23BF"/>
    <w:rsid w:val="004F274B"/>
    <w:rsid w:val="004F2A30"/>
    <w:rsid w:val="004F3555"/>
    <w:rsid w:val="004F3572"/>
    <w:rsid w:val="004F3F5D"/>
    <w:rsid w:val="004F3F6C"/>
    <w:rsid w:val="004F3FA5"/>
    <w:rsid w:val="004F3FDC"/>
    <w:rsid w:val="004F427E"/>
    <w:rsid w:val="004F4A36"/>
    <w:rsid w:val="004F4DCA"/>
    <w:rsid w:val="004F502B"/>
    <w:rsid w:val="004F5C86"/>
    <w:rsid w:val="004F5EF3"/>
    <w:rsid w:val="004F6202"/>
    <w:rsid w:val="004F6E2F"/>
    <w:rsid w:val="004F6F25"/>
    <w:rsid w:val="004F7410"/>
    <w:rsid w:val="004F7538"/>
    <w:rsid w:val="004F7629"/>
    <w:rsid w:val="004F7D3B"/>
    <w:rsid w:val="00500F2E"/>
    <w:rsid w:val="0050131E"/>
    <w:rsid w:val="005027BC"/>
    <w:rsid w:val="005027C4"/>
    <w:rsid w:val="005027C6"/>
    <w:rsid w:val="00502AD7"/>
    <w:rsid w:val="0050316F"/>
    <w:rsid w:val="0050333B"/>
    <w:rsid w:val="00503A7D"/>
    <w:rsid w:val="00503CF6"/>
    <w:rsid w:val="00503D96"/>
    <w:rsid w:val="00503FCF"/>
    <w:rsid w:val="00504335"/>
    <w:rsid w:val="00504798"/>
    <w:rsid w:val="00504BC3"/>
    <w:rsid w:val="00504F03"/>
    <w:rsid w:val="00505233"/>
    <w:rsid w:val="005053E9"/>
    <w:rsid w:val="00505B89"/>
    <w:rsid w:val="00505E28"/>
    <w:rsid w:val="00505E9B"/>
    <w:rsid w:val="00506099"/>
    <w:rsid w:val="0050679B"/>
    <w:rsid w:val="00506A82"/>
    <w:rsid w:val="00506E5A"/>
    <w:rsid w:val="005073F9"/>
    <w:rsid w:val="005074BE"/>
    <w:rsid w:val="0050796C"/>
    <w:rsid w:val="0050797D"/>
    <w:rsid w:val="00507C8A"/>
    <w:rsid w:val="00507F31"/>
    <w:rsid w:val="005107BC"/>
    <w:rsid w:val="005108DD"/>
    <w:rsid w:val="00510935"/>
    <w:rsid w:val="00510978"/>
    <w:rsid w:val="00510AB5"/>
    <w:rsid w:val="00510C5E"/>
    <w:rsid w:val="00510D80"/>
    <w:rsid w:val="00510FD5"/>
    <w:rsid w:val="0051107F"/>
    <w:rsid w:val="00511674"/>
    <w:rsid w:val="00511CD7"/>
    <w:rsid w:val="00511D16"/>
    <w:rsid w:val="0051310A"/>
    <w:rsid w:val="0051370E"/>
    <w:rsid w:val="00513CC0"/>
    <w:rsid w:val="0051415C"/>
    <w:rsid w:val="005144DE"/>
    <w:rsid w:val="00514B62"/>
    <w:rsid w:val="00514EFA"/>
    <w:rsid w:val="00515154"/>
    <w:rsid w:val="00515183"/>
    <w:rsid w:val="005153DD"/>
    <w:rsid w:val="0051586F"/>
    <w:rsid w:val="00515D2D"/>
    <w:rsid w:val="00516233"/>
    <w:rsid w:val="005164BC"/>
    <w:rsid w:val="005166CF"/>
    <w:rsid w:val="005166F5"/>
    <w:rsid w:val="005171A3"/>
    <w:rsid w:val="0051735C"/>
    <w:rsid w:val="00517923"/>
    <w:rsid w:val="005179FC"/>
    <w:rsid w:val="00520182"/>
    <w:rsid w:val="005209E1"/>
    <w:rsid w:val="00520B3C"/>
    <w:rsid w:val="00520FBB"/>
    <w:rsid w:val="005210D7"/>
    <w:rsid w:val="005213DF"/>
    <w:rsid w:val="00521F9F"/>
    <w:rsid w:val="00522163"/>
    <w:rsid w:val="00523174"/>
    <w:rsid w:val="005235D1"/>
    <w:rsid w:val="0052389F"/>
    <w:rsid w:val="005238FE"/>
    <w:rsid w:val="00523CA0"/>
    <w:rsid w:val="00523CE7"/>
    <w:rsid w:val="00524A88"/>
    <w:rsid w:val="005252F9"/>
    <w:rsid w:val="00525AA6"/>
    <w:rsid w:val="00525AF1"/>
    <w:rsid w:val="00526CB3"/>
    <w:rsid w:val="0052788D"/>
    <w:rsid w:val="00527C81"/>
    <w:rsid w:val="00527F13"/>
    <w:rsid w:val="0053021F"/>
    <w:rsid w:val="005302E1"/>
    <w:rsid w:val="0053056D"/>
    <w:rsid w:val="00530FBF"/>
    <w:rsid w:val="00531639"/>
    <w:rsid w:val="00531DD1"/>
    <w:rsid w:val="00531F18"/>
    <w:rsid w:val="0053215C"/>
    <w:rsid w:val="00532660"/>
    <w:rsid w:val="00532678"/>
    <w:rsid w:val="00532CFA"/>
    <w:rsid w:val="0053348D"/>
    <w:rsid w:val="005337C8"/>
    <w:rsid w:val="00533945"/>
    <w:rsid w:val="00533D32"/>
    <w:rsid w:val="00534105"/>
    <w:rsid w:val="005341E6"/>
    <w:rsid w:val="005343C2"/>
    <w:rsid w:val="00534D89"/>
    <w:rsid w:val="0053512F"/>
    <w:rsid w:val="005352BA"/>
    <w:rsid w:val="0053649D"/>
    <w:rsid w:val="0053697C"/>
    <w:rsid w:val="005369D7"/>
    <w:rsid w:val="0053700E"/>
    <w:rsid w:val="005371BA"/>
    <w:rsid w:val="00537CEF"/>
    <w:rsid w:val="005408A0"/>
    <w:rsid w:val="00540917"/>
    <w:rsid w:val="00540E41"/>
    <w:rsid w:val="00541E9F"/>
    <w:rsid w:val="005424FB"/>
    <w:rsid w:val="005434A5"/>
    <w:rsid w:val="005435F8"/>
    <w:rsid w:val="005436A7"/>
    <w:rsid w:val="0054416E"/>
    <w:rsid w:val="00544203"/>
    <w:rsid w:val="005443F6"/>
    <w:rsid w:val="005455E9"/>
    <w:rsid w:val="00545634"/>
    <w:rsid w:val="005458EA"/>
    <w:rsid w:val="00545ACC"/>
    <w:rsid w:val="00545B63"/>
    <w:rsid w:val="00546177"/>
    <w:rsid w:val="0054635B"/>
    <w:rsid w:val="00546704"/>
    <w:rsid w:val="00547032"/>
    <w:rsid w:val="00547340"/>
    <w:rsid w:val="00547441"/>
    <w:rsid w:val="00547513"/>
    <w:rsid w:val="00547A9F"/>
    <w:rsid w:val="005504A2"/>
    <w:rsid w:val="00550CBD"/>
    <w:rsid w:val="00550E4F"/>
    <w:rsid w:val="00551142"/>
    <w:rsid w:val="0055171F"/>
    <w:rsid w:val="00551B31"/>
    <w:rsid w:val="00552077"/>
    <w:rsid w:val="00552090"/>
    <w:rsid w:val="00552605"/>
    <w:rsid w:val="00552788"/>
    <w:rsid w:val="00552AAA"/>
    <w:rsid w:val="00553135"/>
    <w:rsid w:val="00553BD7"/>
    <w:rsid w:val="00554285"/>
    <w:rsid w:val="0055447E"/>
    <w:rsid w:val="00554AA6"/>
    <w:rsid w:val="00554EB4"/>
    <w:rsid w:val="00555285"/>
    <w:rsid w:val="005555E3"/>
    <w:rsid w:val="0055577D"/>
    <w:rsid w:val="00555FFA"/>
    <w:rsid w:val="0055621D"/>
    <w:rsid w:val="00556234"/>
    <w:rsid w:val="00556C31"/>
    <w:rsid w:val="005576A4"/>
    <w:rsid w:val="0055774A"/>
    <w:rsid w:val="00557787"/>
    <w:rsid w:val="00557BE9"/>
    <w:rsid w:val="00557FD9"/>
    <w:rsid w:val="00560B55"/>
    <w:rsid w:val="005615E8"/>
    <w:rsid w:val="00561649"/>
    <w:rsid w:val="00561AE6"/>
    <w:rsid w:val="00561B0C"/>
    <w:rsid w:val="00561B17"/>
    <w:rsid w:val="00562409"/>
    <w:rsid w:val="00562571"/>
    <w:rsid w:val="0056268E"/>
    <w:rsid w:val="00562931"/>
    <w:rsid w:val="00562A85"/>
    <w:rsid w:val="00562D82"/>
    <w:rsid w:val="005639E8"/>
    <w:rsid w:val="00563B0B"/>
    <w:rsid w:val="00563CD0"/>
    <w:rsid w:val="005649EA"/>
    <w:rsid w:val="00565386"/>
    <w:rsid w:val="00565552"/>
    <w:rsid w:val="00565A24"/>
    <w:rsid w:val="00566192"/>
    <w:rsid w:val="00566E4C"/>
    <w:rsid w:val="005672C6"/>
    <w:rsid w:val="00567775"/>
    <w:rsid w:val="005677EB"/>
    <w:rsid w:val="00567963"/>
    <w:rsid w:val="005700A2"/>
    <w:rsid w:val="00570235"/>
    <w:rsid w:val="005704D1"/>
    <w:rsid w:val="00570B43"/>
    <w:rsid w:val="00570E25"/>
    <w:rsid w:val="00571280"/>
    <w:rsid w:val="005713CE"/>
    <w:rsid w:val="0057144B"/>
    <w:rsid w:val="0057179E"/>
    <w:rsid w:val="00571B72"/>
    <w:rsid w:val="005720EC"/>
    <w:rsid w:val="00572893"/>
    <w:rsid w:val="00572AA9"/>
    <w:rsid w:val="00572E76"/>
    <w:rsid w:val="00572FA8"/>
    <w:rsid w:val="00573472"/>
    <w:rsid w:val="00573937"/>
    <w:rsid w:val="00573A5B"/>
    <w:rsid w:val="00573E94"/>
    <w:rsid w:val="005741A5"/>
    <w:rsid w:val="005744BC"/>
    <w:rsid w:val="00574A71"/>
    <w:rsid w:val="005761C0"/>
    <w:rsid w:val="00576685"/>
    <w:rsid w:val="00576701"/>
    <w:rsid w:val="0057674B"/>
    <w:rsid w:val="00576C39"/>
    <w:rsid w:val="00576CAB"/>
    <w:rsid w:val="00576EB9"/>
    <w:rsid w:val="00576FAA"/>
    <w:rsid w:val="00576FBE"/>
    <w:rsid w:val="005770CA"/>
    <w:rsid w:val="0057727F"/>
    <w:rsid w:val="005774FB"/>
    <w:rsid w:val="00577805"/>
    <w:rsid w:val="00577A01"/>
    <w:rsid w:val="00580C54"/>
    <w:rsid w:val="005810C5"/>
    <w:rsid w:val="00581229"/>
    <w:rsid w:val="00581561"/>
    <w:rsid w:val="00581A96"/>
    <w:rsid w:val="00581AF8"/>
    <w:rsid w:val="00582BEA"/>
    <w:rsid w:val="00582F1A"/>
    <w:rsid w:val="0058332D"/>
    <w:rsid w:val="005833AB"/>
    <w:rsid w:val="0058418C"/>
    <w:rsid w:val="00584636"/>
    <w:rsid w:val="00584866"/>
    <w:rsid w:val="00584E9F"/>
    <w:rsid w:val="00585362"/>
    <w:rsid w:val="005856FE"/>
    <w:rsid w:val="00585DAA"/>
    <w:rsid w:val="00585E27"/>
    <w:rsid w:val="00585F5D"/>
    <w:rsid w:val="005863B4"/>
    <w:rsid w:val="005864B0"/>
    <w:rsid w:val="00586570"/>
    <w:rsid w:val="005869D9"/>
    <w:rsid w:val="00586A05"/>
    <w:rsid w:val="00586F64"/>
    <w:rsid w:val="0058702A"/>
    <w:rsid w:val="005873AD"/>
    <w:rsid w:val="00587CA0"/>
    <w:rsid w:val="00587D5A"/>
    <w:rsid w:val="00587D9A"/>
    <w:rsid w:val="005905EE"/>
    <w:rsid w:val="0059089B"/>
    <w:rsid w:val="005908F7"/>
    <w:rsid w:val="00590B9F"/>
    <w:rsid w:val="00590BD0"/>
    <w:rsid w:val="00590C8D"/>
    <w:rsid w:val="00590D0C"/>
    <w:rsid w:val="00590F48"/>
    <w:rsid w:val="00591375"/>
    <w:rsid w:val="00591398"/>
    <w:rsid w:val="005915CA"/>
    <w:rsid w:val="005917A1"/>
    <w:rsid w:val="00591B82"/>
    <w:rsid w:val="005923B4"/>
    <w:rsid w:val="00592BAE"/>
    <w:rsid w:val="00593BE3"/>
    <w:rsid w:val="00594C45"/>
    <w:rsid w:val="00595062"/>
    <w:rsid w:val="0059534A"/>
    <w:rsid w:val="00595A52"/>
    <w:rsid w:val="00595D86"/>
    <w:rsid w:val="00595F9B"/>
    <w:rsid w:val="00596883"/>
    <w:rsid w:val="00596C48"/>
    <w:rsid w:val="00596E01"/>
    <w:rsid w:val="005970CB"/>
    <w:rsid w:val="00597C80"/>
    <w:rsid w:val="00597CCF"/>
    <w:rsid w:val="00597CE5"/>
    <w:rsid w:val="00597FE4"/>
    <w:rsid w:val="005A0554"/>
    <w:rsid w:val="005A12A4"/>
    <w:rsid w:val="005A18C7"/>
    <w:rsid w:val="005A1BE6"/>
    <w:rsid w:val="005A1E36"/>
    <w:rsid w:val="005A2C9E"/>
    <w:rsid w:val="005A2D51"/>
    <w:rsid w:val="005A3C76"/>
    <w:rsid w:val="005A4666"/>
    <w:rsid w:val="005A48E2"/>
    <w:rsid w:val="005A4DD7"/>
    <w:rsid w:val="005A4E0D"/>
    <w:rsid w:val="005A4EF5"/>
    <w:rsid w:val="005A5664"/>
    <w:rsid w:val="005A63DF"/>
    <w:rsid w:val="005A64EA"/>
    <w:rsid w:val="005A6754"/>
    <w:rsid w:val="005A679C"/>
    <w:rsid w:val="005A6D87"/>
    <w:rsid w:val="005A789B"/>
    <w:rsid w:val="005A78DF"/>
    <w:rsid w:val="005A7BD3"/>
    <w:rsid w:val="005A7ECF"/>
    <w:rsid w:val="005B0167"/>
    <w:rsid w:val="005B035A"/>
    <w:rsid w:val="005B0E32"/>
    <w:rsid w:val="005B111D"/>
    <w:rsid w:val="005B17FE"/>
    <w:rsid w:val="005B19A6"/>
    <w:rsid w:val="005B19CD"/>
    <w:rsid w:val="005B1C88"/>
    <w:rsid w:val="005B1DBB"/>
    <w:rsid w:val="005B2578"/>
    <w:rsid w:val="005B29FF"/>
    <w:rsid w:val="005B3256"/>
    <w:rsid w:val="005B377D"/>
    <w:rsid w:val="005B4081"/>
    <w:rsid w:val="005B435D"/>
    <w:rsid w:val="005B45CB"/>
    <w:rsid w:val="005B46A5"/>
    <w:rsid w:val="005B4752"/>
    <w:rsid w:val="005B5150"/>
    <w:rsid w:val="005B58F4"/>
    <w:rsid w:val="005B5AD1"/>
    <w:rsid w:val="005B5FC8"/>
    <w:rsid w:val="005B611F"/>
    <w:rsid w:val="005B6D17"/>
    <w:rsid w:val="005B6D47"/>
    <w:rsid w:val="005B7017"/>
    <w:rsid w:val="005B71F2"/>
    <w:rsid w:val="005B73D7"/>
    <w:rsid w:val="005B777F"/>
    <w:rsid w:val="005B780F"/>
    <w:rsid w:val="005B7D2D"/>
    <w:rsid w:val="005C04E5"/>
    <w:rsid w:val="005C0738"/>
    <w:rsid w:val="005C074D"/>
    <w:rsid w:val="005C0DA1"/>
    <w:rsid w:val="005C143B"/>
    <w:rsid w:val="005C1686"/>
    <w:rsid w:val="005C17B3"/>
    <w:rsid w:val="005C1C15"/>
    <w:rsid w:val="005C227E"/>
    <w:rsid w:val="005C259E"/>
    <w:rsid w:val="005C260F"/>
    <w:rsid w:val="005C2A3F"/>
    <w:rsid w:val="005C2A5E"/>
    <w:rsid w:val="005C2ADB"/>
    <w:rsid w:val="005C30DF"/>
    <w:rsid w:val="005C3207"/>
    <w:rsid w:val="005C3308"/>
    <w:rsid w:val="005C355B"/>
    <w:rsid w:val="005C3726"/>
    <w:rsid w:val="005C3D68"/>
    <w:rsid w:val="005C4724"/>
    <w:rsid w:val="005C4776"/>
    <w:rsid w:val="005C4DDF"/>
    <w:rsid w:val="005C5015"/>
    <w:rsid w:val="005C5B17"/>
    <w:rsid w:val="005C5DBC"/>
    <w:rsid w:val="005C66C3"/>
    <w:rsid w:val="005C6800"/>
    <w:rsid w:val="005C6F43"/>
    <w:rsid w:val="005C700D"/>
    <w:rsid w:val="005C7147"/>
    <w:rsid w:val="005C7462"/>
    <w:rsid w:val="005C778B"/>
    <w:rsid w:val="005C7931"/>
    <w:rsid w:val="005C7AB8"/>
    <w:rsid w:val="005D05B4"/>
    <w:rsid w:val="005D0666"/>
    <w:rsid w:val="005D0A3C"/>
    <w:rsid w:val="005D0CA8"/>
    <w:rsid w:val="005D1AB7"/>
    <w:rsid w:val="005D1E8D"/>
    <w:rsid w:val="005D1F47"/>
    <w:rsid w:val="005D2143"/>
    <w:rsid w:val="005D26BE"/>
    <w:rsid w:val="005D274B"/>
    <w:rsid w:val="005D2BE8"/>
    <w:rsid w:val="005D2EAA"/>
    <w:rsid w:val="005D2F2B"/>
    <w:rsid w:val="005D3195"/>
    <w:rsid w:val="005D46E6"/>
    <w:rsid w:val="005D4BE5"/>
    <w:rsid w:val="005D4F71"/>
    <w:rsid w:val="005D57D1"/>
    <w:rsid w:val="005D5AA2"/>
    <w:rsid w:val="005D5D13"/>
    <w:rsid w:val="005D603B"/>
    <w:rsid w:val="005D6223"/>
    <w:rsid w:val="005D65EE"/>
    <w:rsid w:val="005D6BEB"/>
    <w:rsid w:val="005D6F3F"/>
    <w:rsid w:val="005D74F3"/>
    <w:rsid w:val="005E01AF"/>
    <w:rsid w:val="005E05E9"/>
    <w:rsid w:val="005E07BC"/>
    <w:rsid w:val="005E10C0"/>
    <w:rsid w:val="005E1167"/>
    <w:rsid w:val="005E1370"/>
    <w:rsid w:val="005E138D"/>
    <w:rsid w:val="005E1D8E"/>
    <w:rsid w:val="005E25E1"/>
    <w:rsid w:val="005E3446"/>
    <w:rsid w:val="005E3E8E"/>
    <w:rsid w:val="005E417E"/>
    <w:rsid w:val="005E472B"/>
    <w:rsid w:val="005E48A7"/>
    <w:rsid w:val="005E5411"/>
    <w:rsid w:val="005E552F"/>
    <w:rsid w:val="005E5D54"/>
    <w:rsid w:val="005E63A5"/>
    <w:rsid w:val="005E6659"/>
    <w:rsid w:val="005E69F7"/>
    <w:rsid w:val="005E6AB9"/>
    <w:rsid w:val="005E6B81"/>
    <w:rsid w:val="005E72F4"/>
    <w:rsid w:val="005E7385"/>
    <w:rsid w:val="005E73AC"/>
    <w:rsid w:val="005E775E"/>
    <w:rsid w:val="005F0838"/>
    <w:rsid w:val="005F0AB3"/>
    <w:rsid w:val="005F0B96"/>
    <w:rsid w:val="005F0D01"/>
    <w:rsid w:val="005F16AC"/>
    <w:rsid w:val="005F17C9"/>
    <w:rsid w:val="005F20F1"/>
    <w:rsid w:val="005F260A"/>
    <w:rsid w:val="005F26FF"/>
    <w:rsid w:val="005F27D0"/>
    <w:rsid w:val="005F2A52"/>
    <w:rsid w:val="005F3430"/>
    <w:rsid w:val="005F3DED"/>
    <w:rsid w:val="005F4048"/>
    <w:rsid w:val="005F41ED"/>
    <w:rsid w:val="005F467F"/>
    <w:rsid w:val="005F5034"/>
    <w:rsid w:val="005F5078"/>
    <w:rsid w:val="005F5226"/>
    <w:rsid w:val="005F52D2"/>
    <w:rsid w:val="005F53C6"/>
    <w:rsid w:val="005F552E"/>
    <w:rsid w:val="005F5664"/>
    <w:rsid w:val="005F5A74"/>
    <w:rsid w:val="005F60D6"/>
    <w:rsid w:val="005F6235"/>
    <w:rsid w:val="005F63D2"/>
    <w:rsid w:val="005F6608"/>
    <w:rsid w:val="005F6ACB"/>
    <w:rsid w:val="005F6BD1"/>
    <w:rsid w:val="005F6D49"/>
    <w:rsid w:val="005F6FDE"/>
    <w:rsid w:val="005F7229"/>
    <w:rsid w:val="005F733F"/>
    <w:rsid w:val="005F7624"/>
    <w:rsid w:val="005F7C8A"/>
    <w:rsid w:val="00600207"/>
    <w:rsid w:val="006005BA"/>
    <w:rsid w:val="00600745"/>
    <w:rsid w:val="006009E4"/>
    <w:rsid w:val="00600BBB"/>
    <w:rsid w:val="00600CD0"/>
    <w:rsid w:val="006012F9"/>
    <w:rsid w:val="006015CB"/>
    <w:rsid w:val="00601AA6"/>
    <w:rsid w:val="00601DE9"/>
    <w:rsid w:val="00601ED1"/>
    <w:rsid w:val="006021CA"/>
    <w:rsid w:val="006028CE"/>
    <w:rsid w:val="00602D7D"/>
    <w:rsid w:val="00602EF8"/>
    <w:rsid w:val="0060329E"/>
    <w:rsid w:val="0060351A"/>
    <w:rsid w:val="00603A11"/>
    <w:rsid w:val="00603F07"/>
    <w:rsid w:val="00603FC9"/>
    <w:rsid w:val="00604032"/>
    <w:rsid w:val="0060408D"/>
    <w:rsid w:val="00604123"/>
    <w:rsid w:val="006045FC"/>
    <w:rsid w:val="00604C2D"/>
    <w:rsid w:val="0060524D"/>
    <w:rsid w:val="0060623F"/>
    <w:rsid w:val="00606B9C"/>
    <w:rsid w:val="00606BF6"/>
    <w:rsid w:val="00606CC7"/>
    <w:rsid w:val="00606E5F"/>
    <w:rsid w:val="0060709C"/>
    <w:rsid w:val="0060793D"/>
    <w:rsid w:val="00607BE4"/>
    <w:rsid w:val="00610DE8"/>
    <w:rsid w:val="00611128"/>
    <w:rsid w:val="00611302"/>
    <w:rsid w:val="006114BD"/>
    <w:rsid w:val="006118B6"/>
    <w:rsid w:val="00611A9C"/>
    <w:rsid w:val="00611ABA"/>
    <w:rsid w:val="00611C44"/>
    <w:rsid w:val="00611F29"/>
    <w:rsid w:val="0061250C"/>
    <w:rsid w:val="0061252B"/>
    <w:rsid w:val="0061279D"/>
    <w:rsid w:val="006128C0"/>
    <w:rsid w:val="00612975"/>
    <w:rsid w:val="00613975"/>
    <w:rsid w:val="00613A3A"/>
    <w:rsid w:val="006147FC"/>
    <w:rsid w:val="006148BE"/>
    <w:rsid w:val="00614D1F"/>
    <w:rsid w:val="00614E4F"/>
    <w:rsid w:val="00615285"/>
    <w:rsid w:val="0061533D"/>
    <w:rsid w:val="006159F6"/>
    <w:rsid w:val="00615BFB"/>
    <w:rsid w:val="00616091"/>
    <w:rsid w:val="006169C5"/>
    <w:rsid w:val="00617276"/>
    <w:rsid w:val="00617538"/>
    <w:rsid w:val="00617D8A"/>
    <w:rsid w:val="00620197"/>
    <w:rsid w:val="006202EF"/>
    <w:rsid w:val="00621026"/>
    <w:rsid w:val="006214EC"/>
    <w:rsid w:val="00621774"/>
    <w:rsid w:val="00621E72"/>
    <w:rsid w:val="0062299A"/>
    <w:rsid w:val="00622A5E"/>
    <w:rsid w:val="00622AF1"/>
    <w:rsid w:val="00622F60"/>
    <w:rsid w:val="0062313B"/>
    <w:rsid w:val="0062330F"/>
    <w:rsid w:val="00623777"/>
    <w:rsid w:val="0062392E"/>
    <w:rsid w:val="00623D1B"/>
    <w:rsid w:val="00624EFD"/>
    <w:rsid w:val="006252B5"/>
    <w:rsid w:val="00625986"/>
    <w:rsid w:val="00625B25"/>
    <w:rsid w:val="00625DA3"/>
    <w:rsid w:val="006260D4"/>
    <w:rsid w:val="00626169"/>
    <w:rsid w:val="00626832"/>
    <w:rsid w:val="00627265"/>
    <w:rsid w:val="006273C3"/>
    <w:rsid w:val="006274B4"/>
    <w:rsid w:val="00627D4E"/>
    <w:rsid w:val="006301DB"/>
    <w:rsid w:val="0063023F"/>
    <w:rsid w:val="00630C19"/>
    <w:rsid w:val="006310FA"/>
    <w:rsid w:val="0063112F"/>
    <w:rsid w:val="00631963"/>
    <w:rsid w:val="00631B5C"/>
    <w:rsid w:val="00632C06"/>
    <w:rsid w:val="00632C40"/>
    <w:rsid w:val="00632D55"/>
    <w:rsid w:val="00632EED"/>
    <w:rsid w:val="00633134"/>
    <w:rsid w:val="0063334B"/>
    <w:rsid w:val="006335BE"/>
    <w:rsid w:val="00633FE4"/>
    <w:rsid w:val="006349E2"/>
    <w:rsid w:val="006349ED"/>
    <w:rsid w:val="0063510D"/>
    <w:rsid w:val="006355EF"/>
    <w:rsid w:val="006359CE"/>
    <w:rsid w:val="00635B2C"/>
    <w:rsid w:val="00636497"/>
    <w:rsid w:val="00636EEE"/>
    <w:rsid w:val="00637EA1"/>
    <w:rsid w:val="00640544"/>
    <w:rsid w:val="00640875"/>
    <w:rsid w:val="00640932"/>
    <w:rsid w:val="00640CB7"/>
    <w:rsid w:val="0064126A"/>
    <w:rsid w:val="00641998"/>
    <w:rsid w:val="00641E49"/>
    <w:rsid w:val="00641E5E"/>
    <w:rsid w:val="00641EC6"/>
    <w:rsid w:val="0064231A"/>
    <w:rsid w:val="006425A0"/>
    <w:rsid w:val="0064271F"/>
    <w:rsid w:val="00642AFB"/>
    <w:rsid w:val="00642DE8"/>
    <w:rsid w:val="006432B8"/>
    <w:rsid w:val="00643A28"/>
    <w:rsid w:val="00643C58"/>
    <w:rsid w:val="00643E36"/>
    <w:rsid w:val="00644480"/>
    <w:rsid w:val="006444A9"/>
    <w:rsid w:val="00644FE5"/>
    <w:rsid w:val="00645633"/>
    <w:rsid w:val="00645DA4"/>
    <w:rsid w:val="00645DCE"/>
    <w:rsid w:val="00645F68"/>
    <w:rsid w:val="00646B66"/>
    <w:rsid w:val="00647183"/>
    <w:rsid w:val="006471E8"/>
    <w:rsid w:val="006476E0"/>
    <w:rsid w:val="00647E41"/>
    <w:rsid w:val="00650027"/>
    <w:rsid w:val="006503E6"/>
    <w:rsid w:val="0065057E"/>
    <w:rsid w:val="00650CED"/>
    <w:rsid w:val="00650D3D"/>
    <w:rsid w:val="00650F43"/>
    <w:rsid w:val="00650FCB"/>
    <w:rsid w:val="0065147F"/>
    <w:rsid w:val="00651731"/>
    <w:rsid w:val="00651756"/>
    <w:rsid w:val="006517AC"/>
    <w:rsid w:val="00651923"/>
    <w:rsid w:val="00651981"/>
    <w:rsid w:val="0065248F"/>
    <w:rsid w:val="0065256C"/>
    <w:rsid w:val="006525E7"/>
    <w:rsid w:val="00652704"/>
    <w:rsid w:val="00652AC5"/>
    <w:rsid w:val="006530FE"/>
    <w:rsid w:val="00653324"/>
    <w:rsid w:val="00653568"/>
    <w:rsid w:val="00653DAB"/>
    <w:rsid w:val="00653E2C"/>
    <w:rsid w:val="006547CF"/>
    <w:rsid w:val="00654A69"/>
    <w:rsid w:val="00655082"/>
    <w:rsid w:val="0065531B"/>
    <w:rsid w:val="00655E1E"/>
    <w:rsid w:val="006564CC"/>
    <w:rsid w:val="0065650E"/>
    <w:rsid w:val="0065690E"/>
    <w:rsid w:val="006570B9"/>
    <w:rsid w:val="006579ED"/>
    <w:rsid w:val="00660083"/>
    <w:rsid w:val="00661118"/>
    <w:rsid w:val="006613DB"/>
    <w:rsid w:val="0066146B"/>
    <w:rsid w:val="006614DC"/>
    <w:rsid w:val="00661704"/>
    <w:rsid w:val="006618AE"/>
    <w:rsid w:val="00662468"/>
    <w:rsid w:val="0066280C"/>
    <w:rsid w:val="00662B3D"/>
    <w:rsid w:val="00662C26"/>
    <w:rsid w:val="00662DC6"/>
    <w:rsid w:val="00662F08"/>
    <w:rsid w:val="006631CA"/>
    <w:rsid w:val="00663374"/>
    <w:rsid w:val="0066381C"/>
    <w:rsid w:val="00663E8D"/>
    <w:rsid w:val="00664468"/>
    <w:rsid w:val="0066446A"/>
    <w:rsid w:val="00664626"/>
    <w:rsid w:val="00664873"/>
    <w:rsid w:val="00664A20"/>
    <w:rsid w:val="00665292"/>
    <w:rsid w:val="006656BB"/>
    <w:rsid w:val="00665885"/>
    <w:rsid w:val="0066589E"/>
    <w:rsid w:val="00665D8D"/>
    <w:rsid w:val="00666C41"/>
    <w:rsid w:val="00666C61"/>
    <w:rsid w:val="006672E3"/>
    <w:rsid w:val="006674AF"/>
    <w:rsid w:val="006679C9"/>
    <w:rsid w:val="00667B7F"/>
    <w:rsid w:val="00667BD4"/>
    <w:rsid w:val="00667C39"/>
    <w:rsid w:val="00667CA1"/>
    <w:rsid w:val="00667D52"/>
    <w:rsid w:val="0067092B"/>
    <w:rsid w:val="00670BF6"/>
    <w:rsid w:val="00671954"/>
    <w:rsid w:val="00671C2A"/>
    <w:rsid w:val="00671C4D"/>
    <w:rsid w:val="00671D29"/>
    <w:rsid w:val="00671E0A"/>
    <w:rsid w:val="00672B1F"/>
    <w:rsid w:val="00672F2C"/>
    <w:rsid w:val="006730A0"/>
    <w:rsid w:val="006737A5"/>
    <w:rsid w:val="00673927"/>
    <w:rsid w:val="006741C3"/>
    <w:rsid w:val="00674FB0"/>
    <w:rsid w:val="006751F1"/>
    <w:rsid w:val="0067556A"/>
    <w:rsid w:val="0067567E"/>
    <w:rsid w:val="0067569A"/>
    <w:rsid w:val="00675A47"/>
    <w:rsid w:val="00675C39"/>
    <w:rsid w:val="00675C3E"/>
    <w:rsid w:val="00675F3B"/>
    <w:rsid w:val="00676001"/>
    <w:rsid w:val="00676059"/>
    <w:rsid w:val="006761EF"/>
    <w:rsid w:val="0067672D"/>
    <w:rsid w:val="00676886"/>
    <w:rsid w:val="00676D35"/>
    <w:rsid w:val="00677074"/>
    <w:rsid w:val="00677AAE"/>
    <w:rsid w:val="00677B96"/>
    <w:rsid w:val="00677E5F"/>
    <w:rsid w:val="006800C3"/>
    <w:rsid w:val="006806A8"/>
    <w:rsid w:val="0068098D"/>
    <w:rsid w:val="00681006"/>
    <w:rsid w:val="006810C8"/>
    <w:rsid w:val="006814FC"/>
    <w:rsid w:val="00681A55"/>
    <w:rsid w:val="00682948"/>
    <w:rsid w:val="00682B84"/>
    <w:rsid w:val="00683651"/>
    <w:rsid w:val="00683DBD"/>
    <w:rsid w:val="00683F17"/>
    <w:rsid w:val="00684B43"/>
    <w:rsid w:val="00685224"/>
    <w:rsid w:val="00685377"/>
    <w:rsid w:val="006856AE"/>
    <w:rsid w:val="0068578B"/>
    <w:rsid w:val="00686D13"/>
    <w:rsid w:val="006875AB"/>
    <w:rsid w:val="00687661"/>
    <w:rsid w:val="00687986"/>
    <w:rsid w:val="00687F0B"/>
    <w:rsid w:val="00687F3C"/>
    <w:rsid w:val="006902E1"/>
    <w:rsid w:val="00690C77"/>
    <w:rsid w:val="00690C7B"/>
    <w:rsid w:val="00690D0F"/>
    <w:rsid w:val="00690EBD"/>
    <w:rsid w:val="006914BC"/>
    <w:rsid w:val="00692526"/>
    <w:rsid w:val="00692A7A"/>
    <w:rsid w:val="00692F3B"/>
    <w:rsid w:val="00693269"/>
    <w:rsid w:val="00693608"/>
    <w:rsid w:val="0069418A"/>
    <w:rsid w:val="00694817"/>
    <w:rsid w:val="00695305"/>
    <w:rsid w:val="0069534C"/>
    <w:rsid w:val="006954BB"/>
    <w:rsid w:val="00695537"/>
    <w:rsid w:val="00695B3D"/>
    <w:rsid w:val="00696234"/>
    <w:rsid w:val="006965DD"/>
    <w:rsid w:val="0069696E"/>
    <w:rsid w:val="0069699D"/>
    <w:rsid w:val="00696D8E"/>
    <w:rsid w:val="00696DD2"/>
    <w:rsid w:val="00696E07"/>
    <w:rsid w:val="0069776D"/>
    <w:rsid w:val="00697B87"/>
    <w:rsid w:val="00697D53"/>
    <w:rsid w:val="006A0326"/>
    <w:rsid w:val="006A04B2"/>
    <w:rsid w:val="006A0686"/>
    <w:rsid w:val="006A385A"/>
    <w:rsid w:val="006A3A10"/>
    <w:rsid w:val="006A3A9F"/>
    <w:rsid w:val="006A3B06"/>
    <w:rsid w:val="006A3CB8"/>
    <w:rsid w:val="006A3D5C"/>
    <w:rsid w:val="006A3D86"/>
    <w:rsid w:val="006A3DFF"/>
    <w:rsid w:val="006A4515"/>
    <w:rsid w:val="006A4C9A"/>
    <w:rsid w:val="006A4CB5"/>
    <w:rsid w:val="006A4CDA"/>
    <w:rsid w:val="006A4CEB"/>
    <w:rsid w:val="006A4D58"/>
    <w:rsid w:val="006A4FC8"/>
    <w:rsid w:val="006A50E3"/>
    <w:rsid w:val="006A593D"/>
    <w:rsid w:val="006A63DB"/>
    <w:rsid w:val="006A66D9"/>
    <w:rsid w:val="006A6C0F"/>
    <w:rsid w:val="006A7CFA"/>
    <w:rsid w:val="006B000B"/>
    <w:rsid w:val="006B03C2"/>
    <w:rsid w:val="006B0819"/>
    <w:rsid w:val="006B0BA2"/>
    <w:rsid w:val="006B0F36"/>
    <w:rsid w:val="006B1158"/>
    <w:rsid w:val="006B12FC"/>
    <w:rsid w:val="006B1379"/>
    <w:rsid w:val="006B1C59"/>
    <w:rsid w:val="006B2899"/>
    <w:rsid w:val="006B29C9"/>
    <w:rsid w:val="006B2D8E"/>
    <w:rsid w:val="006B2E66"/>
    <w:rsid w:val="006B30ED"/>
    <w:rsid w:val="006B33B5"/>
    <w:rsid w:val="006B3EA2"/>
    <w:rsid w:val="006B4019"/>
    <w:rsid w:val="006B407C"/>
    <w:rsid w:val="006B49C9"/>
    <w:rsid w:val="006B4D48"/>
    <w:rsid w:val="006B4E7F"/>
    <w:rsid w:val="006B50DA"/>
    <w:rsid w:val="006B513C"/>
    <w:rsid w:val="006B51A2"/>
    <w:rsid w:val="006B52A4"/>
    <w:rsid w:val="006B5486"/>
    <w:rsid w:val="006B548B"/>
    <w:rsid w:val="006B5CF1"/>
    <w:rsid w:val="006B6002"/>
    <w:rsid w:val="006B65E5"/>
    <w:rsid w:val="006B7490"/>
    <w:rsid w:val="006B755A"/>
    <w:rsid w:val="006B79E8"/>
    <w:rsid w:val="006C0053"/>
    <w:rsid w:val="006C05AC"/>
    <w:rsid w:val="006C09E3"/>
    <w:rsid w:val="006C09E6"/>
    <w:rsid w:val="006C0BFD"/>
    <w:rsid w:val="006C1112"/>
    <w:rsid w:val="006C1577"/>
    <w:rsid w:val="006C17B2"/>
    <w:rsid w:val="006C1B15"/>
    <w:rsid w:val="006C1C52"/>
    <w:rsid w:val="006C2B77"/>
    <w:rsid w:val="006C3076"/>
    <w:rsid w:val="006C3707"/>
    <w:rsid w:val="006C37EB"/>
    <w:rsid w:val="006C4095"/>
    <w:rsid w:val="006C4352"/>
    <w:rsid w:val="006C450C"/>
    <w:rsid w:val="006C4FDB"/>
    <w:rsid w:val="006C528C"/>
    <w:rsid w:val="006C5B25"/>
    <w:rsid w:val="006C5E1B"/>
    <w:rsid w:val="006C5E26"/>
    <w:rsid w:val="006C67FC"/>
    <w:rsid w:val="006C6FAC"/>
    <w:rsid w:val="006C71E5"/>
    <w:rsid w:val="006D0156"/>
    <w:rsid w:val="006D0748"/>
    <w:rsid w:val="006D099D"/>
    <w:rsid w:val="006D18C1"/>
    <w:rsid w:val="006D1DDF"/>
    <w:rsid w:val="006D20A9"/>
    <w:rsid w:val="006D21B5"/>
    <w:rsid w:val="006D23A2"/>
    <w:rsid w:val="006D31F7"/>
    <w:rsid w:val="006D3719"/>
    <w:rsid w:val="006D3A0F"/>
    <w:rsid w:val="006D405A"/>
    <w:rsid w:val="006D49A6"/>
    <w:rsid w:val="006D4C74"/>
    <w:rsid w:val="006D5170"/>
    <w:rsid w:val="006D52E1"/>
    <w:rsid w:val="006D5C02"/>
    <w:rsid w:val="006D5D58"/>
    <w:rsid w:val="006D5F03"/>
    <w:rsid w:val="006D5F5C"/>
    <w:rsid w:val="006D63D2"/>
    <w:rsid w:val="006D6823"/>
    <w:rsid w:val="006D69E1"/>
    <w:rsid w:val="006D6B06"/>
    <w:rsid w:val="006D71BF"/>
    <w:rsid w:val="006D7288"/>
    <w:rsid w:val="006D7CE1"/>
    <w:rsid w:val="006E0E61"/>
    <w:rsid w:val="006E12BC"/>
    <w:rsid w:val="006E1615"/>
    <w:rsid w:val="006E1869"/>
    <w:rsid w:val="006E1B6F"/>
    <w:rsid w:val="006E1D71"/>
    <w:rsid w:val="006E25FB"/>
    <w:rsid w:val="006E32EB"/>
    <w:rsid w:val="006E3A32"/>
    <w:rsid w:val="006E40D0"/>
    <w:rsid w:val="006E465A"/>
    <w:rsid w:val="006E4E01"/>
    <w:rsid w:val="006E4FC7"/>
    <w:rsid w:val="006E52FB"/>
    <w:rsid w:val="006E5395"/>
    <w:rsid w:val="006E5DB5"/>
    <w:rsid w:val="006E6828"/>
    <w:rsid w:val="006E6951"/>
    <w:rsid w:val="006E6C53"/>
    <w:rsid w:val="006E6C5A"/>
    <w:rsid w:val="006E6D0F"/>
    <w:rsid w:val="006E6D3E"/>
    <w:rsid w:val="006E78FA"/>
    <w:rsid w:val="006E790B"/>
    <w:rsid w:val="006F0240"/>
    <w:rsid w:val="006F0BA5"/>
    <w:rsid w:val="006F1226"/>
    <w:rsid w:val="006F123E"/>
    <w:rsid w:val="006F175B"/>
    <w:rsid w:val="006F19E9"/>
    <w:rsid w:val="006F1E87"/>
    <w:rsid w:val="006F2140"/>
    <w:rsid w:val="006F225B"/>
    <w:rsid w:val="006F2EFD"/>
    <w:rsid w:val="006F34A9"/>
    <w:rsid w:val="006F383B"/>
    <w:rsid w:val="006F47F1"/>
    <w:rsid w:val="006F5514"/>
    <w:rsid w:val="006F649C"/>
    <w:rsid w:val="006F6AB2"/>
    <w:rsid w:val="006F6B81"/>
    <w:rsid w:val="006F728F"/>
    <w:rsid w:val="006F78B3"/>
    <w:rsid w:val="006F7C02"/>
    <w:rsid w:val="006F7D91"/>
    <w:rsid w:val="00700079"/>
    <w:rsid w:val="0070172B"/>
    <w:rsid w:val="00701778"/>
    <w:rsid w:val="00701BCF"/>
    <w:rsid w:val="00701C18"/>
    <w:rsid w:val="00701D8E"/>
    <w:rsid w:val="00702152"/>
    <w:rsid w:val="007023F0"/>
    <w:rsid w:val="007024E3"/>
    <w:rsid w:val="0070352A"/>
    <w:rsid w:val="00703BCA"/>
    <w:rsid w:val="00703C71"/>
    <w:rsid w:val="0070422C"/>
    <w:rsid w:val="00704A1C"/>
    <w:rsid w:val="00704F79"/>
    <w:rsid w:val="0070521B"/>
    <w:rsid w:val="00705B4A"/>
    <w:rsid w:val="00705D4A"/>
    <w:rsid w:val="0070677C"/>
    <w:rsid w:val="007074CE"/>
    <w:rsid w:val="00707522"/>
    <w:rsid w:val="00707AEE"/>
    <w:rsid w:val="00707E7A"/>
    <w:rsid w:val="00707FDE"/>
    <w:rsid w:val="0071022D"/>
    <w:rsid w:val="007105CF"/>
    <w:rsid w:val="007105D9"/>
    <w:rsid w:val="00710698"/>
    <w:rsid w:val="00710A9F"/>
    <w:rsid w:val="00711126"/>
    <w:rsid w:val="007111FE"/>
    <w:rsid w:val="007113CD"/>
    <w:rsid w:val="00711D5A"/>
    <w:rsid w:val="007123A5"/>
    <w:rsid w:val="00712867"/>
    <w:rsid w:val="00712E42"/>
    <w:rsid w:val="007131DB"/>
    <w:rsid w:val="007140C9"/>
    <w:rsid w:val="0071419F"/>
    <w:rsid w:val="00714A22"/>
    <w:rsid w:val="00714E2E"/>
    <w:rsid w:val="00715168"/>
    <w:rsid w:val="007153D9"/>
    <w:rsid w:val="00715E07"/>
    <w:rsid w:val="007160F0"/>
    <w:rsid w:val="0071628A"/>
    <w:rsid w:val="00716296"/>
    <w:rsid w:val="007162E8"/>
    <w:rsid w:val="007163C6"/>
    <w:rsid w:val="00716F61"/>
    <w:rsid w:val="00717086"/>
    <w:rsid w:val="007174C1"/>
    <w:rsid w:val="007177DF"/>
    <w:rsid w:val="00717906"/>
    <w:rsid w:val="00717A53"/>
    <w:rsid w:val="00717EAA"/>
    <w:rsid w:val="007206F6"/>
    <w:rsid w:val="007209E2"/>
    <w:rsid w:val="00720A88"/>
    <w:rsid w:val="007210C2"/>
    <w:rsid w:val="0072110F"/>
    <w:rsid w:val="00721569"/>
    <w:rsid w:val="00721655"/>
    <w:rsid w:val="00721725"/>
    <w:rsid w:val="007219BA"/>
    <w:rsid w:val="00722360"/>
    <w:rsid w:val="00722948"/>
    <w:rsid w:val="007235CD"/>
    <w:rsid w:val="00723DBD"/>
    <w:rsid w:val="00723E29"/>
    <w:rsid w:val="00723FEB"/>
    <w:rsid w:val="00724335"/>
    <w:rsid w:val="007245F8"/>
    <w:rsid w:val="007253E5"/>
    <w:rsid w:val="0072557D"/>
    <w:rsid w:val="0072565B"/>
    <w:rsid w:val="007258B5"/>
    <w:rsid w:val="00725AA4"/>
    <w:rsid w:val="00725B65"/>
    <w:rsid w:val="00726846"/>
    <w:rsid w:val="00726A61"/>
    <w:rsid w:val="00726AEE"/>
    <w:rsid w:val="00726C3D"/>
    <w:rsid w:val="0072708C"/>
    <w:rsid w:val="0072727E"/>
    <w:rsid w:val="0072730D"/>
    <w:rsid w:val="00727389"/>
    <w:rsid w:val="00727980"/>
    <w:rsid w:val="00727B5E"/>
    <w:rsid w:val="007306C6"/>
    <w:rsid w:val="00731D36"/>
    <w:rsid w:val="00731E13"/>
    <w:rsid w:val="007322F2"/>
    <w:rsid w:val="0073372B"/>
    <w:rsid w:val="0073393B"/>
    <w:rsid w:val="007339CE"/>
    <w:rsid w:val="00733CDD"/>
    <w:rsid w:val="007343F6"/>
    <w:rsid w:val="00734442"/>
    <w:rsid w:val="00734D69"/>
    <w:rsid w:val="0073614E"/>
    <w:rsid w:val="007365F3"/>
    <w:rsid w:val="00736A53"/>
    <w:rsid w:val="00736BF5"/>
    <w:rsid w:val="0073708C"/>
    <w:rsid w:val="0073768C"/>
    <w:rsid w:val="00737765"/>
    <w:rsid w:val="00737CB9"/>
    <w:rsid w:val="00737D32"/>
    <w:rsid w:val="00737E0A"/>
    <w:rsid w:val="0074025E"/>
    <w:rsid w:val="007402FD"/>
    <w:rsid w:val="0074050F"/>
    <w:rsid w:val="00740736"/>
    <w:rsid w:val="007407E2"/>
    <w:rsid w:val="00740DD7"/>
    <w:rsid w:val="00740F6E"/>
    <w:rsid w:val="0074159E"/>
    <w:rsid w:val="00741ADA"/>
    <w:rsid w:val="00742184"/>
    <w:rsid w:val="00742DD6"/>
    <w:rsid w:val="007439AC"/>
    <w:rsid w:val="0074465A"/>
    <w:rsid w:val="007455C1"/>
    <w:rsid w:val="00745740"/>
    <w:rsid w:val="00745D11"/>
    <w:rsid w:val="00745FFD"/>
    <w:rsid w:val="007460B3"/>
    <w:rsid w:val="007461FC"/>
    <w:rsid w:val="0074687B"/>
    <w:rsid w:val="007469ED"/>
    <w:rsid w:val="00746D66"/>
    <w:rsid w:val="007479D3"/>
    <w:rsid w:val="00747C96"/>
    <w:rsid w:val="00747D98"/>
    <w:rsid w:val="00750467"/>
    <w:rsid w:val="007505D7"/>
    <w:rsid w:val="0075077C"/>
    <w:rsid w:val="00750C70"/>
    <w:rsid w:val="00751267"/>
    <w:rsid w:val="00751749"/>
    <w:rsid w:val="00751896"/>
    <w:rsid w:val="00751932"/>
    <w:rsid w:val="00751B44"/>
    <w:rsid w:val="007520F8"/>
    <w:rsid w:val="00752342"/>
    <w:rsid w:val="00752F6E"/>
    <w:rsid w:val="007535AB"/>
    <w:rsid w:val="00753A30"/>
    <w:rsid w:val="007542AD"/>
    <w:rsid w:val="0075435B"/>
    <w:rsid w:val="0075508E"/>
    <w:rsid w:val="007553FD"/>
    <w:rsid w:val="007554E9"/>
    <w:rsid w:val="00755D71"/>
    <w:rsid w:val="00755EC2"/>
    <w:rsid w:val="00755F52"/>
    <w:rsid w:val="007560AE"/>
    <w:rsid w:val="00756254"/>
    <w:rsid w:val="00756321"/>
    <w:rsid w:val="00756537"/>
    <w:rsid w:val="00756A7B"/>
    <w:rsid w:val="00756C51"/>
    <w:rsid w:val="00756F36"/>
    <w:rsid w:val="0075745D"/>
    <w:rsid w:val="00757719"/>
    <w:rsid w:val="007577A4"/>
    <w:rsid w:val="00757BBE"/>
    <w:rsid w:val="0076019B"/>
    <w:rsid w:val="00760243"/>
    <w:rsid w:val="00760B65"/>
    <w:rsid w:val="00760E5D"/>
    <w:rsid w:val="0076108C"/>
    <w:rsid w:val="007615D1"/>
    <w:rsid w:val="00762F68"/>
    <w:rsid w:val="0076303A"/>
    <w:rsid w:val="00763607"/>
    <w:rsid w:val="00763612"/>
    <w:rsid w:val="00763E3E"/>
    <w:rsid w:val="0076403B"/>
    <w:rsid w:val="007641F9"/>
    <w:rsid w:val="0076450B"/>
    <w:rsid w:val="007646D2"/>
    <w:rsid w:val="00764ABD"/>
    <w:rsid w:val="007652F3"/>
    <w:rsid w:val="00765571"/>
    <w:rsid w:val="0076557E"/>
    <w:rsid w:val="00765618"/>
    <w:rsid w:val="007665B6"/>
    <w:rsid w:val="00766623"/>
    <w:rsid w:val="007667C1"/>
    <w:rsid w:val="00766910"/>
    <w:rsid w:val="00766934"/>
    <w:rsid w:val="00766C9E"/>
    <w:rsid w:val="00766FDF"/>
    <w:rsid w:val="00767362"/>
    <w:rsid w:val="00767F40"/>
    <w:rsid w:val="007703E9"/>
    <w:rsid w:val="00770687"/>
    <w:rsid w:val="00770912"/>
    <w:rsid w:val="00770B5C"/>
    <w:rsid w:val="00770BD2"/>
    <w:rsid w:val="00771346"/>
    <w:rsid w:val="007715F7"/>
    <w:rsid w:val="0077181D"/>
    <w:rsid w:val="00771E68"/>
    <w:rsid w:val="00772219"/>
    <w:rsid w:val="007723C1"/>
    <w:rsid w:val="00772436"/>
    <w:rsid w:val="0077258E"/>
    <w:rsid w:val="00772C7E"/>
    <w:rsid w:val="00773C95"/>
    <w:rsid w:val="00773D59"/>
    <w:rsid w:val="0077421F"/>
    <w:rsid w:val="0077455B"/>
    <w:rsid w:val="00774B8F"/>
    <w:rsid w:val="00775121"/>
    <w:rsid w:val="007752D0"/>
    <w:rsid w:val="007753A8"/>
    <w:rsid w:val="00775A53"/>
    <w:rsid w:val="00775B77"/>
    <w:rsid w:val="00775C4C"/>
    <w:rsid w:val="00775C8B"/>
    <w:rsid w:val="0077675D"/>
    <w:rsid w:val="0077679F"/>
    <w:rsid w:val="007770EB"/>
    <w:rsid w:val="007775FA"/>
    <w:rsid w:val="00777CAD"/>
    <w:rsid w:val="0078018D"/>
    <w:rsid w:val="00780204"/>
    <w:rsid w:val="007804FA"/>
    <w:rsid w:val="007805B2"/>
    <w:rsid w:val="00780645"/>
    <w:rsid w:val="00780EAF"/>
    <w:rsid w:val="00781122"/>
    <w:rsid w:val="007812CE"/>
    <w:rsid w:val="007816CF"/>
    <w:rsid w:val="00781957"/>
    <w:rsid w:val="007824D3"/>
    <w:rsid w:val="00782B51"/>
    <w:rsid w:val="00782C92"/>
    <w:rsid w:val="00782D27"/>
    <w:rsid w:val="00782E80"/>
    <w:rsid w:val="007833E3"/>
    <w:rsid w:val="00783590"/>
    <w:rsid w:val="007835E1"/>
    <w:rsid w:val="00784B8D"/>
    <w:rsid w:val="00784F78"/>
    <w:rsid w:val="00785896"/>
    <w:rsid w:val="00785902"/>
    <w:rsid w:val="00785A8C"/>
    <w:rsid w:val="00785D64"/>
    <w:rsid w:val="00785F22"/>
    <w:rsid w:val="007863C1"/>
    <w:rsid w:val="00786433"/>
    <w:rsid w:val="00786495"/>
    <w:rsid w:val="00786585"/>
    <w:rsid w:val="007867D3"/>
    <w:rsid w:val="00786B52"/>
    <w:rsid w:val="00786EDF"/>
    <w:rsid w:val="007876CD"/>
    <w:rsid w:val="00787AFE"/>
    <w:rsid w:val="00787CFE"/>
    <w:rsid w:val="00790CCD"/>
    <w:rsid w:val="00791362"/>
    <w:rsid w:val="00791954"/>
    <w:rsid w:val="00791C01"/>
    <w:rsid w:val="00791C38"/>
    <w:rsid w:val="007922D5"/>
    <w:rsid w:val="00792503"/>
    <w:rsid w:val="00792977"/>
    <w:rsid w:val="00792C01"/>
    <w:rsid w:val="0079339B"/>
    <w:rsid w:val="007940ED"/>
    <w:rsid w:val="00794646"/>
    <w:rsid w:val="007948D6"/>
    <w:rsid w:val="00794C3C"/>
    <w:rsid w:val="0079515F"/>
    <w:rsid w:val="0079520B"/>
    <w:rsid w:val="0079536F"/>
    <w:rsid w:val="00795D4A"/>
    <w:rsid w:val="00796996"/>
    <w:rsid w:val="00796DD9"/>
    <w:rsid w:val="00797CF8"/>
    <w:rsid w:val="007A0302"/>
    <w:rsid w:val="007A030F"/>
    <w:rsid w:val="007A08E0"/>
    <w:rsid w:val="007A11AD"/>
    <w:rsid w:val="007A1F9F"/>
    <w:rsid w:val="007A2081"/>
    <w:rsid w:val="007A2C39"/>
    <w:rsid w:val="007A3344"/>
    <w:rsid w:val="007A4009"/>
    <w:rsid w:val="007A4353"/>
    <w:rsid w:val="007A44E9"/>
    <w:rsid w:val="007A44F9"/>
    <w:rsid w:val="007A474B"/>
    <w:rsid w:val="007A4B3F"/>
    <w:rsid w:val="007A4BA2"/>
    <w:rsid w:val="007A59FB"/>
    <w:rsid w:val="007A5AA7"/>
    <w:rsid w:val="007A5BA7"/>
    <w:rsid w:val="007A627E"/>
    <w:rsid w:val="007A62BE"/>
    <w:rsid w:val="007A6481"/>
    <w:rsid w:val="007A685A"/>
    <w:rsid w:val="007A6996"/>
    <w:rsid w:val="007A6BC3"/>
    <w:rsid w:val="007A6C1C"/>
    <w:rsid w:val="007A7CCA"/>
    <w:rsid w:val="007B0313"/>
    <w:rsid w:val="007B22B8"/>
    <w:rsid w:val="007B386B"/>
    <w:rsid w:val="007B4313"/>
    <w:rsid w:val="007B49EF"/>
    <w:rsid w:val="007B5931"/>
    <w:rsid w:val="007B5C79"/>
    <w:rsid w:val="007B6553"/>
    <w:rsid w:val="007B6A9F"/>
    <w:rsid w:val="007B6B9D"/>
    <w:rsid w:val="007B6FAD"/>
    <w:rsid w:val="007B7913"/>
    <w:rsid w:val="007B7CCB"/>
    <w:rsid w:val="007C0094"/>
    <w:rsid w:val="007C030B"/>
    <w:rsid w:val="007C14A6"/>
    <w:rsid w:val="007C16B2"/>
    <w:rsid w:val="007C1F10"/>
    <w:rsid w:val="007C275B"/>
    <w:rsid w:val="007C2A83"/>
    <w:rsid w:val="007C2BA1"/>
    <w:rsid w:val="007C2D0A"/>
    <w:rsid w:val="007C2D35"/>
    <w:rsid w:val="007C31D1"/>
    <w:rsid w:val="007C320B"/>
    <w:rsid w:val="007C33CF"/>
    <w:rsid w:val="007C35ED"/>
    <w:rsid w:val="007C48E9"/>
    <w:rsid w:val="007C4A66"/>
    <w:rsid w:val="007C525C"/>
    <w:rsid w:val="007C54FC"/>
    <w:rsid w:val="007C5B9D"/>
    <w:rsid w:val="007C5E58"/>
    <w:rsid w:val="007C6B35"/>
    <w:rsid w:val="007C6B37"/>
    <w:rsid w:val="007C7038"/>
    <w:rsid w:val="007C7A79"/>
    <w:rsid w:val="007C7C2B"/>
    <w:rsid w:val="007C7F70"/>
    <w:rsid w:val="007D004F"/>
    <w:rsid w:val="007D2049"/>
    <w:rsid w:val="007D281F"/>
    <w:rsid w:val="007D3698"/>
    <w:rsid w:val="007D3F5B"/>
    <w:rsid w:val="007D453F"/>
    <w:rsid w:val="007D47C4"/>
    <w:rsid w:val="007D4ADC"/>
    <w:rsid w:val="007D4D3A"/>
    <w:rsid w:val="007D4FF4"/>
    <w:rsid w:val="007D56A5"/>
    <w:rsid w:val="007D5750"/>
    <w:rsid w:val="007D5A6B"/>
    <w:rsid w:val="007D6B0C"/>
    <w:rsid w:val="007D6E8B"/>
    <w:rsid w:val="007D6F08"/>
    <w:rsid w:val="007D7BF5"/>
    <w:rsid w:val="007D7DA8"/>
    <w:rsid w:val="007E1170"/>
    <w:rsid w:val="007E1735"/>
    <w:rsid w:val="007E1B7E"/>
    <w:rsid w:val="007E1DF8"/>
    <w:rsid w:val="007E2675"/>
    <w:rsid w:val="007E2690"/>
    <w:rsid w:val="007E2A98"/>
    <w:rsid w:val="007E3092"/>
    <w:rsid w:val="007E339D"/>
    <w:rsid w:val="007E368D"/>
    <w:rsid w:val="007E38BC"/>
    <w:rsid w:val="007E3E1B"/>
    <w:rsid w:val="007E40B8"/>
    <w:rsid w:val="007E4801"/>
    <w:rsid w:val="007E4D28"/>
    <w:rsid w:val="007E4DE7"/>
    <w:rsid w:val="007E4FEE"/>
    <w:rsid w:val="007E51A4"/>
    <w:rsid w:val="007E55BC"/>
    <w:rsid w:val="007E562A"/>
    <w:rsid w:val="007E56DE"/>
    <w:rsid w:val="007E59C1"/>
    <w:rsid w:val="007E612E"/>
    <w:rsid w:val="007E6311"/>
    <w:rsid w:val="007E64A1"/>
    <w:rsid w:val="007E64D9"/>
    <w:rsid w:val="007E670A"/>
    <w:rsid w:val="007E6A57"/>
    <w:rsid w:val="007E6C79"/>
    <w:rsid w:val="007E70CC"/>
    <w:rsid w:val="007E79EB"/>
    <w:rsid w:val="007E7C83"/>
    <w:rsid w:val="007F0125"/>
    <w:rsid w:val="007F01BB"/>
    <w:rsid w:val="007F0338"/>
    <w:rsid w:val="007F0B4A"/>
    <w:rsid w:val="007F13A8"/>
    <w:rsid w:val="007F16C2"/>
    <w:rsid w:val="007F1920"/>
    <w:rsid w:val="007F1DA1"/>
    <w:rsid w:val="007F1DEA"/>
    <w:rsid w:val="007F2EE8"/>
    <w:rsid w:val="007F3337"/>
    <w:rsid w:val="007F39F1"/>
    <w:rsid w:val="007F3A9E"/>
    <w:rsid w:val="007F3B13"/>
    <w:rsid w:val="007F45CD"/>
    <w:rsid w:val="007F466D"/>
    <w:rsid w:val="007F4D94"/>
    <w:rsid w:val="007F534B"/>
    <w:rsid w:val="007F54DB"/>
    <w:rsid w:val="007F55EF"/>
    <w:rsid w:val="007F5888"/>
    <w:rsid w:val="007F5914"/>
    <w:rsid w:val="007F613E"/>
    <w:rsid w:val="007F656E"/>
    <w:rsid w:val="007F69BD"/>
    <w:rsid w:val="007F758F"/>
    <w:rsid w:val="00800703"/>
    <w:rsid w:val="008009EA"/>
    <w:rsid w:val="00800C26"/>
    <w:rsid w:val="008013E9"/>
    <w:rsid w:val="008015A8"/>
    <w:rsid w:val="00801C66"/>
    <w:rsid w:val="0080232D"/>
    <w:rsid w:val="00802824"/>
    <w:rsid w:val="00802A6A"/>
    <w:rsid w:val="00802E25"/>
    <w:rsid w:val="00803545"/>
    <w:rsid w:val="008038FE"/>
    <w:rsid w:val="008041EB"/>
    <w:rsid w:val="008045C9"/>
    <w:rsid w:val="00804754"/>
    <w:rsid w:val="00804D0D"/>
    <w:rsid w:val="008056C7"/>
    <w:rsid w:val="00805C80"/>
    <w:rsid w:val="008061F6"/>
    <w:rsid w:val="00806267"/>
    <w:rsid w:val="008070FB"/>
    <w:rsid w:val="008079D7"/>
    <w:rsid w:val="0081044B"/>
    <w:rsid w:val="008104D6"/>
    <w:rsid w:val="00810D8E"/>
    <w:rsid w:val="008118FE"/>
    <w:rsid w:val="008123B8"/>
    <w:rsid w:val="008126F9"/>
    <w:rsid w:val="00812B77"/>
    <w:rsid w:val="008131CF"/>
    <w:rsid w:val="008147F9"/>
    <w:rsid w:val="008148F0"/>
    <w:rsid w:val="00814DD8"/>
    <w:rsid w:val="008155B1"/>
    <w:rsid w:val="00815D07"/>
    <w:rsid w:val="00815D12"/>
    <w:rsid w:val="00816138"/>
    <w:rsid w:val="00816EB1"/>
    <w:rsid w:val="008173C3"/>
    <w:rsid w:val="00817B87"/>
    <w:rsid w:val="00817F44"/>
    <w:rsid w:val="00817F4C"/>
    <w:rsid w:val="00820422"/>
    <w:rsid w:val="0082046A"/>
    <w:rsid w:val="0082131F"/>
    <w:rsid w:val="0082137A"/>
    <w:rsid w:val="00821AFB"/>
    <w:rsid w:val="00821B07"/>
    <w:rsid w:val="00821D4B"/>
    <w:rsid w:val="00821F22"/>
    <w:rsid w:val="008226FD"/>
    <w:rsid w:val="00822864"/>
    <w:rsid w:val="00822C2C"/>
    <w:rsid w:val="00822EC5"/>
    <w:rsid w:val="00822F5C"/>
    <w:rsid w:val="008235FB"/>
    <w:rsid w:val="00823F40"/>
    <w:rsid w:val="0082409C"/>
    <w:rsid w:val="0082491F"/>
    <w:rsid w:val="00825443"/>
    <w:rsid w:val="00825969"/>
    <w:rsid w:val="008260C7"/>
    <w:rsid w:val="0082636D"/>
    <w:rsid w:val="008269FF"/>
    <w:rsid w:val="00826C50"/>
    <w:rsid w:val="00826FCD"/>
    <w:rsid w:val="008273F8"/>
    <w:rsid w:val="008275CE"/>
    <w:rsid w:val="00827693"/>
    <w:rsid w:val="00827C26"/>
    <w:rsid w:val="00830104"/>
    <w:rsid w:val="00830ED5"/>
    <w:rsid w:val="0083100C"/>
    <w:rsid w:val="0083154C"/>
    <w:rsid w:val="008315B7"/>
    <w:rsid w:val="0083176E"/>
    <w:rsid w:val="00831D20"/>
    <w:rsid w:val="00831F5B"/>
    <w:rsid w:val="00832CC0"/>
    <w:rsid w:val="00832FC4"/>
    <w:rsid w:val="00833087"/>
    <w:rsid w:val="0083313F"/>
    <w:rsid w:val="0083327A"/>
    <w:rsid w:val="00833335"/>
    <w:rsid w:val="0083343E"/>
    <w:rsid w:val="0083363D"/>
    <w:rsid w:val="008338E1"/>
    <w:rsid w:val="00833D36"/>
    <w:rsid w:val="00833F9B"/>
    <w:rsid w:val="00834013"/>
    <w:rsid w:val="008341CB"/>
    <w:rsid w:val="00834613"/>
    <w:rsid w:val="00834C05"/>
    <w:rsid w:val="008351DD"/>
    <w:rsid w:val="00835491"/>
    <w:rsid w:val="008356BA"/>
    <w:rsid w:val="00835DBD"/>
    <w:rsid w:val="008364E0"/>
    <w:rsid w:val="008366AC"/>
    <w:rsid w:val="00836E32"/>
    <w:rsid w:val="00836F83"/>
    <w:rsid w:val="00837CD7"/>
    <w:rsid w:val="008408FA"/>
    <w:rsid w:val="008409DD"/>
    <w:rsid w:val="0084175C"/>
    <w:rsid w:val="00841A40"/>
    <w:rsid w:val="00842040"/>
    <w:rsid w:val="00842096"/>
    <w:rsid w:val="00842172"/>
    <w:rsid w:val="0084236E"/>
    <w:rsid w:val="0084248F"/>
    <w:rsid w:val="00842501"/>
    <w:rsid w:val="008427CD"/>
    <w:rsid w:val="00842BA9"/>
    <w:rsid w:val="0084399E"/>
    <w:rsid w:val="00843A40"/>
    <w:rsid w:val="00843C9D"/>
    <w:rsid w:val="00843E62"/>
    <w:rsid w:val="0084441D"/>
    <w:rsid w:val="008449BC"/>
    <w:rsid w:val="0084531D"/>
    <w:rsid w:val="00846230"/>
    <w:rsid w:val="0084637E"/>
    <w:rsid w:val="00846490"/>
    <w:rsid w:val="00846530"/>
    <w:rsid w:val="008470EA"/>
    <w:rsid w:val="008474B9"/>
    <w:rsid w:val="008475DC"/>
    <w:rsid w:val="00847698"/>
    <w:rsid w:val="0085027C"/>
    <w:rsid w:val="008502D4"/>
    <w:rsid w:val="00850424"/>
    <w:rsid w:val="0085054F"/>
    <w:rsid w:val="00850988"/>
    <w:rsid w:val="008509DC"/>
    <w:rsid w:val="00850B9D"/>
    <w:rsid w:val="008519D8"/>
    <w:rsid w:val="00851DA8"/>
    <w:rsid w:val="0085249D"/>
    <w:rsid w:val="008526F2"/>
    <w:rsid w:val="00852718"/>
    <w:rsid w:val="00852CC9"/>
    <w:rsid w:val="00853140"/>
    <w:rsid w:val="00853279"/>
    <w:rsid w:val="00853916"/>
    <w:rsid w:val="00853BF0"/>
    <w:rsid w:val="00853E85"/>
    <w:rsid w:val="00854AA3"/>
    <w:rsid w:val="00854B89"/>
    <w:rsid w:val="00854D7C"/>
    <w:rsid w:val="00854FE8"/>
    <w:rsid w:val="00855456"/>
    <w:rsid w:val="008556E1"/>
    <w:rsid w:val="00855C8A"/>
    <w:rsid w:val="00855D23"/>
    <w:rsid w:val="00856252"/>
    <w:rsid w:val="00856296"/>
    <w:rsid w:val="008572F6"/>
    <w:rsid w:val="008577D4"/>
    <w:rsid w:val="008602D6"/>
    <w:rsid w:val="00860715"/>
    <w:rsid w:val="008608EC"/>
    <w:rsid w:val="00860BFF"/>
    <w:rsid w:val="0086113E"/>
    <w:rsid w:val="00861514"/>
    <w:rsid w:val="00861D97"/>
    <w:rsid w:val="00862215"/>
    <w:rsid w:val="00862496"/>
    <w:rsid w:val="008625B6"/>
    <w:rsid w:val="008631FA"/>
    <w:rsid w:val="00863407"/>
    <w:rsid w:val="00863A7D"/>
    <w:rsid w:val="00863C16"/>
    <w:rsid w:val="00864112"/>
    <w:rsid w:val="00864365"/>
    <w:rsid w:val="00864495"/>
    <w:rsid w:val="008647E1"/>
    <w:rsid w:val="0086510A"/>
    <w:rsid w:val="008652E2"/>
    <w:rsid w:val="008652F3"/>
    <w:rsid w:val="00865C9D"/>
    <w:rsid w:val="00866A17"/>
    <w:rsid w:val="00866D4E"/>
    <w:rsid w:val="008675CE"/>
    <w:rsid w:val="00867E74"/>
    <w:rsid w:val="008700E1"/>
    <w:rsid w:val="00870545"/>
    <w:rsid w:val="00870C33"/>
    <w:rsid w:val="0087177E"/>
    <w:rsid w:val="00871A6E"/>
    <w:rsid w:val="00871AAD"/>
    <w:rsid w:val="008721D7"/>
    <w:rsid w:val="00872E25"/>
    <w:rsid w:val="00872FC4"/>
    <w:rsid w:val="008738BF"/>
    <w:rsid w:val="00873C3D"/>
    <w:rsid w:val="00873D96"/>
    <w:rsid w:val="008747B5"/>
    <w:rsid w:val="0087480F"/>
    <w:rsid w:val="00875136"/>
    <w:rsid w:val="00876361"/>
    <w:rsid w:val="00876A64"/>
    <w:rsid w:val="00876A6E"/>
    <w:rsid w:val="00876D0E"/>
    <w:rsid w:val="00876F32"/>
    <w:rsid w:val="00877286"/>
    <w:rsid w:val="00877A79"/>
    <w:rsid w:val="00880081"/>
    <w:rsid w:val="0088014F"/>
    <w:rsid w:val="008804EC"/>
    <w:rsid w:val="0088078C"/>
    <w:rsid w:val="00880836"/>
    <w:rsid w:val="00881233"/>
    <w:rsid w:val="0088191E"/>
    <w:rsid w:val="00882C91"/>
    <w:rsid w:val="00883F61"/>
    <w:rsid w:val="0088422D"/>
    <w:rsid w:val="00884238"/>
    <w:rsid w:val="008848CF"/>
    <w:rsid w:val="00884CF0"/>
    <w:rsid w:val="00884DF3"/>
    <w:rsid w:val="0088595F"/>
    <w:rsid w:val="00885C19"/>
    <w:rsid w:val="00886BB2"/>
    <w:rsid w:val="00886BCA"/>
    <w:rsid w:val="008876BC"/>
    <w:rsid w:val="00887711"/>
    <w:rsid w:val="008878B8"/>
    <w:rsid w:val="00890A6D"/>
    <w:rsid w:val="00890ACE"/>
    <w:rsid w:val="00890C2B"/>
    <w:rsid w:val="00890E28"/>
    <w:rsid w:val="008913BF"/>
    <w:rsid w:val="00891F37"/>
    <w:rsid w:val="00892112"/>
    <w:rsid w:val="008928BF"/>
    <w:rsid w:val="00892B3D"/>
    <w:rsid w:val="0089369B"/>
    <w:rsid w:val="00893A02"/>
    <w:rsid w:val="00893B64"/>
    <w:rsid w:val="00893C9D"/>
    <w:rsid w:val="00893DBB"/>
    <w:rsid w:val="008940A0"/>
    <w:rsid w:val="00894230"/>
    <w:rsid w:val="0089430C"/>
    <w:rsid w:val="0089450B"/>
    <w:rsid w:val="008948BB"/>
    <w:rsid w:val="00894B8A"/>
    <w:rsid w:val="00895876"/>
    <w:rsid w:val="00895F9E"/>
    <w:rsid w:val="00896112"/>
    <w:rsid w:val="0089626D"/>
    <w:rsid w:val="008963C4"/>
    <w:rsid w:val="0089781F"/>
    <w:rsid w:val="00897F8D"/>
    <w:rsid w:val="008A0876"/>
    <w:rsid w:val="008A1704"/>
    <w:rsid w:val="008A1976"/>
    <w:rsid w:val="008A19F3"/>
    <w:rsid w:val="008A1E03"/>
    <w:rsid w:val="008A1E42"/>
    <w:rsid w:val="008A259A"/>
    <w:rsid w:val="008A2B6C"/>
    <w:rsid w:val="008A2F59"/>
    <w:rsid w:val="008A33F9"/>
    <w:rsid w:val="008A3B6E"/>
    <w:rsid w:val="008A3D51"/>
    <w:rsid w:val="008A40A1"/>
    <w:rsid w:val="008A40AC"/>
    <w:rsid w:val="008A4355"/>
    <w:rsid w:val="008A4423"/>
    <w:rsid w:val="008A498E"/>
    <w:rsid w:val="008A4A37"/>
    <w:rsid w:val="008A4B11"/>
    <w:rsid w:val="008A5000"/>
    <w:rsid w:val="008A5EDA"/>
    <w:rsid w:val="008A618A"/>
    <w:rsid w:val="008A6281"/>
    <w:rsid w:val="008A6A5C"/>
    <w:rsid w:val="008A6D8F"/>
    <w:rsid w:val="008A6DEB"/>
    <w:rsid w:val="008A6E44"/>
    <w:rsid w:val="008A6F04"/>
    <w:rsid w:val="008A7C62"/>
    <w:rsid w:val="008A7FB1"/>
    <w:rsid w:val="008B0168"/>
    <w:rsid w:val="008B019A"/>
    <w:rsid w:val="008B0680"/>
    <w:rsid w:val="008B0C6E"/>
    <w:rsid w:val="008B1667"/>
    <w:rsid w:val="008B1CC8"/>
    <w:rsid w:val="008B1CF0"/>
    <w:rsid w:val="008B1FBD"/>
    <w:rsid w:val="008B2114"/>
    <w:rsid w:val="008B2590"/>
    <w:rsid w:val="008B275F"/>
    <w:rsid w:val="008B29CE"/>
    <w:rsid w:val="008B2C09"/>
    <w:rsid w:val="008B2CC4"/>
    <w:rsid w:val="008B39B5"/>
    <w:rsid w:val="008B43AE"/>
    <w:rsid w:val="008B4438"/>
    <w:rsid w:val="008B4768"/>
    <w:rsid w:val="008B4AEA"/>
    <w:rsid w:val="008B500F"/>
    <w:rsid w:val="008B5590"/>
    <w:rsid w:val="008B5966"/>
    <w:rsid w:val="008B5BCE"/>
    <w:rsid w:val="008B60D0"/>
    <w:rsid w:val="008B6310"/>
    <w:rsid w:val="008B69A9"/>
    <w:rsid w:val="008B69B3"/>
    <w:rsid w:val="008B705B"/>
    <w:rsid w:val="008B76BC"/>
    <w:rsid w:val="008B7E8C"/>
    <w:rsid w:val="008C0184"/>
    <w:rsid w:val="008C0CC2"/>
    <w:rsid w:val="008C0FA8"/>
    <w:rsid w:val="008C1024"/>
    <w:rsid w:val="008C1480"/>
    <w:rsid w:val="008C17C5"/>
    <w:rsid w:val="008C2264"/>
    <w:rsid w:val="008C2BB7"/>
    <w:rsid w:val="008C43B6"/>
    <w:rsid w:val="008C477B"/>
    <w:rsid w:val="008C4968"/>
    <w:rsid w:val="008C4D7C"/>
    <w:rsid w:val="008C503B"/>
    <w:rsid w:val="008C58AC"/>
    <w:rsid w:val="008C5DE8"/>
    <w:rsid w:val="008C67AD"/>
    <w:rsid w:val="008C73AD"/>
    <w:rsid w:val="008D0229"/>
    <w:rsid w:val="008D14E1"/>
    <w:rsid w:val="008D16DD"/>
    <w:rsid w:val="008D16E9"/>
    <w:rsid w:val="008D1777"/>
    <w:rsid w:val="008D18B2"/>
    <w:rsid w:val="008D1F7D"/>
    <w:rsid w:val="008D2AE0"/>
    <w:rsid w:val="008D3363"/>
    <w:rsid w:val="008D37F5"/>
    <w:rsid w:val="008D382E"/>
    <w:rsid w:val="008D40BD"/>
    <w:rsid w:val="008D4C68"/>
    <w:rsid w:val="008D5C29"/>
    <w:rsid w:val="008D5E8B"/>
    <w:rsid w:val="008D627F"/>
    <w:rsid w:val="008D63BC"/>
    <w:rsid w:val="008D64ED"/>
    <w:rsid w:val="008D66BD"/>
    <w:rsid w:val="008D6D1E"/>
    <w:rsid w:val="008D6D48"/>
    <w:rsid w:val="008D6F0C"/>
    <w:rsid w:val="008D700E"/>
    <w:rsid w:val="008D72E5"/>
    <w:rsid w:val="008D73CB"/>
    <w:rsid w:val="008D7510"/>
    <w:rsid w:val="008D7692"/>
    <w:rsid w:val="008E04B3"/>
    <w:rsid w:val="008E077A"/>
    <w:rsid w:val="008E084C"/>
    <w:rsid w:val="008E0BAC"/>
    <w:rsid w:val="008E188A"/>
    <w:rsid w:val="008E1B38"/>
    <w:rsid w:val="008E1B46"/>
    <w:rsid w:val="008E1C58"/>
    <w:rsid w:val="008E1D25"/>
    <w:rsid w:val="008E1FD6"/>
    <w:rsid w:val="008E21DC"/>
    <w:rsid w:val="008E23FD"/>
    <w:rsid w:val="008E2957"/>
    <w:rsid w:val="008E2C8B"/>
    <w:rsid w:val="008E2D94"/>
    <w:rsid w:val="008E329D"/>
    <w:rsid w:val="008E3652"/>
    <w:rsid w:val="008E3E3D"/>
    <w:rsid w:val="008E4581"/>
    <w:rsid w:val="008E494F"/>
    <w:rsid w:val="008E4C33"/>
    <w:rsid w:val="008E6277"/>
    <w:rsid w:val="008E6370"/>
    <w:rsid w:val="008E6644"/>
    <w:rsid w:val="008E76F5"/>
    <w:rsid w:val="008E785F"/>
    <w:rsid w:val="008F037B"/>
    <w:rsid w:val="008F0598"/>
    <w:rsid w:val="008F16F5"/>
    <w:rsid w:val="008F1968"/>
    <w:rsid w:val="008F21D6"/>
    <w:rsid w:val="008F23B1"/>
    <w:rsid w:val="008F250B"/>
    <w:rsid w:val="008F275C"/>
    <w:rsid w:val="008F2D67"/>
    <w:rsid w:val="008F40E1"/>
    <w:rsid w:val="008F4825"/>
    <w:rsid w:val="008F4830"/>
    <w:rsid w:val="008F5315"/>
    <w:rsid w:val="008F531A"/>
    <w:rsid w:val="008F5EB8"/>
    <w:rsid w:val="008F617E"/>
    <w:rsid w:val="008F6652"/>
    <w:rsid w:val="008F6BC0"/>
    <w:rsid w:val="008F79AE"/>
    <w:rsid w:val="008F7B99"/>
    <w:rsid w:val="008F7C94"/>
    <w:rsid w:val="008F7FF5"/>
    <w:rsid w:val="00900200"/>
    <w:rsid w:val="00901419"/>
    <w:rsid w:val="0090174E"/>
    <w:rsid w:val="009018D8"/>
    <w:rsid w:val="00901D9F"/>
    <w:rsid w:val="009020F4"/>
    <w:rsid w:val="00902380"/>
    <w:rsid w:val="00902FE1"/>
    <w:rsid w:val="00903134"/>
    <w:rsid w:val="00903330"/>
    <w:rsid w:val="009034C1"/>
    <w:rsid w:val="00903806"/>
    <w:rsid w:val="0090389D"/>
    <w:rsid w:val="00903A41"/>
    <w:rsid w:val="009042C3"/>
    <w:rsid w:val="009049FC"/>
    <w:rsid w:val="00904A2F"/>
    <w:rsid w:val="00904B46"/>
    <w:rsid w:val="00904B6E"/>
    <w:rsid w:val="00904C76"/>
    <w:rsid w:val="00904D47"/>
    <w:rsid w:val="00904F98"/>
    <w:rsid w:val="009052FC"/>
    <w:rsid w:val="0090531C"/>
    <w:rsid w:val="00906717"/>
    <w:rsid w:val="00906877"/>
    <w:rsid w:val="00906B86"/>
    <w:rsid w:val="00906DA2"/>
    <w:rsid w:val="00906F8B"/>
    <w:rsid w:val="00907430"/>
    <w:rsid w:val="00907610"/>
    <w:rsid w:val="009078FC"/>
    <w:rsid w:val="00907B43"/>
    <w:rsid w:val="00910082"/>
    <w:rsid w:val="0091065A"/>
    <w:rsid w:val="00910D19"/>
    <w:rsid w:val="009111D8"/>
    <w:rsid w:val="0091231D"/>
    <w:rsid w:val="009125D3"/>
    <w:rsid w:val="009126D2"/>
    <w:rsid w:val="0091381B"/>
    <w:rsid w:val="00913DD9"/>
    <w:rsid w:val="00913E36"/>
    <w:rsid w:val="00913FBB"/>
    <w:rsid w:val="00914494"/>
    <w:rsid w:val="00914D19"/>
    <w:rsid w:val="00914EAE"/>
    <w:rsid w:val="00915130"/>
    <w:rsid w:val="00915407"/>
    <w:rsid w:val="00915F26"/>
    <w:rsid w:val="00916390"/>
    <w:rsid w:val="0091665D"/>
    <w:rsid w:val="009178D3"/>
    <w:rsid w:val="00920460"/>
    <w:rsid w:val="00920731"/>
    <w:rsid w:val="00920D8B"/>
    <w:rsid w:val="00920F7D"/>
    <w:rsid w:val="009213B2"/>
    <w:rsid w:val="0092172A"/>
    <w:rsid w:val="00921799"/>
    <w:rsid w:val="00921ADC"/>
    <w:rsid w:val="00921C36"/>
    <w:rsid w:val="00922809"/>
    <w:rsid w:val="00922A81"/>
    <w:rsid w:val="00922D4E"/>
    <w:rsid w:val="00924235"/>
    <w:rsid w:val="009248F4"/>
    <w:rsid w:val="00924AD2"/>
    <w:rsid w:val="00924ED3"/>
    <w:rsid w:val="00924EE5"/>
    <w:rsid w:val="0092551B"/>
    <w:rsid w:val="009258CB"/>
    <w:rsid w:val="009259B3"/>
    <w:rsid w:val="00926074"/>
    <w:rsid w:val="00926B08"/>
    <w:rsid w:val="00926C55"/>
    <w:rsid w:val="00926C78"/>
    <w:rsid w:val="009273A2"/>
    <w:rsid w:val="00927402"/>
    <w:rsid w:val="0093069C"/>
    <w:rsid w:val="00930968"/>
    <w:rsid w:val="00930B44"/>
    <w:rsid w:val="00930CB6"/>
    <w:rsid w:val="0093135B"/>
    <w:rsid w:val="009316BD"/>
    <w:rsid w:val="00931906"/>
    <w:rsid w:val="0093197E"/>
    <w:rsid w:val="00931D38"/>
    <w:rsid w:val="00931DA3"/>
    <w:rsid w:val="00931F4E"/>
    <w:rsid w:val="00931FF9"/>
    <w:rsid w:val="009324E6"/>
    <w:rsid w:val="00932B43"/>
    <w:rsid w:val="00932E90"/>
    <w:rsid w:val="009339E1"/>
    <w:rsid w:val="00933A5E"/>
    <w:rsid w:val="00933C3D"/>
    <w:rsid w:val="00933DF7"/>
    <w:rsid w:val="00934EE9"/>
    <w:rsid w:val="00935AE6"/>
    <w:rsid w:val="00935E80"/>
    <w:rsid w:val="0093653F"/>
    <w:rsid w:val="00936A78"/>
    <w:rsid w:val="009374F4"/>
    <w:rsid w:val="00937A57"/>
    <w:rsid w:val="00937DF2"/>
    <w:rsid w:val="00937EC5"/>
    <w:rsid w:val="009408FA"/>
    <w:rsid w:val="00940A98"/>
    <w:rsid w:val="00940A9F"/>
    <w:rsid w:val="00940B01"/>
    <w:rsid w:val="00940C90"/>
    <w:rsid w:val="009413FD"/>
    <w:rsid w:val="00941702"/>
    <w:rsid w:val="00941812"/>
    <w:rsid w:val="00941E12"/>
    <w:rsid w:val="00941E7E"/>
    <w:rsid w:val="00942128"/>
    <w:rsid w:val="00942349"/>
    <w:rsid w:val="009425A3"/>
    <w:rsid w:val="00942984"/>
    <w:rsid w:val="00942A5C"/>
    <w:rsid w:val="00942A76"/>
    <w:rsid w:val="009435D7"/>
    <w:rsid w:val="00943C18"/>
    <w:rsid w:val="00943C65"/>
    <w:rsid w:val="009444A8"/>
    <w:rsid w:val="0094452A"/>
    <w:rsid w:val="00944603"/>
    <w:rsid w:val="009447B4"/>
    <w:rsid w:val="00944A94"/>
    <w:rsid w:val="00944CA8"/>
    <w:rsid w:val="00944EB6"/>
    <w:rsid w:val="0094530E"/>
    <w:rsid w:val="0094636C"/>
    <w:rsid w:val="00946A1C"/>
    <w:rsid w:val="00946CAE"/>
    <w:rsid w:val="00946FE2"/>
    <w:rsid w:val="00947473"/>
    <w:rsid w:val="0094753D"/>
    <w:rsid w:val="0094778A"/>
    <w:rsid w:val="00947C5B"/>
    <w:rsid w:val="0095008A"/>
    <w:rsid w:val="009501BD"/>
    <w:rsid w:val="009502D7"/>
    <w:rsid w:val="009502FF"/>
    <w:rsid w:val="0095060A"/>
    <w:rsid w:val="00950665"/>
    <w:rsid w:val="009511BC"/>
    <w:rsid w:val="009511D3"/>
    <w:rsid w:val="00951CCC"/>
    <w:rsid w:val="00951F25"/>
    <w:rsid w:val="0095277D"/>
    <w:rsid w:val="00953391"/>
    <w:rsid w:val="0095384F"/>
    <w:rsid w:val="00953869"/>
    <w:rsid w:val="00953881"/>
    <w:rsid w:val="00953CB1"/>
    <w:rsid w:val="00953DBB"/>
    <w:rsid w:val="00953E2A"/>
    <w:rsid w:val="009552CE"/>
    <w:rsid w:val="009554AD"/>
    <w:rsid w:val="00955A06"/>
    <w:rsid w:val="00955A45"/>
    <w:rsid w:val="00955C44"/>
    <w:rsid w:val="00955EBA"/>
    <w:rsid w:val="009561F8"/>
    <w:rsid w:val="0095627D"/>
    <w:rsid w:val="009562FB"/>
    <w:rsid w:val="0095637C"/>
    <w:rsid w:val="0095697B"/>
    <w:rsid w:val="0095759A"/>
    <w:rsid w:val="009575F9"/>
    <w:rsid w:val="009579D3"/>
    <w:rsid w:val="00957A14"/>
    <w:rsid w:val="009600BA"/>
    <w:rsid w:val="00960463"/>
    <w:rsid w:val="009606B5"/>
    <w:rsid w:val="00960D96"/>
    <w:rsid w:val="0096150F"/>
    <w:rsid w:val="0096158E"/>
    <w:rsid w:val="009616E3"/>
    <w:rsid w:val="00962169"/>
    <w:rsid w:val="0096277A"/>
    <w:rsid w:val="00962DE1"/>
    <w:rsid w:val="009631E0"/>
    <w:rsid w:val="00963303"/>
    <w:rsid w:val="00963F71"/>
    <w:rsid w:val="00964168"/>
    <w:rsid w:val="009656F8"/>
    <w:rsid w:val="009658DB"/>
    <w:rsid w:val="00965B3A"/>
    <w:rsid w:val="00965BCD"/>
    <w:rsid w:val="00966833"/>
    <w:rsid w:val="0096698B"/>
    <w:rsid w:val="00966A72"/>
    <w:rsid w:val="00966F3F"/>
    <w:rsid w:val="00967526"/>
    <w:rsid w:val="00967EF5"/>
    <w:rsid w:val="00970048"/>
    <w:rsid w:val="0097079A"/>
    <w:rsid w:val="00970834"/>
    <w:rsid w:val="00971577"/>
    <w:rsid w:val="009716D8"/>
    <w:rsid w:val="0097199F"/>
    <w:rsid w:val="00971BA9"/>
    <w:rsid w:val="0097284D"/>
    <w:rsid w:val="009729B3"/>
    <w:rsid w:val="00972AED"/>
    <w:rsid w:val="009732BA"/>
    <w:rsid w:val="00973BFE"/>
    <w:rsid w:val="00973C6E"/>
    <w:rsid w:val="00973E4E"/>
    <w:rsid w:val="00974034"/>
    <w:rsid w:val="00975003"/>
    <w:rsid w:val="009755FB"/>
    <w:rsid w:val="00975D45"/>
    <w:rsid w:val="00975DA0"/>
    <w:rsid w:val="00976A44"/>
    <w:rsid w:val="00976DB3"/>
    <w:rsid w:val="009772DA"/>
    <w:rsid w:val="0097744E"/>
    <w:rsid w:val="0097792A"/>
    <w:rsid w:val="00977CB7"/>
    <w:rsid w:val="009802E5"/>
    <w:rsid w:val="0098031A"/>
    <w:rsid w:val="009811F9"/>
    <w:rsid w:val="00982347"/>
    <w:rsid w:val="00982687"/>
    <w:rsid w:val="009830E6"/>
    <w:rsid w:val="00983574"/>
    <w:rsid w:val="0098365C"/>
    <w:rsid w:val="00983F85"/>
    <w:rsid w:val="00984C99"/>
    <w:rsid w:val="009850D5"/>
    <w:rsid w:val="009864C5"/>
    <w:rsid w:val="009870EC"/>
    <w:rsid w:val="009875E1"/>
    <w:rsid w:val="0098797A"/>
    <w:rsid w:val="0099027A"/>
    <w:rsid w:val="00990C2E"/>
    <w:rsid w:val="00990D80"/>
    <w:rsid w:val="00990E4B"/>
    <w:rsid w:val="00991018"/>
    <w:rsid w:val="009920A4"/>
    <w:rsid w:val="00992599"/>
    <w:rsid w:val="00992EE6"/>
    <w:rsid w:val="00993036"/>
    <w:rsid w:val="009934CB"/>
    <w:rsid w:val="00993F30"/>
    <w:rsid w:val="009940F1"/>
    <w:rsid w:val="00994A12"/>
    <w:rsid w:val="00994BED"/>
    <w:rsid w:val="00994C08"/>
    <w:rsid w:val="009955DE"/>
    <w:rsid w:val="00995656"/>
    <w:rsid w:val="00996015"/>
    <w:rsid w:val="0099672C"/>
    <w:rsid w:val="009967E4"/>
    <w:rsid w:val="009969B4"/>
    <w:rsid w:val="00997801"/>
    <w:rsid w:val="00997BBE"/>
    <w:rsid w:val="009A068D"/>
    <w:rsid w:val="009A0BF9"/>
    <w:rsid w:val="009A0C6C"/>
    <w:rsid w:val="009A0DF0"/>
    <w:rsid w:val="009A0EBE"/>
    <w:rsid w:val="009A0FFA"/>
    <w:rsid w:val="009A1097"/>
    <w:rsid w:val="009A1FEA"/>
    <w:rsid w:val="009A1FEB"/>
    <w:rsid w:val="009A23A3"/>
    <w:rsid w:val="009A249E"/>
    <w:rsid w:val="009A271D"/>
    <w:rsid w:val="009A2A6A"/>
    <w:rsid w:val="009A2BB1"/>
    <w:rsid w:val="009A2CC5"/>
    <w:rsid w:val="009A2D54"/>
    <w:rsid w:val="009A2F11"/>
    <w:rsid w:val="009A32B5"/>
    <w:rsid w:val="009A38EE"/>
    <w:rsid w:val="009A3A85"/>
    <w:rsid w:val="009A3C48"/>
    <w:rsid w:val="009A4123"/>
    <w:rsid w:val="009A42E4"/>
    <w:rsid w:val="009A442D"/>
    <w:rsid w:val="009A4498"/>
    <w:rsid w:val="009A4626"/>
    <w:rsid w:val="009A494B"/>
    <w:rsid w:val="009A4AE9"/>
    <w:rsid w:val="009A4C06"/>
    <w:rsid w:val="009A4C0B"/>
    <w:rsid w:val="009A4C26"/>
    <w:rsid w:val="009A4DAF"/>
    <w:rsid w:val="009A50A6"/>
    <w:rsid w:val="009A524F"/>
    <w:rsid w:val="009A53A9"/>
    <w:rsid w:val="009A58D3"/>
    <w:rsid w:val="009A5ADE"/>
    <w:rsid w:val="009A5E46"/>
    <w:rsid w:val="009A60C5"/>
    <w:rsid w:val="009A66C4"/>
    <w:rsid w:val="009A69C8"/>
    <w:rsid w:val="009A6B28"/>
    <w:rsid w:val="009A71FF"/>
    <w:rsid w:val="009A772F"/>
    <w:rsid w:val="009A7D7C"/>
    <w:rsid w:val="009B05EF"/>
    <w:rsid w:val="009B0AA7"/>
    <w:rsid w:val="009B1581"/>
    <w:rsid w:val="009B1FDA"/>
    <w:rsid w:val="009B220C"/>
    <w:rsid w:val="009B2716"/>
    <w:rsid w:val="009B2A43"/>
    <w:rsid w:val="009B2BC8"/>
    <w:rsid w:val="009B2BE7"/>
    <w:rsid w:val="009B3427"/>
    <w:rsid w:val="009B36C0"/>
    <w:rsid w:val="009B46A7"/>
    <w:rsid w:val="009B48D9"/>
    <w:rsid w:val="009B5764"/>
    <w:rsid w:val="009B58F3"/>
    <w:rsid w:val="009B5AA0"/>
    <w:rsid w:val="009B6AC4"/>
    <w:rsid w:val="009B6B34"/>
    <w:rsid w:val="009B6FFB"/>
    <w:rsid w:val="009B7196"/>
    <w:rsid w:val="009B754C"/>
    <w:rsid w:val="009B7771"/>
    <w:rsid w:val="009B7A29"/>
    <w:rsid w:val="009B7BC4"/>
    <w:rsid w:val="009C085D"/>
    <w:rsid w:val="009C08E3"/>
    <w:rsid w:val="009C099B"/>
    <w:rsid w:val="009C0B8C"/>
    <w:rsid w:val="009C10DC"/>
    <w:rsid w:val="009C1CC8"/>
    <w:rsid w:val="009C1D2B"/>
    <w:rsid w:val="009C20FD"/>
    <w:rsid w:val="009C2111"/>
    <w:rsid w:val="009C23B2"/>
    <w:rsid w:val="009C30C1"/>
    <w:rsid w:val="009C3150"/>
    <w:rsid w:val="009C3445"/>
    <w:rsid w:val="009C34BB"/>
    <w:rsid w:val="009C38F1"/>
    <w:rsid w:val="009C47C7"/>
    <w:rsid w:val="009C56FA"/>
    <w:rsid w:val="009C6139"/>
    <w:rsid w:val="009C6476"/>
    <w:rsid w:val="009C6595"/>
    <w:rsid w:val="009C6E4D"/>
    <w:rsid w:val="009C76AA"/>
    <w:rsid w:val="009D0724"/>
    <w:rsid w:val="009D08E6"/>
    <w:rsid w:val="009D104F"/>
    <w:rsid w:val="009D1382"/>
    <w:rsid w:val="009D1B37"/>
    <w:rsid w:val="009D1FDC"/>
    <w:rsid w:val="009D25C3"/>
    <w:rsid w:val="009D2679"/>
    <w:rsid w:val="009D2B88"/>
    <w:rsid w:val="009D307F"/>
    <w:rsid w:val="009D33CC"/>
    <w:rsid w:val="009D389A"/>
    <w:rsid w:val="009D4482"/>
    <w:rsid w:val="009D501E"/>
    <w:rsid w:val="009D622C"/>
    <w:rsid w:val="009D65C8"/>
    <w:rsid w:val="009D6753"/>
    <w:rsid w:val="009D67DE"/>
    <w:rsid w:val="009D6927"/>
    <w:rsid w:val="009D77A8"/>
    <w:rsid w:val="009D7C65"/>
    <w:rsid w:val="009E0B72"/>
    <w:rsid w:val="009E0CD9"/>
    <w:rsid w:val="009E18DA"/>
    <w:rsid w:val="009E20D6"/>
    <w:rsid w:val="009E3914"/>
    <w:rsid w:val="009E4754"/>
    <w:rsid w:val="009E4B2A"/>
    <w:rsid w:val="009E4FDC"/>
    <w:rsid w:val="009E544A"/>
    <w:rsid w:val="009E5654"/>
    <w:rsid w:val="009E5ADC"/>
    <w:rsid w:val="009E5F94"/>
    <w:rsid w:val="009E64FB"/>
    <w:rsid w:val="009E65AD"/>
    <w:rsid w:val="009E68C7"/>
    <w:rsid w:val="009E69A7"/>
    <w:rsid w:val="009E6D2B"/>
    <w:rsid w:val="009E6D9F"/>
    <w:rsid w:val="009E700E"/>
    <w:rsid w:val="009E787C"/>
    <w:rsid w:val="009E7FDB"/>
    <w:rsid w:val="009F0B16"/>
    <w:rsid w:val="009F1632"/>
    <w:rsid w:val="009F1B16"/>
    <w:rsid w:val="009F207C"/>
    <w:rsid w:val="009F23B1"/>
    <w:rsid w:val="009F26C7"/>
    <w:rsid w:val="009F365A"/>
    <w:rsid w:val="009F369F"/>
    <w:rsid w:val="009F3DA3"/>
    <w:rsid w:val="009F42CB"/>
    <w:rsid w:val="009F4B75"/>
    <w:rsid w:val="009F4CBB"/>
    <w:rsid w:val="009F572C"/>
    <w:rsid w:val="009F5839"/>
    <w:rsid w:val="009F58B5"/>
    <w:rsid w:val="009F63E7"/>
    <w:rsid w:val="009F64DF"/>
    <w:rsid w:val="009F689A"/>
    <w:rsid w:val="009F6D56"/>
    <w:rsid w:val="009F70DC"/>
    <w:rsid w:val="009F718D"/>
    <w:rsid w:val="009F7A5D"/>
    <w:rsid w:val="009F7EF4"/>
    <w:rsid w:val="00A00127"/>
    <w:rsid w:val="00A00800"/>
    <w:rsid w:val="00A00BE2"/>
    <w:rsid w:val="00A00C40"/>
    <w:rsid w:val="00A01100"/>
    <w:rsid w:val="00A0119E"/>
    <w:rsid w:val="00A016D9"/>
    <w:rsid w:val="00A01F88"/>
    <w:rsid w:val="00A024C9"/>
    <w:rsid w:val="00A0333C"/>
    <w:rsid w:val="00A03C38"/>
    <w:rsid w:val="00A04541"/>
    <w:rsid w:val="00A047D2"/>
    <w:rsid w:val="00A04948"/>
    <w:rsid w:val="00A04986"/>
    <w:rsid w:val="00A04DD8"/>
    <w:rsid w:val="00A05208"/>
    <w:rsid w:val="00A056B6"/>
    <w:rsid w:val="00A05BC2"/>
    <w:rsid w:val="00A05C18"/>
    <w:rsid w:val="00A05C27"/>
    <w:rsid w:val="00A05E50"/>
    <w:rsid w:val="00A06B7C"/>
    <w:rsid w:val="00A0708E"/>
    <w:rsid w:val="00A10D73"/>
    <w:rsid w:val="00A11A5E"/>
    <w:rsid w:val="00A120A4"/>
    <w:rsid w:val="00A125F7"/>
    <w:rsid w:val="00A12763"/>
    <w:rsid w:val="00A129B4"/>
    <w:rsid w:val="00A12F34"/>
    <w:rsid w:val="00A13446"/>
    <w:rsid w:val="00A134C4"/>
    <w:rsid w:val="00A1403B"/>
    <w:rsid w:val="00A14416"/>
    <w:rsid w:val="00A144C7"/>
    <w:rsid w:val="00A149F3"/>
    <w:rsid w:val="00A14D9A"/>
    <w:rsid w:val="00A14E5C"/>
    <w:rsid w:val="00A14F81"/>
    <w:rsid w:val="00A156C7"/>
    <w:rsid w:val="00A1583B"/>
    <w:rsid w:val="00A163BB"/>
    <w:rsid w:val="00A16A13"/>
    <w:rsid w:val="00A16CC3"/>
    <w:rsid w:val="00A16CDD"/>
    <w:rsid w:val="00A17171"/>
    <w:rsid w:val="00A179E1"/>
    <w:rsid w:val="00A17B6F"/>
    <w:rsid w:val="00A208F0"/>
    <w:rsid w:val="00A20A12"/>
    <w:rsid w:val="00A21141"/>
    <w:rsid w:val="00A211C1"/>
    <w:rsid w:val="00A21206"/>
    <w:rsid w:val="00A219D8"/>
    <w:rsid w:val="00A21BF1"/>
    <w:rsid w:val="00A21DCC"/>
    <w:rsid w:val="00A21F0B"/>
    <w:rsid w:val="00A220CA"/>
    <w:rsid w:val="00A22435"/>
    <w:rsid w:val="00A225DE"/>
    <w:rsid w:val="00A22882"/>
    <w:rsid w:val="00A23025"/>
    <w:rsid w:val="00A23A2B"/>
    <w:rsid w:val="00A23C16"/>
    <w:rsid w:val="00A23D70"/>
    <w:rsid w:val="00A24445"/>
    <w:rsid w:val="00A24AB3"/>
    <w:rsid w:val="00A2504A"/>
    <w:rsid w:val="00A26BD0"/>
    <w:rsid w:val="00A27BD4"/>
    <w:rsid w:val="00A3012A"/>
    <w:rsid w:val="00A301A0"/>
    <w:rsid w:val="00A3087A"/>
    <w:rsid w:val="00A30D50"/>
    <w:rsid w:val="00A30EA8"/>
    <w:rsid w:val="00A311C4"/>
    <w:rsid w:val="00A312D0"/>
    <w:rsid w:val="00A31AF9"/>
    <w:rsid w:val="00A31E23"/>
    <w:rsid w:val="00A32121"/>
    <w:rsid w:val="00A322DF"/>
    <w:rsid w:val="00A32A03"/>
    <w:rsid w:val="00A32E8F"/>
    <w:rsid w:val="00A332B0"/>
    <w:rsid w:val="00A33878"/>
    <w:rsid w:val="00A33CB1"/>
    <w:rsid w:val="00A3403B"/>
    <w:rsid w:val="00A34163"/>
    <w:rsid w:val="00A34207"/>
    <w:rsid w:val="00A34577"/>
    <w:rsid w:val="00A346CF"/>
    <w:rsid w:val="00A34C49"/>
    <w:rsid w:val="00A352AD"/>
    <w:rsid w:val="00A352D6"/>
    <w:rsid w:val="00A35AA5"/>
    <w:rsid w:val="00A35BBB"/>
    <w:rsid w:val="00A35F26"/>
    <w:rsid w:val="00A364E7"/>
    <w:rsid w:val="00A3737A"/>
    <w:rsid w:val="00A37B1D"/>
    <w:rsid w:val="00A37F6F"/>
    <w:rsid w:val="00A406A2"/>
    <w:rsid w:val="00A4071D"/>
    <w:rsid w:val="00A40EC9"/>
    <w:rsid w:val="00A40F97"/>
    <w:rsid w:val="00A418E6"/>
    <w:rsid w:val="00A41C1D"/>
    <w:rsid w:val="00A4223B"/>
    <w:rsid w:val="00A4224C"/>
    <w:rsid w:val="00A434A1"/>
    <w:rsid w:val="00A43D47"/>
    <w:rsid w:val="00A446D7"/>
    <w:rsid w:val="00A44D5E"/>
    <w:rsid w:val="00A44EB8"/>
    <w:rsid w:val="00A450E3"/>
    <w:rsid w:val="00A451C6"/>
    <w:rsid w:val="00A452BB"/>
    <w:rsid w:val="00A45487"/>
    <w:rsid w:val="00A454ED"/>
    <w:rsid w:val="00A455A7"/>
    <w:rsid w:val="00A456A9"/>
    <w:rsid w:val="00A45B2E"/>
    <w:rsid w:val="00A45C66"/>
    <w:rsid w:val="00A461BB"/>
    <w:rsid w:val="00A46522"/>
    <w:rsid w:val="00A46527"/>
    <w:rsid w:val="00A46629"/>
    <w:rsid w:val="00A468D7"/>
    <w:rsid w:val="00A46C34"/>
    <w:rsid w:val="00A46E10"/>
    <w:rsid w:val="00A47BB8"/>
    <w:rsid w:val="00A50647"/>
    <w:rsid w:val="00A50976"/>
    <w:rsid w:val="00A50DDD"/>
    <w:rsid w:val="00A50F42"/>
    <w:rsid w:val="00A51B53"/>
    <w:rsid w:val="00A51DFA"/>
    <w:rsid w:val="00A51E07"/>
    <w:rsid w:val="00A5201F"/>
    <w:rsid w:val="00A521C7"/>
    <w:rsid w:val="00A52B7E"/>
    <w:rsid w:val="00A52B9F"/>
    <w:rsid w:val="00A52FCA"/>
    <w:rsid w:val="00A5328F"/>
    <w:rsid w:val="00A5409C"/>
    <w:rsid w:val="00A55E45"/>
    <w:rsid w:val="00A56830"/>
    <w:rsid w:val="00A569FC"/>
    <w:rsid w:val="00A56C11"/>
    <w:rsid w:val="00A56ED0"/>
    <w:rsid w:val="00A56FDC"/>
    <w:rsid w:val="00A572A7"/>
    <w:rsid w:val="00A578B3"/>
    <w:rsid w:val="00A579EF"/>
    <w:rsid w:val="00A57E99"/>
    <w:rsid w:val="00A609D8"/>
    <w:rsid w:val="00A60C68"/>
    <w:rsid w:val="00A60E95"/>
    <w:rsid w:val="00A616BE"/>
    <w:rsid w:val="00A6282D"/>
    <w:rsid w:val="00A63272"/>
    <w:rsid w:val="00A63805"/>
    <w:rsid w:val="00A63A1B"/>
    <w:rsid w:val="00A64038"/>
    <w:rsid w:val="00A640B1"/>
    <w:rsid w:val="00A64842"/>
    <w:rsid w:val="00A64C7A"/>
    <w:rsid w:val="00A6517A"/>
    <w:rsid w:val="00A652CC"/>
    <w:rsid w:val="00A65315"/>
    <w:rsid w:val="00A654FA"/>
    <w:rsid w:val="00A6578A"/>
    <w:rsid w:val="00A66322"/>
    <w:rsid w:val="00A66ACB"/>
    <w:rsid w:val="00A66CE4"/>
    <w:rsid w:val="00A6720F"/>
    <w:rsid w:val="00A67808"/>
    <w:rsid w:val="00A67B37"/>
    <w:rsid w:val="00A67D0E"/>
    <w:rsid w:val="00A67D51"/>
    <w:rsid w:val="00A70287"/>
    <w:rsid w:val="00A705C6"/>
    <w:rsid w:val="00A70BD3"/>
    <w:rsid w:val="00A7110D"/>
    <w:rsid w:val="00A711E7"/>
    <w:rsid w:val="00A71216"/>
    <w:rsid w:val="00A71CBE"/>
    <w:rsid w:val="00A72310"/>
    <w:rsid w:val="00A7265F"/>
    <w:rsid w:val="00A72810"/>
    <w:rsid w:val="00A73516"/>
    <w:rsid w:val="00A73725"/>
    <w:rsid w:val="00A73A89"/>
    <w:rsid w:val="00A73D0E"/>
    <w:rsid w:val="00A7446F"/>
    <w:rsid w:val="00A751C6"/>
    <w:rsid w:val="00A7539E"/>
    <w:rsid w:val="00A7547F"/>
    <w:rsid w:val="00A7561C"/>
    <w:rsid w:val="00A766C5"/>
    <w:rsid w:val="00A7702E"/>
    <w:rsid w:val="00A7716A"/>
    <w:rsid w:val="00A775AD"/>
    <w:rsid w:val="00A779F3"/>
    <w:rsid w:val="00A77F0A"/>
    <w:rsid w:val="00A77F95"/>
    <w:rsid w:val="00A80076"/>
    <w:rsid w:val="00A8046D"/>
    <w:rsid w:val="00A80F6E"/>
    <w:rsid w:val="00A80FD0"/>
    <w:rsid w:val="00A815BF"/>
    <w:rsid w:val="00A81777"/>
    <w:rsid w:val="00A819A1"/>
    <w:rsid w:val="00A81D05"/>
    <w:rsid w:val="00A82426"/>
    <w:rsid w:val="00A8291B"/>
    <w:rsid w:val="00A82BBF"/>
    <w:rsid w:val="00A83BA5"/>
    <w:rsid w:val="00A83DEB"/>
    <w:rsid w:val="00A84AD7"/>
    <w:rsid w:val="00A85101"/>
    <w:rsid w:val="00A855FB"/>
    <w:rsid w:val="00A85A1A"/>
    <w:rsid w:val="00A85E0B"/>
    <w:rsid w:val="00A8698D"/>
    <w:rsid w:val="00A86A57"/>
    <w:rsid w:val="00A86EEE"/>
    <w:rsid w:val="00A87290"/>
    <w:rsid w:val="00A87D8E"/>
    <w:rsid w:val="00A87F4E"/>
    <w:rsid w:val="00A9024F"/>
    <w:rsid w:val="00A90432"/>
    <w:rsid w:val="00A908D5"/>
    <w:rsid w:val="00A90D11"/>
    <w:rsid w:val="00A90DD7"/>
    <w:rsid w:val="00A90EF6"/>
    <w:rsid w:val="00A90FDD"/>
    <w:rsid w:val="00A910F8"/>
    <w:rsid w:val="00A911DD"/>
    <w:rsid w:val="00A9170E"/>
    <w:rsid w:val="00A91871"/>
    <w:rsid w:val="00A91AC4"/>
    <w:rsid w:val="00A92515"/>
    <w:rsid w:val="00A937E0"/>
    <w:rsid w:val="00A93ACC"/>
    <w:rsid w:val="00A93CCE"/>
    <w:rsid w:val="00A93EC8"/>
    <w:rsid w:val="00A94046"/>
    <w:rsid w:val="00A9437B"/>
    <w:rsid w:val="00A94788"/>
    <w:rsid w:val="00A94826"/>
    <w:rsid w:val="00A94C42"/>
    <w:rsid w:val="00A94E8D"/>
    <w:rsid w:val="00A95D0D"/>
    <w:rsid w:val="00A95D82"/>
    <w:rsid w:val="00A95E77"/>
    <w:rsid w:val="00A95FF3"/>
    <w:rsid w:val="00A96486"/>
    <w:rsid w:val="00A9665A"/>
    <w:rsid w:val="00A9668B"/>
    <w:rsid w:val="00A9671F"/>
    <w:rsid w:val="00A97198"/>
    <w:rsid w:val="00A974F4"/>
    <w:rsid w:val="00A9767A"/>
    <w:rsid w:val="00A97B57"/>
    <w:rsid w:val="00A97D45"/>
    <w:rsid w:val="00A97D99"/>
    <w:rsid w:val="00AA002C"/>
    <w:rsid w:val="00AA02DE"/>
    <w:rsid w:val="00AA04D9"/>
    <w:rsid w:val="00AA0ABF"/>
    <w:rsid w:val="00AA0E74"/>
    <w:rsid w:val="00AA16D2"/>
    <w:rsid w:val="00AA16E2"/>
    <w:rsid w:val="00AA1703"/>
    <w:rsid w:val="00AA1AB5"/>
    <w:rsid w:val="00AA1B89"/>
    <w:rsid w:val="00AA1C7F"/>
    <w:rsid w:val="00AA1E97"/>
    <w:rsid w:val="00AA1F37"/>
    <w:rsid w:val="00AA3517"/>
    <w:rsid w:val="00AA4DA2"/>
    <w:rsid w:val="00AA5DFD"/>
    <w:rsid w:val="00AA5F48"/>
    <w:rsid w:val="00AA6117"/>
    <w:rsid w:val="00AA63E1"/>
    <w:rsid w:val="00AA6611"/>
    <w:rsid w:val="00AA6DE6"/>
    <w:rsid w:val="00AA75D4"/>
    <w:rsid w:val="00AA7ADC"/>
    <w:rsid w:val="00AA7F72"/>
    <w:rsid w:val="00AB006A"/>
    <w:rsid w:val="00AB081C"/>
    <w:rsid w:val="00AB11A2"/>
    <w:rsid w:val="00AB12E0"/>
    <w:rsid w:val="00AB1495"/>
    <w:rsid w:val="00AB18C1"/>
    <w:rsid w:val="00AB228F"/>
    <w:rsid w:val="00AB2B01"/>
    <w:rsid w:val="00AB2B7F"/>
    <w:rsid w:val="00AB2FF8"/>
    <w:rsid w:val="00AB3461"/>
    <w:rsid w:val="00AB408A"/>
    <w:rsid w:val="00AB44A5"/>
    <w:rsid w:val="00AB4576"/>
    <w:rsid w:val="00AB4D3B"/>
    <w:rsid w:val="00AB4E4A"/>
    <w:rsid w:val="00AB5BD1"/>
    <w:rsid w:val="00AB5EC5"/>
    <w:rsid w:val="00AB6DE2"/>
    <w:rsid w:val="00AB7165"/>
    <w:rsid w:val="00AB7282"/>
    <w:rsid w:val="00AB7597"/>
    <w:rsid w:val="00AB796D"/>
    <w:rsid w:val="00AB7E48"/>
    <w:rsid w:val="00AC028A"/>
    <w:rsid w:val="00AC0849"/>
    <w:rsid w:val="00AC0D95"/>
    <w:rsid w:val="00AC175B"/>
    <w:rsid w:val="00AC2187"/>
    <w:rsid w:val="00AC268B"/>
    <w:rsid w:val="00AC2F3D"/>
    <w:rsid w:val="00AC3293"/>
    <w:rsid w:val="00AC3480"/>
    <w:rsid w:val="00AC35F0"/>
    <w:rsid w:val="00AC3916"/>
    <w:rsid w:val="00AC3CD9"/>
    <w:rsid w:val="00AC4567"/>
    <w:rsid w:val="00AC4870"/>
    <w:rsid w:val="00AC4B66"/>
    <w:rsid w:val="00AC4BA6"/>
    <w:rsid w:val="00AC5005"/>
    <w:rsid w:val="00AC5007"/>
    <w:rsid w:val="00AC50FA"/>
    <w:rsid w:val="00AC58ED"/>
    <w:rsid w:val="00AC5C23"/>
    <w:rsid w:val="00AC5F10"/>
    <w:rsid w:val="00AC6539"/>
    <w:rsid w:val="00AC6BED"/>
    <w:rsid w:val="00AC6DF6"/>
    <w:rsid w:val="00AC6EB4"/>
    <w:rsid w:val="00AC726D"/>
    <w:rsid w:val="00AC79AF"/>
    <w:rsid w:val="00AC7A6D"/>
    <w:rsid w:val="00AC7B16"/>
    <w:rsid w:val="00AD02B3"/>
    <w:rsid w:val="00AD030D"/>
    <w:rsid w:val="00AD0D76"/>
    <w:rsid w:val="00AD1D43"/>
    <w:rsid w:val="00AD22B3"/>
    <w:rsid w:val="00AD2425"/>
    <w:rsid w:val="00AD2A59"/>
    <w:rsid w:val="00AD2C48"/>
    <w:rsid w:val="00AD36B7"/>
    <w:rsid w:val="00AD3818"/>
    <w:rsid w:val="00AD3C8F"/>
    <w:rsid w:val="00AD42A0"/>
    <w:rsid w:val="00AD42C3"/>
    <w:rsid w:val="00AD482C"/>
    <w:rsid w:val="00AD4AF8"/>
    <w:rsid w:val="00AD4D7D"/>
    <w:rsid w:val="00AD57FB"/>
    <w:rsid w:val="00AD5A64"/>
    <w:rsid w:val="00AD5C51"/>
    <w:rsid w:val="00AD61B7"/>
    <w:rsid w:val="00AD6745"/>
    <w:rsid w:val="00AD6BCA"/>
    <w:rsid w:val="00AD73FE"/>
    <w:rsid w:val="00AD7589"/>
    <w:rsid w:val="00AE0323"/>
    <w:rsid w:val="00AE033D"/>
    <w:rsid w:val="00AE09B1"/>
    <w:rsid w:val="00AE1163"/>
    <w:rsid w:val="00AE2185"/>
    <w:rsid w:val="00AE3046"/>
    <w:rsid w:val="00AE311B"/>
    <w:rsid w:val="00AE3460"/>
    <w:rsid w:val="00AE3A06"/>
    <w:rsid w:val="00AE3BCB"/>
    <w:rsid w:val="00AE40E1"/>
    <w:rsid w:val="00AE45AD"/>
    <w:rsid w:val="00AE4F49"/>
    <w:rsid w:val="00AE4F5B"/>
    <w:rsid w:val="00AE5832"/>
    <w:rsid w:val="00AE5B9E"/>
    <w:rsid w:val="00AE6054"/>
    <w:rsid w:val="00AE6290"/>
    <w:rsid w:val="00AE664F"/>
    <w:rsid w:val="00AE6749"/>
    <w:rsid w:val="00AE67AB"/>
    <w:rsid w:val="00AE688E"/>
    <w:rsid w:val="00AE714C"/>
    <w:rsid w:val="00AE7E44"/>
    <w:rsid w:val="00AF0307"/>
    <w:rsid w:val="00AF03B3"/>
    <w:rsid w:val="00AF07FB"/>
    <w:rsid w:val="00AF1007"/>
    <w:rsid w:val="00AF1200"/>
    <w:rsid w:val="00AF13BE"/>
    <w:rsid w:val="00AF1E4A"/>
    <w:rsid w:val="00AF2462"/>
    <w:rsid w:val="00AF2983"/>
    <w:rsid w:val="00AF2B28"/>
    <w:rsid w:val="00AF309F"/>
    <w:rsid w:val="00AF318C"/>
    <w:rsid w:val="00AF31F4"/>
    <w:rsid w:val="00AF3372"/>
    <w:rsid w:val="00AF3401"/>
    <w:rsid w:val="00AF3C8B"/>
    <w:rsid w:val="00AF3D70"/>
    <w:rsid w:val="00AF3FF9"/>
    <w:rsid w:val="00AF45CD"/>
    <w:rsid w:val="00AF4804"/>
    <w:rsid w:val="00AF4E8B"/>
    <w:rsid w:val="00AF5805"/>
    <w:rsid w:val="00AF58B9"/>
    <w:rsid w:val="00AF614A"/>
    <w:rsid w:val="00AF6483"/>
    <w:rsid w:val="00AF6557"/>
    <w:rsid w:val="00AF74B1"/>
    <w:rsid w:val="00AF762F"/>
    <w:rsid w:val="00AF77E5"/>
    <w:rsid w:val="00AF787F"/>
    <w:rsid w:val="00AF7A1A"/>
    <w:rsid w:val="00B00220"/>
    <w:rsid w:val="00B00B0C"/>
    <w:rsid w:val="00B02377"/>
    <w:rsid w:val="00B02618"/>
    <w:rsid w:val="00B02B74"/>
    <w:rsid w:val="00B02FC8"/>
    <w:rsid w:val="00B03215"/>
    <w:rsid w:val="00B03A16"/>
    <w:rsid w:val="00B03AB4"/>
    <w:rsid w:val="00B03E91"/>
    <w:rsid w:val="00B0408D"/>
    <w:rsid w:val="00B04712"/>
    <w:rsid w:val="00B051A4"/>
    <w:rsid w:val="00B0537B"/>
    <w:rsid w:val="00B05726"/>
    <w:rsid w:val="00B05F2A"/>
    <w:rsid w:val="00B065A3"/>
    <w:rsid w:val="00B06FC4"/>
    <w:rsid w:val="00B1002C"/>
    <w:rsid w:val="00B1055F"/>
    <w:rsid w:val="00B105D9"/>
    <w:rsid w:val="00B109C2"/>
    <w:rsid w:val="00B10E91"/>
    <w:rsid w:val="00B10EDA"/>
    <w:rsid w:val="00B10F4F"/>
    <w:rsid w:val="00B10F82"/>
    <w:rsid w:val="00B112CC"/>
    <w:rsid w:val="00B11355"/>
    <w:rsid w:val="00B1135D"/>
    <w:rsid w:val="00B115A1"/>
    <w:rsid w:val="00B115AA"/>
    <w:rsid w:val="00B11657"/>
    <w:rsid w:val="00B123C4"/>
    <w:rsid w:val="00B123CC"/>
    <w:rsid w:val="00B12DB3"/>
    <w:rsid w:val="00B12E9D"/>
    <w:rsid w:val="00B12F71"/>
    <w:rsid w:val="00B12FB7"/>
    <w:rsid w:val="00B13C04"/>
    <w:rsid w:val="00B14771"/>
    <w:rsid w:val="00B14A46"/>
    <w:rsid w:val="00B14BCC"/>
    <w:rsid w:val="00B151A3"/>
    <w:rsid w:val="00B151E4"/>
    <w:rsid w:val="00B15DD0"/>
    <w:rsid w:val="00B1670A"/>
    <w:rsid w:val="00B16927"/>
    <w:rsid w:val="00B16969"/>
    <w:rsid w:val="00B16B08"/>
    <w:rsid w:val="00B16D6C"/>
    <w:rsid w:val="00B1751A"/>
    <w:rsid w:val="00B17710"/>
    <w:rsid w:val="00B202F3"/>
    <w:rsid w:val="00B2061D"/>
    <w:rsid w:val="00B20ECB"/>
    <w:rsid w:val="00B20F22"/>
    <w:rsid w:val="00B21CE7"/>
    <w:rsid w:val="00B223E0"/>
    <w:rsid w:val="00B22491"/>
    <w:rsid w:val="00B22547"/>
    <w:rsid w:val="00B22959"/>
    <w:rsid w:val="00B229D7"/>
    <w:rsid w:val="00B22AC1"/>
    <w:rsid w:val="00B22D19"/>
    <w:rsid w:val="00B22E79"/>
    <w:rsid w:val="00B2311F"/>
    <w:rsid w:val="00B2382C"/>
    <w:rsid w:val="00B24203"/>
    <w:rsid w:val="00B247FC"/>
    <w:rsid w:val="00B25560"/>
    <w:rsid w:val="00B255FA"/>
    <w:rsid w:val="00B259EA"/>
    <w:rsid w:val="00B25D77"/>
    <w:rsid w:val="00B27395"/>
    <w:rsid w:val="00B276CB"/>
    <w:rsid w:val="00B27767"/>
    <w:rsid w:val="00B27E30"/>
    <w:rsid w:val="00B27F83"/>
    <w:rsid w:val="00B30992"/>
    <w:rsid w:val="00B31CEF"/>
    <w:rsid w:val="00B31DB4"/>
    <w:rsid w:val="00B31FC5"/>
    <w:rsid w:val="00B320A6"/>
    <w:rsid w:val="00B32305"/>
    <w:rsid w:val="00B32642"/>
    <w:rsid w:val="00B327A3"/>
    <w:rsid w:val="00B32B45"/>
    <w:rsid w:val="00B33A36"/>
    <w:rsid w:val="00B33D5A"/>
    <w:rsid w:val="00B33F70"/>
    <w:rsid w:val="00B343E0"/>
    <w:rsid w:val="00B34C24"/>
    <w:rsid w:val="00B34CCE"/>
    <w:rsid w:val="00B356E2"/>
    <w:rsid w:val="00B3577C"/>
    <w:rsid w:val="00B35C7D"/>
    <w:rsid w:val="00B36102"/>
    <w:rsid w:val="00B36756"/>
    <w:rsid w:val="00B36CE8"/>
    <w:rsid w:val="00B37757"/>
    <w:rsid w:val="00B37855"/>
    <w:rsid w:val="00B37BF6"/>
    <w:rsid w:val="00B400A6"/>
    <w:rsid w:val="00B407F5"/>
    <w:rsid w:val="00B40A9F"/>
    <w:rsid w:val="00B40D40"/>
    <w:rsid w:val="00B418DE"/>
    <w:rsid w:val="00B41B7E"/>
    <w:rsid w:val="00B4240F"/>
    <w:rsid w:val="00B43289"/>
    <w:rsid w:val="00B436D6"/>
    <w:rsid w:val="00B438C1"/>
    <w:rsid w:val="00B43943"/>
    <w:rsid w:val="00B43B80"/>
    <w:rsid w:val="00B43C4A"/>
    <w:rsid w:val="00B440F8"/>
    <w:rsid w:val="00B44811"/>
    <w:rsid w:val="00B44B7B"/>
    <w:rsid w:val="00B44E77"/>
    <w:rsid w:val="00B45814"/>
    <w:rsid w:val="00B45C8E"/>
    <w:rsid w:val="00B461D9"/>
    <w:rsid w:val="00B4645F"/>
    <w:rsid w:val="00B46AF8"/>
    <w:rsid w:val="00B46C6D"/>
    <w:rsid w:val="00B471CE"/>
    <w:rsid w:val="00B475F6"/>
    <w:rsid w:val="00B47632"/>
    <w:rsid w:val="00B478CE"/>
    <w:rsid w:val="00B47B69"/>
    <w:rsid w:val="00B47C6B"/>
    <w:rsid w:val="00B50A5B"/>
    <w:rsid w:val="00B50CA1"/>
    <w:rsid w:val="00B50F3A"/>
    <w:rsid w:val="00B51B4E"/>
    <w:rsid w:val="00B51F3F"/>
    <w:rsid w:val="00B51FDB"/>
    <w:rsid w:val="00B5270B"/>
    <w:rsid w:val="00B527EB"/>
    <w:rsid w:val="00B530A9"/>
    <w:rsid w:val="00B53255"/>
    <w:rsid w:val="00B53626"/>
    <w:rsid w:val="00B544D0"/>
    <w:rsid w:val="00B548D6"/>
    <w:rsid w:val="00B554B7"/>
    <w:rsid w:val="00B5561B"/>
    <w:rsid w:val="00B55B64"/>
    <w:rsid w:val="00B55D5B"/>
    <w:rsid w:val="00B563D6"/>
    <w:rsid w:val="00B56798"/>
    <w:rsid w:val="00B56959"/>
    <w:rsid w:val="00B56AF3"/>
    <w:rsid w:val="00B56EAB"/>
    <w:rsid w:val="00B56FC5"/>
    <w:rsid w:val="00B57155"/>
    <w:rsid w:val="00B57466"/>
    <w:rsid w:val="00B576EC"/>
    <w:rsid w:val="00B577CB"/>
    <w:rsid w:val="00B577CC"/>
    <w:rsid w:val="00B5780C"/>
    <w:rsid w:val="00B57AB2"/>
    <w:rsid w:val="00B57B28"/>
    <w:rsid w:val="00B57BEB"/>
    <w:rsid w:val="00B6018D"/>
    <w:rsid w:val="00B606BA"/>
    <w:rsid w:val="00B61220"/>
    <w:rsid w:val="00B61663"/>
    <w:rsid w:val="00B61699"/>
    <w:rsid w:val="00B61928"/>
    <w:rsid w:val="00B62977"/>
    <w:rsid w:val="00B62A43"/>
    <w:rsid w:val="00B63852"/>
    <w:rsid w:val="00B63923"/>
    <w:rsid w:val="00B63BBA"/>
    <w:rsid w:val="00B646A9"/>
    <w:rsid w:val="00B64DDB"/>
    <w:rsid w:val="00B650C0"/>
    <w:rsid w:val="00B650C1"/>
    <w:rsid w:val="00B6581C"/>
    <w:rsid w:val="00B65A94"/>
    <w:rsid w:val="00B6630D"/>
    <w:rsid w:val="00B6666E"/>
    <w:rsid w:val="00B66905"/>
    <w:rsid w:val="00B67542"/>
    <w:rsid w:val="00B678EA"/>
    <w:rsid w:val="00B67A20"/>
    <w:rsid w:val="00B67C5B"/>
    <w:rsid w:val="00B67CB1"/>
    <w:rsid w:val="00B703CA"/>
    <w:rsid w:val="00B705AE"/>
    <w:rsid w:val="00B709D9"/>
    <w:rsid w:val="00B710D2"/>
    <w:rsid w:val="00B7112B"/>
    <w:rsid w:val="00B71213"/>
    <w:rsid w:val="00B713A2"/>
    <w:rsid w:val="00B7192F"/>
    <w:rsid w:val="00B719D7"/>
    <w:rsid w:val="00B719D8"/>
    <w:rsid w:val="00B71D5E"/>
    <w:rsid w:val="00B71EE6"/>
    <w:rsid w:val="00B720EB"/>
    <w:rsid w:val="00B72650"/>
    <w:rsid w:val="00B72B3C"/>
    <w:rsid w:val="00B73006"/>
    <w:rsid w:val="00B731FA"/>
    <w:rsid w:val="00B736D9"/>
    <w:rsid w:val="00B73AD1"/>
    <w:rsid w:val="00B73D85"/>
    <w:rsid w:val="00B741D2"/>
    <w:rsid w:val="00B747EC"/>
    <w:rsid w:val="00B749BD"/>
    <w:rsid w:val="00B74B3F"/>
    <w:rsid w:val="00B74F75"/>
    <w:rsid w:val="00B752EA"/>
    <w:rsid w:val="00B7543A"/>
    <w:rsid w:val="00B7601F"/>
    <w:rsid w:val="00B761B2"/>
    <w:rsid w:val="00B76722"/>
    <w:rsid w:val="00B7770E"/>
    <w:rsid w:val="00B77BDD"/>
    <w:rsid w:val="00B77EA3"/>
    <w:rsid w:val="00B77FA0"/>
    <w:rsid w:val="00B801B6"/>
    <w:rsid w:val="00B802C1"/>
    <w:rsid w:val="00B8120E"/>
    <w:rsid w:val="00B8189E"/>
    <w:rsid w:val="00B81C61"/>
    <w:rsid w:val="00B81F22"/>
    <w:rsid w:val="00B82EBA"/>
    <w:rsid w:val="00B83387"/>
    <w:rsid w:val="00B83C0F"/>
    <w:rsid w:val="00B83E9D"/>
    <w:rsid w:val="00B84C82"/>
    <w:rsid w:val="00B84CDA"/>
    <w:rsid w:val="00B84D08"/>
    <w:rsid w:val="00B84F4F"/>
    <w:rsid w:val="00B850E9"/>
    <w:rsid w:val="00B8519D"/>
    <w:rsid w:val="00B85945"/>
    <w:rsid w:val="00B86195"/>
    <w:rsid w:val="00B8648D"/>
    <w:rsid w:val="00B86949"/>
    <w:rsid w:val="00B86FD4"/>
    <w:rsid w:val="00B87BA2"/>
    <w:rsid w:val="00B87E99"/>
    <w:rsid w:val="00B900DE"/>
    <w:rsid w:val="00B9029C"/>
    <w:rsid w:val="00B902B4"/>
    <w:rsid w:val="00B90869"/>
    <w:rsid w:val="00B90C41"/>
    <w:rsid w:val="00B90F21"/>
    <w:rsid w:val="00B9138F"/>
    <w:rsid w:val="00B91609"/>
    <w:rsid w:val="00B91826"/>
    <w:rsid w:val="00B91A99"/>
    <w:rsid w:val="00B91AC8"/>
    <w:rsid w:val="00B92024"/>
    <w:rsid w:val="00B9238F"/>
    <w:rsid w:val="00B9258F"/>
    <w:rsid w:val="00B92DD2"/>
    <w:rsid w:val="00B92E91"/>
    <w:rsid w:val="00B930F3"/>
    <w:rsid w:val="00B9393B"/>
    <w:rsid w:val="00B93AB4"/>
    <w:rsid w:val="00B93D4C"/>
    <w:rsid w:val="00B93E52"/>
    <w:rsid w:val="00B956A6"/>
    <w:rsid w:val="00B956AA"/>
    <w:rsid w:val="00B95BC6"/>
    <w:rsid w:val="00B96194"/>
    <w:rsid w:val="00B96704"/>
    <w:rsid w:val="00B973BF"/>
    <w:rsid w:val="00B974B8"/>
    <w:rsid w:val="00B97548"/>
    <w:rsid w:val="00B975C0"/>
    <w:rsid w:val="00BA0662"/>
    <w:rsid w:val="00BA0704"/>
    <w:rsid w:val="00BA0ECD"/>
    <w:rsid w:val="00BA1041"/>
    <w:rsid w:val="00BA169A"/>
    <w:rsid w:val="00BA1789"/>
    <w:rsid w:val="00BA1AE5"/>
    <w:rsid w:val="00BA1C46"/>
    <w:rsid w:val="00BA1FFF"/>
    <w:rsid w:val="00BA206D"/>
    <w:rsid w:val="00BA2347"/>
    <w:rsid w:val="00BA262E"/>
    <w:rsid w:val="00BA268E"/>
    <w:rsid w:val="00BA330A"/>
    <w:rsid w:val="00BA37F2"/>
    <w:rsid w:val="00BA3E09"/>
    <w:rsid w:val="00BA48E3"/>
    <w:rsid w:val="00BA4DA0"/>
    <w:rsid w:val="00BA5028"/>
    <w:rsid w:val="00BA50E6"/>
    <w:rsid w:val="00BA5D46"/>
    <w:rsid w:val="00BA649F"/>
    <w:rsid w:val="00BA65B6"/>
    <w:rsid w:val="00BA65C4"/>
    <w:rsid w:val="00BA6937"/>
    <w:rsid w:val="00BA6A2B"/>
    <w:rsid w:val="00BA73E2"/>
    <w:rsid w:val="00BA7D70"/>
    <w:rsid w:val="00BB05F7"/>
    <w:rsid w:val="00BB061E"/>
    <w:rsid w:val="00BB06CA"/>
    <w:rsid w:val="00BB072F"/>
    <w:rsid w:val="00BB111B"/>
    <w:rsid w:val="00BB11E9"/>
    <w:rsid w:val="00BB1793"/>
    <w:rsid w:val="00BB1F89"/>
    <w:rsid w:val="00BB261C"/>
    <w:rsid w:val="00BB33FC"/>
    <w:rsid w:val="00BB3428"/>
    <w:rsid w:val="00BB3FC7"/>
    <w:rsid w:val="00BB4C4A"/>
    <w:rsid w:val="00BB4C57"/>
    <w:rsid w:val="00BB4EF6"/>
    <w:rsid w:val="00BB5215"/>
    <w:rsid w:val="00BB59CE"/>
    <w:rsid w:val="00BB6487"/>
    <w:rsid w:val="00BB658B"/>
    <w:rsid w:val="00BB7979"/>
    <w:rsid w:val="00BB7B28"/>
    <w:rsid w:val="00BB7C66"/>
    <w:rsid w:val="00BB7CF7"/>
    <w:rsid w:val="00BC0D4C"/>
    <w:rsid w:val="00BC1995"/>
    <w:rsid w:val="00BC2190"/>
    <w:rsid w:val="00BC2D02"/>
    <w:rsid w:val="00BC3178"/>
    <w:rsid w:val="00BC34D9"/>
    <w:rsid w:val="00BC3F49"/>
    <w:rsid w:val="00BC4068"/>
    <w:rsid w:val="00BC4298"/>
    <w:rsid w:val="00BC447F"/>
    <w:rsid w:val="00BC5291"/>
    <w:rsid w:val="00BC5BC4"/>
    <w:rsid w:val="00BC66A3"/>
    <w:rsid w:val="00BC6784"/>
    <w:rsid w:val="00BC6963"/>
    <w:rsid w:val="00BC6BA9"/>
    <w:rsid w:val="00BC6C78"/>
    <w:rsid w:val="00BC6F92"/>
    <w:rsid w:val="00BC789C"/>
    <w:rsid w:val="00BD0591"/>
    <w:rsid w:val="00BD062A"/>
    <w:rsid w:val="00BD0BCA"/>
    <w:rsid w:val="00BD1194"/>
    <w:rsid w:val="00BD193A"/>
    <w:rsid w:val="00BD1AEA"/>
    <w:rsid w:val="00BD1B21"/>
    <w:rsid w:val="00BD23C6"/>
    <w:rsid w:val="00BD2F34"/>
    <w:rsid w:val="00BD3480"/>
    <w:rsid w:val="00BD3707"/>
    <w:rsid w:val="00BD37A0"/>
    <w:rsid w:val="00BD3BF7"/>
    <w:rsid w:val="00BD4154"/>
    <w:rsid w:val="00BD43C9"/>
    <w:rsid w:val="00BD47F7"/>
    <w:rsid w:val="00BD492F"/>
    <w:rsid w:val="00BD49C3"/>
    <w:rsid w:val="00BD4EB3"/>
    <w:rsid w:val="00BD4EE9"/>
    <w:rsid w:val="00BD5448"/>
    <w:rsid w:val="00BD5A2F"/>
    <w:rsid w:val="00BD5BE4"/>
    <w:rsid w:val="00BD5C4E"/>
    <w:rsid w:val="00BD6A3D"/>
    <w:rsid w:val="00BD6F47"/>
    <w:rsid w:val="00BD731D"/>
    <w:rsid w:val="00BE00FE"/>
    <w:rsid w:val="00BE0191"/>
    <w:rsid w:val="00BE0AE5"/>
    <w:rsid w:val="00BE0C6F"/>
    <w:rsid w:val="00BE0F9C"/>
    <w:rsid w:val="00BE116F"/>
    <w:rsid w:val="00BE13A9"/>
    <w:rsid w:val="00BE1DE3"/>
    <w:rsid w:val="00BE2435"/>
    <w:rsid w:val="00BE26FB"/>
    <w:rsid w:val="00BE3669"/>
    <w:rsid w:val="00BE369A"/>
    <w:rsid w:val="00BE39E1"/>
    <w:rsid w:val="00BE3F45"/>
    <w:rsid w:val="00BE423C"/>
    <w:rsid w:val="00BE4975"/>
    <w:rsid w:val="00BE4C36"/>
    <w:rsid w:val="00BE507C"/>
    <w:rsid w:val="00BE5E30"/>
    <w:rsid w:val="00BE5EDA"/>
    <w:rsid w:val="00BE5F69"/>
    <w:rsid w:val="00BE6004"/>
    <w:rsid w:val="00BE6A4A"/>
    <w:rsid w:val="00BE7BD8"/>
    <w:rsid w:val="00BF04D6"/>
    <w:rsid w:val="00BF08A7"/>
    <w:rsid w:val="00BF0B3B"/>
    <w:rsid w:val="00BF0C95"/>
    <w:rsid w:val="00BF0C97"/>
    <w:rsid w:val="00BF1340"/>
    <w:rsid w:val="00BF1537"/>
    <w:rsid w:val="00BF183A"/>
    <w:rsid w:val="00BF25B5"/>
    <w:rsid w:val="00BF2800"/>
    <w:rsid w:val="00BF284A"/>
    <w:rsid w:val="00BF2D23"/>
    <w:rsid w:val="00BF3129"/>
    <w:rsid w:val="00BF31AF"/>
    <w:rsid w:val="00BF330F"/>
    <w:rsid w:val="00BF3DF2"/>
    <w:rsid w:val="00BF3F91"/>
    <w:rsid w:val="00BF4691"/>
    <w:rsid w:val="00BF4AB3"/>
    <w:rsid w:val="00BF4FAA"/>
    <w:rsid w:val="00BF51A9"/>
    <w:rsid w:val="00BF5A5C"/>
    <w:rsid w:val="00BF5E6F"/>
    <w:rsid w:val="00BF66BA"/>
    <w:rsid w:val="00BF6AE7"/>
    <w:rsid w:val="00BF6E6C"/>
    <w:rsid w:val="00BF73C2"/>
    <w:rsid w:val="00C0120D"/>
    <w:rsid w:val="00C012A5"/>
    <w:rsid w:val="00C01483"/>
    <w:rsid w:val="00C017CE"/>
    <w:rsid w:val="00C01A38"/>
    <w:rsid w:val="00C01AAD"/>
    <w:rsid w:val="00C01B73"/>
    <w:rsid w:val="00C01BE3"/>
    <w:rsid w:val="00C01CDD"/>
    <w:rsid w:val="00C01F0E"/>
    <w:rsid w:val="00C026EA"/>
    <w:rsid w:val="00C02AD8"/>
    <w:rsid w:val="00C02E8A"/>
    <w:rsid w:val="00C03189"/>
    <w:rsid w:val="00C03495"/>
    <w:rsid w:val="00C034C7"/>
    <w:rsid w:val="00C037BD"/>
    <w:rsid w:val="00C04360"/>
    <w:rsid w:val="00C04ED6"/>
    <w:rsid w:val="00C04F8A"/>
    <w:rsid w:val="00C053BC"/>
    <w:rsid w:val="00C058B1"/>
    <w:rsid w:val="00C058B3"/>
    <w:rsid w:val="00C05C3D"/>
    <w:rsid w:val="00C05FBD"/>
    <w:rsid w:val="00C063CE"/>
    <w:rsid w:val="00C072D6"/>
    <w:rsid w:val="00C07371"/>
    <w:rsid w:val="00C1063A"/>
    <w:rsid w:val="00C107A5"/>
    <w:rsid w:val="00C10B5F"/>
    <w:rsid w:val="00C1101D"/>
    <w:rsid w:val="00C110DB"/>
    <w:rsid w:val="00C11CF3"/>
    <w:rsid w:val="00C129F5"/>
    <w:rsid w:val="00C12A9B"/>
    <w:rsid w:val="00C12CD0"/>
    <w:rsid w:val="00C13853"/>
    <w:rsid w:val="00C1394E"/>
    <w:rsid w:val="00C13A31"/>
    <w:rsid w:val="00C13C01"/>
    <w:rsid w:val="00C1420A"/>
    <w:rsid w:val="00C142A9"/>
    <w:rsid w:val="00C1484B"/>
    <w:rsid w:val="00C14C50"/>
    <w:rsid w:val="00C14E6B"/>
    <w:rsid w:val="00C14ED8"/>
    <w:rsid w:val="00C15D9E"/>
    <w:rsid w:val="00C16D99"/>
    <w:rsid w:val="00C16E0E"/>
    <w:rsid w:val="00C1708D"/>
    <w:rsid w:val="00C17136"/>
    <w:rsid w:val="00C172C5"/>
    <w:rsid w:val="00C17D2E"/>
    <w:rsid w:val="00C20040"/>
    <w:rsid w:val="00C206CA"/>
    <w:rsid w:val="00C2091B"/>
    <w:rsid w:val="00C20B5B"/>
    <w:rsid w:val="00C211C9"/>
    <w:rsid w:val="00C2123E"/>
    <w:rsid w:val="00C21512"/>
    <w:rsid w:val="00C21598"/>
    <w:rsid w:val="00C21A8A"/>
    <w:rsid w:val="00C21B69"/>
    <w:rsid w:val="00C22B2A"/>
    <w:rsid w:val="00C22DB4"/>
    <w:rsid w:val="00C22FAE"/>
    <w:rsid w:val="00C2316C"/>
    <w:rsid w:val="00C23374"/>
    <w:rsid w:val="00C236ED"/>
    <w:rsid w:val="00C239EA"/>
    <w:rsid w:val="00C24349"/>
    <w:rsid w:val="00C246DD"/>
    <w:rsid w:val="00C249BA"/>
    <w:rsid w:val="00C25307"/>
    <w:rsid w:val="00C2557E"/>
    <w:rsid w:val="00C255CD"/>
    <w:rsid w:val="00C25BD6"/>
    <w:rsid w:val="00C2620B"/>
    <w:rsid w:val="00C2651E"/>
    <w:rsid w:val="00C266F1"/>
    <w:rsid w:val="00C2695B"/>
    <w:rsid w:val="00C26B6A"/>
    <w:rsid w:val="00C26DA1"/>
    <w:rsid w:val="00C26E50"/>
    <w:rsid w:val="00C27359"/>
    <w:rsid w:val="00C277BD"/>
    <w:rsid w:val="00C27856"/>
    <w:rsid w:val="00C27DFB"/>
    <w:rsid w:val="00C30F8A"/>
    <w:rsid w:val="00C31250"/>
    <w:rsid w:val="00C31B77"/>
    <w:rsid w:val="00C31E3D"/>
    <w:rsid w:val="00C324D1"/>
    <w:rsid w:val="00C329EE"/>
    <w:rsid w:val="00C32BE0"/>
    <w:rsid w:val="00C32E79"/>
    <w:rsid w:val="00C33551"/>
    <w:rsid w:val="00C3489F"/>
    <w:rsid w:val="00C34910"/>
    <w:rsid w:val="00C34A87"/>
    <w:rsid w:val="00C34ADF"/>
    <w:rsid w:val="00C34F29"/>
    <w:rsid w:val="00C35FA3"/>
    <w:rsid w:val="00C36162"/>
    <w:rsid w:val="00C364F1"/>
    <w:rsid w:val="00C376BE"/>
    <w:rsid w:val="00C3772C"/>
    <w:rsid w:val="00C37920"/>
    <w:rsid w:val="00C37B12"/>
    <w:rsid w:val="00C4038F"/>
    <w:rsid w:val="00C405F4"/>
    <w:rsid w:val="00C4068F"/>
    <w:rsid w:val="00C40E33"/>
    <w:rsid w:val="00C41882"/>
    <w:rsid w:val="00C41985"/>
    <w:rsid w:val="00C41EA3"/>
    <w:rsid w:val="00C42033"/>
    <w:rsid w:val="00C422CD"/>
    <w:rsid w:val="00C43474"/>
    <w:rsid w:val="00C435DB"/>
    <w:rsid w:val="00C435EF"/>
    <w:rsid w:val="00C43814"/>
    <w:rsid w:val="00C43977"/>
    <w:rsid w:val="00C43F7C"/>
    <w:rsid w:val="00C43FA0"/>
    <w:rsid w:val="00C44459"/>
    <w:rsid w:val="00C44A69"/>
    <w:rsid w:val="00C453BD"/>
    <w:rsid w:val="00C458AD"/>
    <w:rsid w:val="00C45F89"/>
    <w:rsid w:val="00C467DF"/>
    <w:rsid w:val="00C4708B"/>
    <w:rsid w:val="00C475A0"/>
    <w:rsid w:val="00C47E38"/>
    <w:rsid w:val="00C5028F"/>
    <w:rsid w:val="00C5059F"/>
    <w:rsid w:val="00C5098C"/>
    <w:rsid w:val="00C50F11"/>
    <w:rsid w:val="00C517A6"/>
    <w:rsid w:val="00C51C5A"/>
    <w:rsid w:val="00C51E2A"/>
    <w:rsid w:val="00C521FF"/>
    <w:rsid w:val="00C523F7"/>
    <w:rsid w:val="00C526E4"/>
    <w:rsid w:val="00C52846"/>
    <w:rsid w:val="00C52A5A"/>
    <w:rsid w:val="00C52E16"/>
    <w:rsid w:val="00C5351C"/>
    <w:rsid w:val="00C54046"/>
    <w:rsid w:val="00C54183"/>
    <w:rsid w:val="00C54520"/>
    <w:rsid w:val="00C54F51"/>
    <w:rsid w:val="00C55071"/>
    <w:rsid w:val="00C550F5"/>
    <w:rsid w:val="00C557A5"/>
    <w:rsid w:val="00C55B2D"/>
    <w:rsid w:val="00C560D9"/>
    <w:rsid w:val="00C5665E"/>
    <w:rsid w:val="00C567B0"/>
    <w:rsid w:val="00C568ED"/>
    <w:rsid w:val="00C56A5B"/>
    <w:rsid w:val="00C56F3B"/>
    <w:rsid w:val="00C57700"/>
    <w:rsid w:val="00C5775F"/>
    <w:rsid w:val="00C57978"/>
    <w:rsid w:val="00C57F2A"/>
    <w:rsid w:val="00C60286"/>
    <w:rsid w:val="00C607A5"/>
    <w:rsid w:val="00C60DD4"/>
    <w:rsid w:val="00C60E2A"/>
    <w:rsid w:val="00C61014"/>
    <w:rsid w:val="00C612C0"/>
    <w:rsid w:val="00C61325"/>
    <w:rsid w:val="00C61578"/>
    <w:rsid w:val="00C6165F"/>
    <w:rsid w:val="00C6185B"/>
    <w:rsid w:val="00C619BF"/>
    <w:rsid w:val="00C61B23"/>
    <w:rsid w:val="00C61BD3"/>
    <w:rsid w:val="00C62A68"/>
    <w:rsid w:val="00C62AF4"/>
    <w:rsid w:val="00C63402"/>
    <w:rsid w:val="00C6345A"/>
    <w:rsid w:val="00C66DEB"/>
    <w:rsid w:val="00C6718D"/>
    <w:rsid w:val="00C67377"/>
    <w:rsid w:val="00C70436"/>
    <w:rsid w:val="00C70778"/>
    <w:rsid w:val="00C709B5"/>
    <w:rsid w:val="00C70A8E"/>
    <w:rsid w:val="00C70C16"/>
    <w:rsid w:val="00C71357"/>
    <w:rsid w:val="00C71A40"/>
    <w:rsid w:val="00C71BF6"/>
    <w:rsid w:val="00C71ED7"/>
    <w:rsid w:val="00C71F0F"/>
    <w:rsid w:val="00C71FAF"/>
    <w:rsid w:val="00C72230"/>
    <w:rsid w:val="00C72693"/>
    <w:rsid w:val="00C72D05"/>
    <w:rsid w:val="00C72EFB"/>
    <w:rsid w:val="00C72F56"/>
    <w:rsid w:val="00C7306D"/>
    <w:rsid w:val="00C731A6"/>
    <w:rsid w:val="00C73C71"/>
    <w:rsid w:val="00C742FD"/>
    <w:rsid w:val="00C7470B"/>
    <w:rsid w:val="00C74ED0"/>
    <w:rsid w:val="00C74EF8"/>
    <w:rsid w:val="00C75B73"/>
    <w:rsid w:val="00C75B9D"/>
    <w:rsid w:val="00C75F1E"/>
    <w:rsid w:val="00C765DE"/>
    <w:rsid w:val="00C76783"/>
    <w:rsid w:val="00C769C4"/>
    <w:rsid w:val="00C76F60"/>
    <w:rsid w:val="00C779B9"/>
    <w:rsid w:val="00C77C61"/>
    <w:rsid w:val="00C803F0"/>
    <w:rsid w:val="00C80865"/>
    <w:rsid w:val="00C80916"/>
    <w:rsid w:val="00C80EC8"/>
    <w:rsid w:val="00C812C1"/>
    <w:rsid w:val="00C81305"/>
    <w:rsid w:val="00C8133F"/>
    <w:rsid w:val="00C81381"/>
    <w:rsid w:val="00C822BF"/>
    <w:rsid w:val="00C826C2"/>
    <w:rsid w:val="00C827F7"/>
    <w:rsid w:val="00C82836"/>
    <w:rsid w:val="00C830EE"/>
    <w:rsid w:val="00C8349B"/>
    <w:rsid w:val="00C83578"/>
    <w:rsid w:val="00C8372E"/>
    <w:rsid w:val="00C83D03"/>
    <w:rsid w:val="00C83D58"/>
    <w:rsid w:val="00C8435F"/>
    <w:rsid w:val="00C84CAC"/>
    <w:rsid w:val="00C84E33"/>
    <w:rsid w:val="00C85527"/>
    <w:rsid w:val="00C85B49"/>
    <w:rsid w:val="00C85BD4"/>
    <w:rsid w:val="00C8649A"/>
    <w:rsid w:val="00C8649D"/>
    <w:rsid w:val="00C866E7"/>
    <w:rsid w:val="00C86776"/>
    <w:rsid w:val="00C86840"/>
    <w:rsid w:val="00C87A2D"/>
    <w:rsid w:val="00C87D31"/>
    <w:rsid w:val="00C902D5"/>
    <w:rsid w:val="00C9071C"/>
    <w:rsid w:val="00C90A29"/>
    <w:rsid w:val="00C90A83"/>
    <w:rsid w:val="00C90B7E"/>
    <w:rsid w:val="00C90E02"/>
    <w:rsid w:val="00C90E97"/>
    <w:rsid w:val="00C914BE"/>
    <w:rsid w:val="00C914CA"/>
    <w:rsid w:val="00C9184C"/>
    <w:rsid w:val="00C91998"/>
    <w:rsid w:val="00C91DDF"/>
    <w:rsid w:val="00C91FE5"/>
    <w:rsid w:val="00C92445"/>
    <w:rsid w:val="00C92C19"/>
    <w:rsid w:val="00C92C74"/>
    <w:rsid w:val="00C92E56"/>
    <w:rsid w:val="00C93005"/>
    <w:rsid w:val="00C932D2"/>
    <w:rsid w:val="00C93629"/>
    <w:rsid w:val="00C93C3A"/>
    <w:rsid w:val="00C93C58"/>
    <w:rsid w:val="00C94070"/>
    <w:rsid w:val="00C944E8"/>
    <w:rsid w:val="00C94878"/>
    <w:rsid w:val="00C95567"/>
    <w:rsid w:val="00C95B5A"/>
    <w:rsid w:val="00C95CE7"/>
    <w:rsid w:val="00C96C9A"/>
    <w:rsid w:val="00C96FA5"/>
    <w:rsid w:val="00CA0110"/>
    <w:rsid w:val="00CA0220"/>
    <w:rsid w:val="00CA0640"/>
    <w:rsid w:val="00CA080C"/>
    <w:rsid w:val="00CA1274"/>
    <w:rsid w:val="00CA1667"/>
    <w:rsid w:val="00CA17B1"/>
    <w:rsid w:val="00CA195E"/>
    <w:rsid w:val="00CA2315"/>
    <w:rsid w:val="00CA233D"/>
    <w:rsid w:val="00CA23C5"/>
    <w:rsid w:val="00CA2522"/>
    <w:rsid w:val="00CA2B66"/>
    <w:rsid w:val="00CA2BC4"/>
    <w:rsid w:val="00CA2E79"/>
    <w:rsid w:val="00CA2F65"/>
    <w:rsid w:val="00CA3408"/>
    <w:rsid w:val="00CA3D28"/>
    <w:rsid w:val="00CA4E82"/>
    <w:rsid w:val="00CA5004"/>
    <w:rsid w:val="00CA518E"/>
    <w:rsid w:val="00CA57FB"/>
    <w:rsid w:val="00CA5EDB"/>
    <w:rsid w:val="00CA61E3"/>
    <w:rsid w:val="00CA6239"/>
    <w:rsid w:val="00CA6300"/>
    <w:rsid w:val="00CA6664"/>
    <w:rsid w:val="00CA69F2"/>
    <w:rsid w:val="00CA6D90"/>
    <w:rsid w:val="00CA7254"/>
    <w:rsid w:val="00CA7419"/>
    <w:rsid w:val="00CA784E"/>
    <w:rsid w:val="00CB038A"/>
    <w:rsid w:val="00CB1260"/>
    <w:rsid w:val="00CB20F0"/>
    <w:rsid w:val="00CB2213"/>
    <w:rsid w:val="00CB238A"/>
    <w:rsid w:val="00CB2C40"/>
    <w:rsid w:val="00CB2FBB"/>
    <w:rsid w:val="00CB333A"/>
    <w:rsid w:val="00CB3843"/>
    <w:rsid w:val="00CB38F9"/>
    <w:rsid w:val="00CB4464"/>
    <w:rsid w:val="00CB54B2"/>
    <w:rsid w:val="00CB5BBC"/>
    <w:rsid w:val="00CB5BEB"/>
    <w:rsid w:val="00CB657D"/>
    <w:rsid w:val="00CB65C3"/>
    <w:rsid w:val="00CB7802"/>
    <w:rsid w:val="00CB7A05"/>
    <w:rsid w:val="00CB7FB9"/>
    <w:rsid w:val="00CC0179"/>
    <w:rsid w:val="00CC03D0"/>
    <w:rsid w:val="00CC08CF"/>
    <w:rsid w:val="00CC1375"/>
    <w:rsid w:val="00CC1708"/>
    <w:rsid w:val="00CC2011"/>
    <w:rsid w:val="00CC20EC"/>
    <w:rsid w:val="00CC2424"/>
    <w:rsid w:val="00CC26BB"/>
    <w:rsid w:val="00CC3135"/>
    <w:rsid w:val="00CC3215"/>
    <w:rsid w:val="00CC4191"/>
    <w:rsid w:val="00CC47FB"/>
    <w:rsid w:val="00CC4F87"/>
    <w:rsid w:val="00CC5ACD"/>
    <w:rsid w:val="00CC5B33"/>
    <w:rsid w:val="00CC5D8D"/>
    <w:rsid w:val="00CC61AF"/>
    <w:rsid w:val="00CC6410"/>
    <w:rsid w:val="00CC6AA4"/>
    <w:rsid w:val="00CC6E29"/>
    <w:rsid w:val="00CC6FFF"/>
    <w:rsid w:val="00CC7235"/>
    <w:rsid w:val="00CC7355"/>
    <w:rsid w:val="00CC73C5"/>
    <w:rsid w:val="00CC7411"/>
    <w:rsid w:val="00CC770F"/>
    <w:rsid w:val="00CC7951"/>
    <w:rsid w:val="00CC7A5D"/>
    <w:rsid w:val="00CC7E85"/>
    <w:rsid w:val="00CD04AB"/>
    <w:rsid w:val="00CD095F"/>
    <w:rsid w:val="00CD11C0"/>
    <w:rsid w:val="00CD19F9"/>
    <w:rsid w:val="00CD244E"/>
    <w:rsid w:val="00CD2605"/>
    <w:rsid w:val="00CD2F86"/>
    <w:rsid w:val="00CD326F"/>
    <w:rsid w:val="00CD3282"/>
    <w:rsid w:val="00CD36C7"/>
    <w:rsid w:val="00CD376F"/>
    <w:rsid w:val="00CD4042"/>
    <w:rsid w:val="00CD40DA"/>
    <w:rsid w:val="00CD4299"/>
    <w:rsid w:val="00CD4619"/>
    <w:rsid w:val="00CD461B"/>
    <w:rsid w:val="00CD481F"/>
    <w:rsid w:val="00CD52AA"/>
    <w:rsid w:val="00CD5334"/>
    <w:rsid w:val="00CD5845"/>
    <w:rsid w:val="00CD5BE6"/>
    <w:rsid w:val="00CD5E55"/>
    <w:rsid w:val="00CD652D"/>
    <w:rsid w:val="00CD6541"/>
    <w:rsid w:val="00CD70EE"/>
    <w:rsid w:val="00CD7339"/>
    <w:rsid w:val="00CD7803"/>
    <w:rsid w:val="00CD7DFC"/>
    <w:rsid w:val="00CE08DB"/>
    <w:rsid w:val="00CE0A94"/>
    <w:rsid w:val="00CE112D"/>
    <w:rsid w:val="00CE1426"/>
    <w:rsid w:val="00CE17F4"/>
    <w:rsid w:val="00CE1CD9"/>
    <w:rsid w:val="00CE20E1"/>
    <w:rsid w:val="00CE22C5"/>
    <w:rsid w:val="00CE24D3"/>
    <w:rsid w:val="00CE260C"/>
    <w:rsid w:val="00CE348C"/>
    <w:rsid w:val="00CE4602"/>
    <w:rsid w:val="00CE5772"/>
    <w:rsid w:val="00CE58CA"/>
    <w:rsid w:val="00CE5C6B"/>
    <w:rsid w:val="00CE5EEA"/>
    <w:rsid w:val="00CE6977"/>
    <w:rsid w:val="00CE6E33"/>
    <w:rsid w:val="00CE70E7"/>
    <w:rsid w:val="00CE72EE"/>
    <w:rsid w:val="00CE76EC"/>
    <w:rsid w:val="00CE7809"/>
    <w:rsid w:val="00CE783F"/>
    <w:rsid w:val="00CE7980"/>
    <w:rsid w:val="00CE7EB2"/>
    <w:rsid w:val="00CF047F"/>
    <w:rsid w:val="00CF04F3"/>
    <w:rsid w:val="00CF08CF"/>
    <w:rsid w:val="00CF0FB8"/>
    <w:rsid w:val="00CF18DD"/>
    <w:rsid w:val="00CF19EA"/>
    <w:rsid w:val="00CF2243"/>
    <w:rsid w:val="00CF2427"/>
    <w:rsid w:val="00CF2A94"/>
    <w:rsid w:val="00CF2C89"/>
    <w:rsid w:val="00CF33E2"/>
    <w:rsid w:val="00CF3D8E"/>
    <w:rsid w:val="00CF3DF8"/>
    <w:rsid w:val="00CF3F58"/>
    <w:rsid w:val="00CF41F5"/>
    <w:rsid w:val="00CF441F"/>
    <w:rsid w:val="00CF4AA7"/>
    <w:rsid w:val="00CF500C"/>
    <w:rsid w:val="00CF5B48"/>
    <w:rsid w:val="00CF5CA0"/>
    <w:rsid w:val="00CF5F52"/>
    <w:rsid w:val="00D00D3C"/>
    <w:rsid w:val="00D013ED"/>
    <w:rsid w:val="00D01818"/>
    <w:rsid w:val="00D01B16"/>
    <w:rsid w:val="00D0216C"/>
    <w:rsid w:val="00D021B7"/>
    <w:rsid w:val="00D02462"/>
    <w:rsid w:val="00D04711"/>
    <w:rsid w:val="00D04C33"/>
    <w:rsid w:val="00D04E84"/>
    <w:rsid w:val="00D053DD"/>
    <w:rsid w:val="00D054F6"/>
    <w:rsid w:val="00D05602"/>
    <w:rsid w:val="00D0588A"/>
    <w:rsid w:val="00D061BF"/>
    <w:rsid w:val="00D06872"/>
    <w:rsid w:val="00D06D58"/>
    <w:rsid w:val="00D07104"/>
    <w:rsid w:val="00D07172"/>
    <w:rsid w:val="00D072AD"/>
    <w:rsid w:val="00D07318"/>
    <w:rsid w:val="00D074ED"/>
    <w:rsid w:val="00D07ADB"/>
    <w:rsid w:val="00D1021B"/>
    <w:rsid w:val="00D1072B"/>
    <w:rsid w:val="00D11185"/>
    <w:rsid w:val="00D1243C"/>
    <w:rsid w:val="00D12520"/>
    <w:rsid w:val="00D126C1"/>
    <w:rsid w:val="00D128EE"/>
    <w:rsid w:val="00D12A7D"/>
    <w:rsid w:val="00D13200"/>
    <w:rsid w:val="00D14178"/>
    <w:rsid w:val="00D14A74"/>
    <w:rsid w:val="00D14B8A"/>
    <w:rsid w:val="00D15416"/>
    <w:rsid w:val="00D1606A"/>
    <w:rsid w:val="00D1619C"/>
    <w:rsid w:val="00D162CF"/>
    <w:rsid w:val="00D166FC"/>
    <w:rsid w:val="00D16E05"/>
    <w:rsid w:val="00D17EE5"/>
    <w:rsid w:val="00D21D89"/>
    <w:rsid w:val="00D21E25"/>
    <w:rsid w:val="00D21F05"/>
    <w:rsid w:val="00D2233F"/>
    <w:rsid w:val="00D2285D"/>
    <w:rsid w:val="00D22CAE"/>
    <w:rsid w:val="00D22F1C"/>
    <w:rsid w:val="00D237C1"/>
    <w:rsid w:val="00D23D29"/>
    <w:rsid w:val="00D23F24"/>
    <w:rsid w:val="00D24A88"/>
    <w:rsid w:val="00D24ACF"/>
    <w:rsid w:val="00D24FD2"/>
    <w:rsid w:val="00D2502B"/>
    <w:rsid w:val="00D250CE"/>
    <w:rsid w:val="00D25161"/>
    <w:rsid w:val="00D2607C"/>
    <w:rsid w:val="00D265CA"/>
    <w:rsid w:val="00D267A3"/>
    <w:rsid w:val="00D2684C"/>
    <w:rsid w:val="00D268EC"/>
    <w:rsid w:val="00D27BFF"/>
    <w:rsid w:val="00D27CA5"/>
    <w:rsid w:val="00D301AF"/>
    <w:rsid w:val="00D306E4"/>
    <w:rsid w:val="00D30840"/>
    <w:rsid w:val="00D30F2A"/>
    <w:rsid w:val="00D316B6"/>
    <w:rsid w:val="00D3195C"/>
    <w:rsid w:val="00D321C1"/>
    <w:rsid w:val="00D32316"/>
    <w:rsid w:val="00D3248B"/>
    <w:rsid w:val="00D326D9"/>
    <w:rsid w:val="00D330A3"/>
    <w:rsid w:val="00D33BDD"/>
    <w:rsid w:val="00D351D8"/>
    <w:rsid w:val="00D3529B"/>
    <w:rsid w:val="00D357B2"/>
    <w:rsid w:val="00D35902"/>
    <w:rsid w:val="00D35BB0"/>
    <w:rsid w:val="00D35E61"/>
    <w:rsid w:val="00D361AB"/>
    <w:rsid w:val="00D3716E"/>
    <w:rsid w:val="00D3758A"/>
    <w:rsid w:val="00D401AC"/>
    <w:rsid w:val="00D40320"/>
    <w:rsid w:val="00D41117"/>
    <w:rsid w:val="00D4152D"/>
    <w:rsid w:val="00D415B0"/>
    <w:rsid w:val="00D4160E"/>
    <w:rsid w:val="00D4166E"/>
    <w:rsid w:val="00D417D2"/>
    <w:rsid w:val="00D4198C"/>
    <w:rsid w:val="00D41E79"/>
    <w:rsid w:val="00D42140"/>
    <w:rsid w:val="00D42307"/>
    <w:rsid w:val="00D4299D"/>
    <w:rsid w:val="00D42B54"/>
    <w:rsid w:val="00D42B79"/>
    <w:rsid w:val="00D432EF"/>
    <w:rsid w:val="00D43890"/>
    <w:rsid w:val="00D43C2A"/>
    <w:rsid w:val="00D440C1"/>
    <w:rsid w:val="00D44D40"/>
    <w:rsid w:val="00D453E7"/>
    <w:rsid w:val="00D4731D"/>
    <w:rsid w:val="00D4734A"/>
    <w:rsid w:val="00D478B4"/>
    <w:rsid w:val="00D47958"/>
    <w:rsid w:val="00D47B1B"/>
    <w:rsid w:val="00D47F54"/>
    <w:rsid w:val="00D51167"/>
    <w:rsid w:val="00D512FF"/>
    <w:rsid w:val="00D5176F"/>
    <w:rsid w:val="00D51873"/>
    <w:rsid w:val="00D51CE0"/>
    <w:rsid w:val="00D51EBD"/>
    <w:rsid w:val="00D5234C"/>
    <w:rsid w:val="00D52552"/>
    <w:rsid w:val="00D528DC"/>
    <w:rsid w:val="00D529C2"/>
    <w:rsid w:val="00D52AC2"/>
    <w:rsid w:val="00D53231"/>
    <w:rsid w:val="00D5357F"/>
    <w:rsid w:val="00D53924"/>
    <w:rsid w:val="00D53AA9"/>
    <w:rsid w:val="00D53FE1"/>
    <w:rsid w:val="00D548F9"/>
    <w:rsid w:val="00D54995"/>
    <w:rsid w:val="00D54D32"/>
    <w:rsid w:val="00D54E5C"/>
    <w:rsid w:val="00D55B63"/>
    <w:rsid w:val="00D55D56"/>
    <w:rsid w:val="00D55DAF"/>
    <w:rsid w:val="00D5607B"/>
    <w:rsid w:val="00D567C9"/>
    <w:rsid w:val="00D56E76"/>
    <w:rsid w:val="00D56F7F"/>
    <w:rsid w:val="00D5726C"/>
    <w:rsid w:val="00D57DB9"/>
    <w:rsid w:val="00D57EE2"/>
    <w:rsid w:val="00D600A5"/>
    <w:rsid w:val="00D600CA"/>
    <w:rsid w:val="00D607AF"/>
    <w:rsid w:val="00D60992"/>
    <w:rsid w:val="00D60C41"/>
    <w:rsid w:val="00D60F32"/>
    <w:rsid w:val="00D6244A"/>
    <w:rsid w:val="00D62A5E"/>
    <w:rsid w:val="00D63E6B"/>
    <w:rsid w:val="00D644C0"/>
    <w:rsid w:val="00D64B62"/>
    <w:rsid w:val="00D64CAF"/>
    <w:rsid w:val="00D64CC6"/>
    <w:rsid w:val="00D64D96"/>
    <w:rsid w:val="00D65388"/>
    <w:rsid w:val="00D65560"/>
    <w:rsid w:val="00D65762"/>
    <w:rsid w:val="00D65D2D"/>
    <w:rsid w:val="00D65E7B"/>
    <w:rsid w:val="00D66217"/>
    <w:rsid w:val="00D6628C"/>
    <w:rsid w:val="00D66493"/>
    <w:rsid w:val="00D669C7"/>
    <w:rsid w:val="00D669CA"/>
    <w:rsid w:val="00D674B1"/>
    <w:rsid w:val="00D6777A"/>
    <w:rsid w:val="00D6786F"/>
    <w:rsid w:val="00D67A86"/>
    <w:rsid w:val="00D705C7"/>
    <w:rsid w:val="00D707E6"/>
    <w:rsid w:val="00D7080C"/>
    <w:rsid w:val="00D70A6B"/>
    <w:rsid w:val="00D70AC0"/>
    <w:rsid w:val="00D71032"/>
    <w:rsid w:val="00D71263"/>
    <w:rsid w:val="00D721EE"/>
    <w:rsid w:val="00D723B3"/>
    <w:rsid w:val="00D743F3"/>
    <w:rsid w:val="00D744AB"/>
    <w:rsid w:val="00D74797"/>
    <w:rsid w:val="00D74F1B"/>
    <w:rsid w:val="00D753CC"/>
    <w:rsid w:val="00D75532"/>
    <w:rsid w:val="00D761C6"/>
    <w:rsid w:val="00D77116"/>
    <w:rsid w:val="00D7738A"/>
    <w:rsid w:val="00D77C8D"/>
    <w:rsid w:val="00D80042"/>
    <w:rsid w:val="00D80786"/>
    <w:rsid w:val="00D80B28"/>
    <w:rsid w:val="00D80FBB"/>
    <w:rsid w:val="00D81359"/>
    <w:rsid w:val="00D817CD"/>
    <w:rsid w:val="00D81820"/>
    <w:rsid w:val="00D81E29"/>
    <w:rsid w:val="00D82363"/>
    <w:rsid w:val="00D82429"/>
    <w:rsid w:val="00D82B10"/>
    <w:rsid w:val="00D82E02"/>
    <w:rsid w:val="00D83550"/>
    <w:rsid w:val="00D835DB"/>
    <w:rsid w:val="00D83F2D"/>
    <w:rsid w:val="00D84221"/>
    <w:rsid w:val="00D8487F"/>
    <w:rsid w:val="00D8518E"/>
    <w:rsid w:val="00D85638"/>
    <w:rsid w:val="00D859AD"/>
    <w:rsid w:val="00D85FFF"/>
    <w:rsid w:val="00D868D1"/>
    <w:rsid w:val="00D86B37"/>
    <w:rsid w:val="00D87318"/>
    <w:rsid w:val="00D87563"/>
    <w:rsid w:val="00D876C8"/>
    <w:rsid w:val="00D87B0D"/>
    <w:rsid w:val="00D87BB3"/>
    <w:rsid w:val="00D87CC3"/>
    <w:rsid w:val="00D90391"/>
    <w:rsid w:val="00D9063C"/>
    <w:rsid w:val="00D90A86"/>
    <w:rsid w:val="00D90BE0"/>
    <w:rsid w:val="00D91387"/>
    <w:rsid w:val="00D917C9"/>
    <w:rsid w:val="00D91FD1"/>
    <w:rsid w:val="00D930C3"/>
    <w:rsid w:val="00D930D5"/>
    <w:rsid w:val="00D93F75"/>
    <w:rsid w:val="00D94AA4"/>
    <w:rsid w:val="00D95B94"/>
    <w:rsid w:val="00D965C1"/>
    <w:rsid w:val="00D965CF"/>
    <w:rsid w:val="00D975BC"/>
    <w:rsid w:val="00D977C5"/>
    <w:rsid w:val="00D9793B"/>
    <w:rsid w:val="00D97F3F"/>
    <w:rsid w:val="00DA0DA3"/>
    <w:rsid w:val="00DA0DBE"/>
    <w:rsid w:val="00DA0ECC"/>
    <w:rsid w:val="00DA10F3"/>
    <w:rsid w:val="00DA13CF"/>
    <w:rsid w:val="00DA18FA"/>
    <w:rsid w:val="00DA1B52"/>
    <w:rsid w:val="00DA1C89"/>
    <w:rsid w:val="00DA2317"/>
    <w:rsid w:val="00DA2784"/>
    <w:rsid w:val="00DA27BA"/>
    <w:rsid w:val="00DA27BD"/>
    <w:rsid w:val="00DA3C64"/>
    <w:rsid w:val="00DA4227"/>
    <w:rsid w:val="00DA4C2D"/>
    <w:rsid w:val="00DA5360"/>
    <w:rsid w:val="00DA550F"/>
    <w:rsid w:val="00DA561E"/>
    <w:rsid w:val="00DA5A2E"/>
    <w:rsid w:val="00DA5AE3"/>
    <w:rsid w:val="00DA5C50"/>
    <w:rsid w:val="00DA5C80"/>
    <w:rsid w:val="00DA60A4"/>
    <w:rsid w:val="00DA6230"/>
    <w:rsid w:val="00DA67A9"/>
    <w:rsid w:val="00DA691C"/>
    <w:rsid w:val="00DA69D1"/>
    <w:rsid w:val="00DA6B41"/>
    <w:rsid w:val="00DA6D63"/>
    <w:rsid w:val="00DA6E05"/>
    <w:rsid w:val="00DA706B"/>
    <w:rsid w:val="00DA7FBD"/>
    <w:rsid w:val="00DB0953"/>
    <w:rsid w:val="00DB0B6C"/>
    <w:rsid w:val="00DB13EE"/>
    <w:rsid w:val="00DB202B"/>
    <w:rsid w:val="00DB2413"/>
    <w:rsid w:val="00DB283F"/>
    <w:rsid w:val="00DB2FB2"/>
    <w:rsid w:val="00DB3046"/>
    <w:rsid w:val="00DB33F4"/>
    <w:rsid w:val="00DB347E"/>
    <w:rsid w:val="00DB3970"/>
    <w:rsid w:val="00DB3C45"/>
    <w:rsid w:val="00DB3F30"/>
    <w:rsid w:val="00DB470E"/>
    <w:rsid w:val="00DB4765"/>
    <w:rsid w:val="00DB4C5B"/>
    <w:rsid w:val="00DB51D8"/>
    <w:rsid w:val="00DB51FE"/>
    <w:rsid w:val="00DB587C"/>
    <w:rsid w:val="00DB5C4F"/>
    <w:rsid w:val="00DB5D72"/>
    <w:rsid w:val="00DB5E34"/>
    <w:rsid w:val="00DB659B"/>
    <w:rsid w:val="00DB67ED"/>
    <w:rsid w:val="00DB6B5B"/>
    <w:rsid w:val="00DB70B9"/>
    <w:rsid w:val="00DB7315"/>
    <w:rsid w:val="00DB75D0"/>
    <w:rsid w:val="00DB78F9"/>
    <w:rsid w:val="00DB7C49"/>
    <w:rsid w:val="00DB7E91"/>
    <w:rsid w:val="00DC01AD"/>
    <w:rsid w:val="00DC01C8"/>
    <w:rsid w:val="00DC0286"/>
    <w:rsid w:val="00DC09EA"/>
    <w:rsid w:val="00DC1309"/>
    <w:rsid w:val="00DC1596"/>
    <w:rsid w:val="00DC1A0F"/>
    <w:rsid w:val="00DC1B09"/>
    <w:rsid w:val="00DC1F9F"/>
    <w:rsid w:val="00DC20DF"/>
    <w:rsid w:val="00DC2EC5"/>
    <w:rsid w:val="00DC3224"/>
    <w:rsid w:val="00DC38B5"/>
    <w:rsid w:val="00DC3BC0"/>
    <w:rsid w:val="00DC3F99"/>
    <w:rsid w:val="00DC42E8"/>
    <w:rsid w:val="00DC44CC"/>
    <w:rsid w:val="00DC5093"/>
    <w:rsid w:val="00DC548F"/>
    <w:rsid w:val="00DC573B"/>
    <w:rsid w:val="00DC5796"/>
    <w:rsid w:val="00DC654B"/>
    <w:rsid w:val="00DC6794"/>
    <w:rsid w:val="00DC68C9"/>
    <w:rsid w:val="00DD0019"/>
    <w:rsid w:val="00DD0B9C"/>
    <w:rsid w:val="00DD1237"/>
    <w:rsid w:val="00DD125B"/>
    <w:rsid w:val="00DD13F1"/>
    <w:rsid w:val="00DD160B"/>
    <w:rsid w:val="00DD1704"/>
    <w:rsid w:val="00DD1D30"/>
    <w:rsid w:val="00DD1E1E"/>
    <w:rsid w:val="00DD1E20"/>
    <w:rsid w:val="00DD201D"/>
    <w:rsid w:val="00DD2664"/>
    <w:rsid w:val="00DD2FED"/>
    <w:rsid w:val="00DD350D"/>
    <w:rsid w:val="00DD39BD"/>
    <w:rsid w:val="00DD3A3E"/>
    <w:rsid w:val="00DD3B23"/>
    <w:rsid w:val="00DD3B96"/>
    <w:rsid w:val="00DD3C26"/>
    <w:rsid w:val="00DD4EC0"/>
    <w:rsid w:val="00DD534B"/>
    <w:rsid w:val="00DD5460"/>
    <w:rsid w:val="00DD60DB"/>
    <w:rsid w:val="00DD6176"/>
    <w:rsid w:val="00DD6838"/>
    <w:rsid w:val="00DD6C31"/>
    <w:rsid w:val="00DD6C73"/>
    <w:rsid w:val="00DD71FD"/>
    <w:rsid w:val="00DD74AC"/>
    <w:rsid w:val="00DD7C97"/>
    <w:rsid w:val="00DD7D24"/>
    <w:rsid w:val="00DE0761"/>
    <w:rsid w:val="00DE0CC9"/>
    <w:rsid w:val="00DE0E82"/>
    <w:rsid w:val="00DE11E5"/>
    <w:rsid w:val="00DE1BE1"/>
    <w:rsid w:val="00DE231A"/>
    <w:rsid w:val="00DE239D"/>
    <w:rsid w:val="00DE244C"/>
    <w:rsid w:val="00DE2563"/>
    <w:rsid w:val="00DE2705"/>
    <w:rsid w:val="00DE3157"/>
    <w:rsid w:val="00DE3597"/>
    <w:rsid w:val="00DE363B"/>
    <w:rsid w:val="00DE3694"/>
    <w:rsid w:val="00DE3E59"/>
    <w:rsid w:val="00DE3EE1"/>
    <w:rsid w:val="00DE4265"/>
    <w:rsid w:val="00DE492B"/>
    <w:rsid w:val="00DE4C10"/>
    <w:rsid w:val="00DE4C9C"/>
    <w:rsid w:val="00DE5560"/>
    <w:rsid w:val="00DE5ECC"/>
    <w:rsid w:val="00DE684E"/>
    <w:rsid w:val="00DE76EA"/>
    <w:rsid w:val="00DE7A78"/>
    <w:rsid w:val="00DE7BF4"/>
    <w:rsid w:val="00DF0074"/>
    <w:rsid w:val="00DF03A0"/>
    <w:rsid w:val="00DF03EE"/>
    <w:rsid w:val="00DF0CD6"/>
    <w:rsid w:val="00DF1182"/>
    <w:rsid w:val="00DF1388"/>
    <w:rsid w:val="00DF1D43"/>
    <w:rsid w:val="00DF1D95"/>
    <w:rsid w:val="00DF2078"/>
    <w:rsid w:val="00DF2123"/>
    <w:rsid w:val="00DF2278"/>
    <w:rsid w:val="00DF2458"/>
    <w:rsid w:val="00DF24CA"/>
    <w:rsid w:val="00DF260B"/>
    <w:rsid w:val="00DF2A77"/>
    <w:rsid w:val="00DF2C46"/>
    <w:rsid w:val="00DF2D81"/>
    <w:rsid w:val="00DF2D82"/>
    <w:rsid w:val="00DF3581"/>
    <w:rsid w:val="00DF36DF"/>
    <w:rsid w:val="00DF40A2"/>
    <w:rsid w:val="00DF416F"/>
    <w:rsid w:val="00DF41B0"/>
    <w:rsid w:val="00DF4759"/>
    <w:rsid w:val="00DF4CDE"/>
    <w:rsid w:val="00DF4D45"/>
    <w:rsid w:val="00DF522D"/>
    <w:rsid w:val="00DF57C1"/>
    <w:rsid w:val="00DF5B99"/>
    <w:rsid w:val="00DF64A2"/>
    <w:rsid w:val="00DF6D6C"/>
    <w:rsid w:val="00DF6F38"/>
    <w:rsid w:val="00DF70E0"/>
    <w:rsid w:val="00DF75D2"/>
    <w:rsid w:val="00E0030D"/>
    <w:rsid w:val="00E0072E"/>
    <w:rsid w:val="00E009C2"/>
    <w:rsid w:val="00E012ED"/>
    <w:rsid w:val="00E013CC"/>
    <w:rsid w:val="00E0158A"/>
    <w:rsid w:val="00E01A25"/>
    <w:rsid w:val="00E0202F"/>
    <w:rsid w:val="00E0294A"/>
    <w:rsid w:val="00E02AC2"/>
    <w:rsid w:val="00E0351B"/>
    <w:rsid w:val="00E0383A"/>
    <w:rsid w:val="00E038C7"/>
    <w:rsid w:val="00E03943"/>
    <w:rsid w:val="00E03B5B"/>
    <w:rsid w:val="00E04246"/>
    <w:rsid w:val="00E04968"/>
    <w:rsid w:val="00E04A13"/>
    <w:rsid w:val="00E054C0"/>
    <w:rsid w:val="00E055E2"/>
    <w:rsid w:val="00E059AD"/>
    <w:rsid w:val="00E06469"/>
    <w:rsid w:val="00E06C1F"/>
    <w:rsid w:val="00E06DAB"/>
    <w:rsid w:val="00E0723A"/>
    <w:rsid w:val="00E07E6A"/>
    <w:rsid w:val="00E07FA4"/>
    <w:rsid w:val="00E104D5"/>
    <w:rsid w:val="00E1088C"/>
    <w:rsid w:val="00E10C32"/>
    <w:rsid w:val="00E11364"/>
    <w:rsid w:val="00E116A9"/>
    <w:rsid w:val="00E11D0C"/>
    <w:rsid w:val="00E11E44"/>
    <w:rsid w:val="00E12CFC"/>
    <w:rsid w:val="00E12D2C"/>
    <w:rsid w:val="00E12DF2"/>
    <w:rsid w:val="00E134FE"/>
    <w:rsid w:val="00E13749"/>
    <w:rsid w:val="00E13AEF"/>
    <w:rsid w:val="00E13E5B"/>
    <w:rsid w:val="00E13FF4"/>
    <w:rsid w:val="00E14063"/>
    <w:rsid w:val="00E142AF"/>
    <w:rsid w:val="00E149B5"/>
    <w:rsid w:val="00E14C93"/>
    <w:rsid w:val="00E15088"/>
    <w:rsid w:val="00E152BB"/>
    <w:rsid w:val="00E15507"/>
    <w:rsid w:val="00E15A28"/>
    <w:rsid w:val="00E15DA1"/>
    <w:rsid w:val="00E15DCA"/>
    <w:rsid w:val="00E1603D"/>
    <w:rsid w:val="00E171C9"/>
    <w:rsid w:val="00E17496"/>
    <w:rsid w:val="00E17B62"/>
    <w:rsid w:val="00E17C1F"/>
    <w:rsid w:val="00E17CC1"/>
    <w:rsid w:val="00E17F3D"/>
    <w:rsid w:val="00E20CB4"/>
    <w:rsid w:val="00E213F3"/>
    <w:rsid w:val="00E2197C"/>
    <w:rsid w:val="00E21B39"/>
    <w:rsid w:val="00E22371"/>
    <w:rsid w:val="00E2255A"/>
    <w:rsid w:val="00E228FD"/>
    <w:rsid w:val="00E2322D"/>
    <w:rsid w:val="00E23557"/>
    <w:rsid w:val="00E239D7"/>
    <w:rsid w:val="00E23E69"/>
    <w:rsid w:val="00E24032"/>
    <w:rsid w:val="00E248CC"/>
    <w:rsid w:val="00E25156"/>
    <w:rsid w:val="00E253BB"/>
    <w:rsid w:val="00E25491"/>
    <w:rsid w:val="00E25AA0"/>
    <w:rsid w:val="00E25FD1"/>
    <w:rsid w:val="00E2661A"/>
    <w:rsid w:val="00E26778"/>
    <w:rsid w:val="00E26A7C"/>
    <w:rsid w:val="00E26B62"/>
    <w:rsid w:val="00E275B7"/>
    <w:rsid w:val="00E30141"/>
    <w:rsid w:val="00E302BE"/>
    <w:rsid w:val="00E3059E"/>
    <w:rsid w:val="00E30846"/>
    <w:rsid w:val="00E30AF5"/>
    <w:rsid w:val="00E30FAA"/>
    <w:rsid w:val="00E31016"/>
    <w:rsid w:val="00E31027"/>
    <w:rsid w:val="00E310F0"/>
    <w:rsid w:val="00E31118"/>
    <w:rsid w:val="00E3149E"/>
    <w:rsid w:val="00E31FFA"/>
    <w:rsid w:val="00E3248E"/>
    <w:rsid w:val="00E3250C"/>
    <w:rsid w:val="00E3260C"/>
    <w:rsid w:val="00E32877"/>
    <w:rsid w:val="00E32E8B"/>
    <w:rsid w:val="00E32FB3"/>
    <w:rsid w:val="00E33A32"/>
    <w:rsid w:val="00E33EFC"/>
    <w:rsid w:val="00E3403E"/>
    <w:rsid w:val="00E34794"/>
    <w:rsid w:val="00E34FA2"/>
    <w:rsid w:val="00E35071"/>
    <w:rsid w:val="00E35328"/>
    <w:rsid w:val="00E358B0"/>
    <w:rsid w:val="00E35D95"/>
    <w:rsid w:val="00E35E23"/>
    <w:rsid w:val="00E35E97"/>
    <w:rsid w:val="00E35ED2"/>
    <w:rsid w:val="00E36A94"/>
    <w:rsid w:val="00E37128"/>
    <w:rsid w:val="00E37839"/>
    <w:rsid w:val="00E379C9"/>
    <w:rsid w:val="00E40014"/>
    <w:rsid w:val="00E4071D"/>
    <w:rsid w:val="00E40A09"/>
    <w:rsid w:val="00E40B2F"/>
    <w:rsid w:val="00E4134D"/>
    <w:rsid w:val="00E41499"/>
    <w:rsid w:val="00E41973"/>
    <w:rsid w:val="00E41BF2"/>
    <w:rsid w:val="00E41C9C"/>
    <w:rsid w:val="00E42B83"/>
    <w:rsid w:val="00E42E24"/>
    <w:rsid w:val="00E43007"/>
    <w:rsid w:val="00E430D5"/>
    <w:rsid w:val="00E4336F"/>
    <w:rsid w:val="00E43E32"/>
    <w:rsid w:val="00E441F1"/>
    <w:rsid w:val="00E44351"/>
    <w:rsid w:val="00E444D8"/>
    <w:rsid w:val="00E44503"/>
    <w:rsid w:val="00E44639"/>
    <w:rsid w:val="00E4466A"/>
    <w:rsid w:val="00E44C3C"/>
    <w:rsid w:val="00E44CCC"/>
    <w:rsid w:val="00E45DC2"/>
    <w:rsid w:val="00E46A3A"/>
    <w:rsid w:val="00E47352"/>
    <w:rsid w:val="00E478A6"/>
    <w:rsid w:val="00E47B01"/>
    <w:rsid w:val="00E47FDC"/>
    <w:rsid w:val="00E50110"/>
    <w:rsid w:val="00E50422"/>
    <w:rsid w:val="00E50D8E"/>
    <w:rsid w:val="00E5184A"/>
    <w:rsid w:val="00E518C5"/>
    <w:rsid w:val="00E51983"/>
    <w:rsid w:val="00E51A3E"/>
    <w:rsid w:val="00E51CC2"/>
    <w:rsid w:val="00E51E57"/>
    <w:rsid w:val="00E51EDB"/>
    <w:rsid w:val="00E52920"/>
    <w:rsid w:val="00E529A8"/>
    <w:rsid w:val="00E52AC2"/>
    <w:rsid w:val="00E52CC7"/>
    <w:rsid w:val="00E532B5"/>
    <w:rsid w:val="00E53A36"/>
    <w:rsid w:val="00E53E47"/>
    <w:rsid w:val="00E541EC"/>
    <w:rsid w:val="00E5447F"/>
    <w:rsid w:val="00E54BA3"/>
    <w:rsid w:val="00E54D8E"/>
    <w:rsid w:val="00E557EA"/>
    <w:rsid w:val="00E558CE"/>
    <w:rsid w:val="00E56679"/>
    <w:rsid w:val="00E56A3D"/>
    <w:rsid w:val="00E5757A"/>
    <w:rsid w:val="00E5791E"/>
    <w:rsid w:val="00E60436"/>
    <w:rsid w:val="00E605A1"/>
    <w:rsid w:val="00E60990"/>
    <w:rsid w:val="00E609F8"/>
    <w:rsid w:val="00E60ACE"/>
    <w:rsid w:val="00E60BC6"/>
    <w:rsid w:val="00E6133A"/>
    <w:rsid w:val="00E6148B"/>
    <w:rsid w:val="00E6170C"/>
    <w:rsid w:val="00E622AF"/>
    <w:rsid w:val="00E62575"/>
    <w:rsid w:val="00E625E4"/>
    <w:rsid w:val="00E628C6"/>
    <w:rsid w:val="00E62A69"/>
    <w:rsid w:val="00E633C6"/>
    <w:rsid w:val="00E6414D"/>
    <w:rsid w:val="00E64B64"/>
    <w:rsid w:val="00E64E78"/>
    <w:rsid w:val="00E651A2"/>
    <w:rsid w:val="00E651B2"/>
    <w:rsid w:val="00E651D3"/>
    <w:rsid w:val="00E65392"/>
    <w:rsid w:val="00E6567E"/>
    <w:rsid w:val="00E66197"/>
    <w:rsid w:val="00E66577"/>
    <w:rsid w:val="00E6683C"/>
    <w:rsid w:val="00E671E8"/>
    <w:rsid w:val="00E67A33"/>
    <w:rsid w:val="00E67B93"/>
    <w:rsid w:val="00E67DD4"/>
    <w:rsid w:val="00E67DDF"/>
    <w:rsid w:val="00E67F95"/>
    <w:rsid w:val="00E70084"/>
    <w:rsid w:val="00E714C3"/>
    <w:rsid w:val="00E71586"/>
    <w:rsid w:val="00E71CA2"/>
    <w:rsid w:val="00E722DF"/>
    <w:rsid w:val="00E72568"/>
    <w:rsid w:val="00E72651"/>
    <w:rsid w:val="00E729BB"/>
    <w:rsid w:val="00E72DB8"/>
    <w:rsid w:val="00E73DE4"/>
    <w:rsid w:val="00E73FF8"/>
    <w:rsid w:val="00E741BA"/>
    <w:rsid w:val="00E74472"/>
    <w:rsid w:val="00E74557"/>
    <w:rsid w:val="00E7498C"/>
    <w:rsid w:val="00E74B45"/>
    <w:rsid w:val="00E7505C"/>
    <w:rsid w:val="00E75075"/>
    <w:rsid w:val="00E753BB"/>
    <w:rsid w:val="00E7542C"/>
    <w:rsid w:val="00E75656"/>
    <w:rsid w:val="00E7596C"/>
    <w:rsid w:val="00E75C7C"/>
    <w:rsid w:val="00E765A2"/>
    <w:rsid w:val="00E76F57"/>
    <w:rsid w:val="00E7706D"/>
    <w:rsid w:val="00E77636"/>
    <w:rsid w:val="00E777F3"/>
    <w:rsid w:val="00E778CF"/>
    <w:rsid w:val="00E77D6D"/>
    <w:rsid w:val="00E77E75"/>
    <w:rsid w:val="00E803F0"/>
    <w:rsid w:val="00E80678"/>
    <w:rsid w:val="00E811AD"/>
    <w:rsid w:val="00E8130C"/>
    <w:rsid w:val="00E82055"/>
    <w:rsid w:val="00E825CC"/>
    <w:rsid w:val="00E826AC"/>
    <w:rsid w:val="00E82B8E"/>
    <w:rsid w:val="00E82C1D"/>
    <w:rsid w:val="00E82C3D"/>
    <w:rsid w:val="00E82D9A"/>
    <w:rsid w:val="00E832CB"/>
    <w:rsid w:val="00E8371C"/>
    <w:rsid w:val="00E83BCB"/>
    <w:rsid w:val="00E83C95"/>
    <w:rsid w:val="00E83F68"/>
    <w:rsid w:val="00E84328"/>
    <w:rsid w:val="00E84B80"/>
    <w:rsid w:val="00E850D8"/>
    <w:rsid w:val="00E852EF"/>
    <w:rsid w:val="00E85578"/>
    <w:rsid w:val="00E858AE"/>
    <w:rsid w:val="00E85CD8"/>
    <w:rsid w:val="00E85D94"/>
    <w:rsid w:val="00E867FB"/>
    <w:rsid w:val="00E86919"/>
    <w:rsid w:val="00E86B28"/>
    <w:rsid w:val="00E8751A"/>
    <w:rsid w:val="00E87BAA"/>
    <w:rsid w:val="00E87E08"/>
    <w:rsid w:val="00E900FB"/>
    <w:rsid w:val="00E9036A"/>
    <w:rsid w:val="00E9045B"/>
    <w:rsid w:val="00E90463"/>
    <w:rsid w:val="00E90975"/>
    <w:rsid w:val="00E909F7"/>
    <w:rsid w:val="00E91839"/>
    <w:rsid w:val="00E91A13"/>
    <w:rsid w:val="00E92101"/>
    <w:rsid w:val="00E92595"/>
    <w:rsid w:val="00E927CC"/>
    <w:rsid w:val="00E92A56"/>
    <w:rsid w:val="00E92D7E"/>
    <w:rsid w:val="00E92F6E"/>
    <w:rsid w:val="00E934C1"/>
    <w:rsid w:val="00E93666"/>
    <w:rsid w:val="00E94928"/>
    <w:rsid w:val="00E95229"/>
    <w:rsid w:val="00E96149"/>
    <w:rsid w:val="00E9616E"/>
    <w:rsid w:val="00E96724"/>
    <w:rsid w:val="00E96851"/>
    <w:rsid w:val="00E9696A"/>
    <w:rsid w:val="00E97180"/>
    <w:rsid w:val="00E972E6"/>
    <w:rsid w:val="00E97405"/>
    <w:rsid w:val="00EA0849"/>
    <w:rsid w:val="00EA09ED"/>
    <w:rsid w:val="00EA11A8"/>
    <w:rsid w:val="00EA1504"/>
    <w:rsid w:val="00EA186B"/>
    <w:rsid w:val="00EA18A0"/>
    <w:rsid w:val="00EA1C52"/>
    <w:rsid w:val="00EA1CA7"/>
    <w:rsid w:val="00EA1DD2"/>
    <w:rsid w:val="00EA23A3"/>
    <w:rsid w:val="00EA2A5D"/>
    <w:rsid w:val="00EA3276"/>
    <w:rsid w:val="00EA3783"/>
    <w:rsid w:val="00EA3890"/>
    <w:rsid w:val="00EA38A7"/>
    <w:rsid w:val="00EA3F31"/>
    <w:rsid w:val="00EA40BE"/>
    <w:rsid w:val="00EA4BB0"/>
    <w:rsid w:val="00EA4F0D"/>
    <w:rsid w:val="00EA5359"/>
    <w:rsid w:val="00EA58C2"/>
    <w:rsid w:val="00EA5A65"/>
    <w:rsid w:val="00EA5BE0"/>
    <w:rsid w:val="00EA63E2"/>
    <w:rsid w:val="00EA65A3"/>
    <w:rsid w:val="00EA66C2"/>
    <w:rsid w:val="00EA66ED"/>
    <w:rsid w:val="00EA6812"/>
    <w:rsid w:val="00EA68C9"/>
    <w:rsid w:val="00EA6E0C"/>
    <w:rsid w:val="00EA6E5C"/>
    <w:rsid w:val="00EA6EAF"/>
    <w:rsid w:val="00EA6FC9"/>
    <w:rsid w:val="00EA7ABE"/>
    <w:rsid w:val="00EA7C72"/>
    <w:rsid w:val="00EB093D"/>
    <w:rsid w:val="00EB0980"/>
    <w:rsid w:val="00EB0FFD"/>
    <w:rsid w:val="00EB1009"/>
    <w:rsid w:val="00EB27AF"/>
    <w:rsid w:val="00EB2C1D"/>
    <w:rsid w:val="00EB33E9"/>
    <w:rsid w:val="00EB34A2"/>
    <w:rsid w:val="00EB3581"/>
    <w:rsid w:val="00EB3E27"/>
    <w:rsid w:val="00EB40E4"/>
    <w:rsid w:val="00EB44E8"/>
    <w:rsid w:val="00EB5189"/>
    <w:rsid w:val="00EB55B2"/>
    <w:rsid w:val="00EB5675"/>
    <w:rsid w:val="00EB5961"/>
    <w:rsid w:val="00EB5C72"/>
    <w:rsid w:val="00EB5E4F"/>
    <w:rsid w:val="00EB607B"/>
    <w:rsid w:val="00EB6373"/>
    <w:rsid w:val="00EB6A5C"/>
    <w:rsid w:val="00EB6DC8"/>
    <w:rsid w:val="00EB6F9E"/>
    <w:rsid w:val="00EB760F"/>
    <w:rsid w:val="00EB78B4"/>
    <w:rsid w:val="00EB7D5B"/>
    <w:rsid w:val="00EC037E"/>
    <w:rsid w:val="00EC0451"/>
    <w:rsid w:val="00EC08F7"/>
    <w:rsid w:val="00EC092F"/>
    <w:rsid w:val="00EC1321"/>
    <w:rsid w:val="00EC14B6"/>
    <w:rsid w:val="00EC16BF"/>
    <w:rsid w:val="00EC1776"/>
    <w:rsid w:val="00EC25E9"/>
    <w:rsid w:val="00EC2836"/>
    <w:rsid w:val="00EC2E3D"/>
    <w:rsid w:val="00EC2F13"/>
    <w:rsid w:val="00EC375A"/>
    <w:rsid w:val="00EC38CE"/>
    <w:rsid w:val="00EC3A28"/>
    <w:rsid w:val="00EC3D51"/>
    <w:rsid w:val="00EC3F4D"/>
    <w:rsid w:val="00EC46B2"/>
    <w:rsid w:val="00EC4751"/>
    <w:rsid w:val="00EC491E"/>
    <w:rsid w:val="00EC4963"/>
    <w:rsid w:val="00EC4F79"/>
    <w:rsid w:val="00EC53C7"/>
    <w:rsid w:val="00EC65CE"/>
    <w:rsid w:val="00EC68E8"/>
    <w:rsid w:val="00EC7C06"/>
    <w:rsid w:val="00ED0013"/>
    <w:rsid w:val="00ED0447"/>
    <w:rsid w:val="00ED09FC"/>
    <w:rsid w:val="00ED0ADD"/>
    <w:rsid w:val="00ED0FD9"/>
    <w:rsid w:val="00ED11A0"/>
    <w:rsid w:val="00ED1F3C"/>
    <w:rsid w:val="00ED1F73"/>
    <w:rsid w:val="00ED2195"/>
    <w:rsid w:val="00ED2707"/>
    <w:rsid w:val="00ED2A99"/>
    <w:rsid w:val="00ED2F12"/>
    <w:rsid w:val="00ED3104"/>
    <w:rsid w:val="00ED32D9"/>
    <w:rsid w:val="00ED3561"/>
    <w:rsid w:val="00ED39D3"/>
    <w:rsid w:val="00ED3B34"/>
    <w:rsid w:val="00ED51D8"/>
    <w:rsid w:val="00ED5D24"/>
    <w:rsid w:val="00ED5DA7"/>
    <w:rsid w:val="00ED5E7C"/>
    <w:rsid w:val="00ED680B"/>
    <w:rsid w:val="00ED7279"/>
    <w:rsid w:val="00ED7401"/>
    <w:rsid w:val="00ED76DB"/>
    <w:rsid w:val="00ED7B6B"/>
    <w:rsid w:val="00ED7F03"/>
    <w:rsid w:val="00ED7F3A"/>
    <w:rsid w:val="00EE0E00"/>
    <w:rsid w:val="00EE1718"/>
    <w:rsid w:val="00EE19F3"/>
    <w:rsid w:val="00EE1ED6"/>
    <w:rsid w:val="00EE26DB"/>
    <w:rsid w:val="00EE2889"/>
    <w:rsid w:val="00EE32AE"/>
    <w:rsid w:val="00EE33E8"/>
    <w:rsid w:val="00EE3C39"/>
    <w:rsid w:val="00EE3D14"/>
    <w:rsid w:val="00EE4266"/>
    <w:rsid w:val="00EE46C8"/>
    <w:rsid w:val="00EE47B8"/>
    <w:rsid w:val="00EE4C34"/>
    <w:rsid w:val="00EE53D4"/>
    <w:rsid w:val="00EE545B"/>
    <w:rsid w:val="00EE5499"/>
    <w:rsid w:val="00EE5D03"/>
    <w:rsid w:val="00EE5D41"/>
    <w:rsid w:val="00EE5DE6"/>
    <w:rsid w:val="00EE5F71"/>
    <w:rsid w:val="00EE63F6"/>
    <w:rsid w:val="00EE655E"/>
    <w:rsid w:val="00EE71A0"/>
    <w:rsid w:val="00EE74C1"/>
    <w:rsid w:val="00EE760F"/>
    <w:rsid w:val="00EE772E"/>
    <w:rsid w:val="00EE7C2C"/>
    <w:rsid w:val="00EF0759"/>
    <w:rsid w:val="00EF07CE"/>
    <w:rsid w:val="00EF0CCB"/>
    <w:rsid w:val="00EF129C"/>
    <w:rsid w:val="00EF180F"/>
    <w:rsid w:val="00EF20AD"/>
    <w:rsid w:val="00EF24DD"/>
    <w:rsid w:val="00EF2BC7"/>
    <w:rsid w:val="00EF2F2F"/>
    <w:rsid w:val="00EF3314"/>
    <w:rsid w:val="00EF3F47"/>
    <w:rsid w:val="00EF421D"/>
    <w:rsid w:val="00EF462D"/>
    <w:rsid w:val="00EF46C5"/>
    <w:rsid w:val="00EF4D3E"/>
    <w:rsid w:val="00EF4F24"/>
    <w:rsid w:val="00EF507F"/>
    <w:rsid w:val="00EF556D"/>
    <w:rsid w:val="00EF5EED"/>
    <w:rsid w:val="00EF61E4"/>
    <w:rsid w:val="00EF6594"/>
    <w:rsid w:val="00EF6BD8"/>
    <w:rsid w:val="00EF6DDD"/>
    <w:rsid w:val="00EF7326"/>
    <w:rsid w:val="00EF74E5"/>
    <w:rsid w:val="00EF7516"/>
    <w:rsid w:val="00EF7702"/>
    <w:rsid w:val="00EF7B24"/>
    <w:rsid w:val="00F00199"/>
    <w:rsid w:val="00F00807"/>
    <w:rsid w:val="00F0086C"/>
    <w:rsid w:val="00F0087F"/>
    <w:rsid w:val="00F00E19"/>
    <w:rsid w:val="00F00F87"/>
    <w:rsid w:val="00F014CC"/>
    <w:rsid w:val="00F01F20"/>
    <w:rsid w:val="00F02441"/>
    <w:rsid w:val="00F02BD6"/>
    <w:rsid w:val="00F0346F"/>
    <w:rsid w:val="00F034DF"/>
    <w:rsid w:val="00F03B63"/>
    <w:rsid w:val="00F03D0C"/>
    <w:rsid w:val="00F0469F"/>
    <w:rsid w:val="00F049FC"/>
    <w:rsid w:val="00F05993"/>
    <w:rsid w:val="00F05EC3"/>
    <w:rsid w:val="00F0617B"/>
    <w:rsid w:val="00F06473"/>
    <w:rsid w:val="00F0723F"/>
    <w:rsid w:val="00F0789D"/>
    <w:rsid w:val="00F07E99"/>
    <w:rsid w:val="00F10456"/>
    <w:rsid w:val="00F10FE3"/>
    <w:rsid w:val="00F11356"/>
    <w:rsid w:val="00F115E3"/>
    <w:rsid w:val="00F115E8"/>
    <w:rsid w:val="00F116BD"/>
    <w:rsid w:val="00F11AC4"/>
    <w:rsid w:val="00F11E0C"/>
    <w:rsid w:val="00F11F37"/>
    <w:rsid w:val="00F12107"/>
    <w:rsid w:val="00F123A1"/>
    <w:rsid w:val="00F128AD"/>
    <w:rsid w:val="00F130EC"/>
    <w:rsid w:val="00F1382F"/>
    <w:rsid w:val="00F138BE"/>
    <w:rsid w:val="00F13A1B"/>
    <w:rsid w:val="00F13C89"/>
    <w:rsid w:val="00F13EAF"/>
    <w:rsid w:val="00F13F33"/>
    <w:rsid w:val="00F13FD8"/>
    <w:rsid w:val="00F1457E"/>
    <w:rsid w:val="00F148E0"/>
    <w:rsid w:val="00F14A89"/>
    <w:rsid w:val="00F14AFA"/>
    <w:rsid w:val="00F159D2"/>
    <w:rsid w:val="00F15AE9"/>
    <w:rsid w:val="00F15F61"/>
    <w:rsid w:val="00F16C23"/>
    <w:rsid w:val="00F16E78"/>
    <w:rsid w:val="00F17EA3"/>
    <w:rsid w:val="00F17EBC"/>
    <w:rsid w:val="00F20439"/>
    <w:rsid w:val="00F20467"/>
    <w:rsid w:val="00F20A65"/>
    <w:rsid w:val="00F20DA2"/>
    <w:rsid w:val="00F21253"/>
    <w:rsid w:val="00F21339"/>
    <w:rsid w:val="00F2142E"/>
    <w:rsid w:val="00F21A87"/>
    <w:rsid w:val="00F21C0E"/>
    <w:rsid w:val="00F2203E"/>
    <w:rsid w:val="00F2217E"/>
    <w:rsid w:val="00F22A6D"/>
    <w:rsid w:val="00F22CC9"/>
    <w:rsid w:val="00F23458"/>
    <w:rsid w:val="00F2369A"/>
    <w:rsid w:val="00F237A2"/>
    <w:rsid w:val="00F238CD"/>
    <w:rsid w:val="00F23E9E"/>
    <w:rsid w:val="00F24019"/>
    <w:rsid w:val="00F24A4E"/>
    <w:rsid w:val="00F2552D"/>
    <w:rsid w:val="00F25C89"/>
    <w:rsid w:val="00F25F4C"/>
    <w:rsid w:val="00F26401"/>
    <w:rsid w:val="00F265EA"/>
    <w:rsid w:val="00F26C8C"/>
    <w:rsid w:val="00F272FC"/>
    <w:rsid w:val="00F2732C"/>
    <w:rsid w:val="00F274EE"/>
    <w:rsid w:val="00F27A59"/>
    <w:rsid w:val="00F27E65"/>
    <w:rsid w:val="00F27EB5"/>
    <w:rsid w:val="00F302AC"/>
    <w:rsid w:val="00F306B1"/>
    <w:rsid w:val="00F30A11"/>
    <w:rsid w:val="00F30CD8"/>
    <w:rsid w:val="00F311F3"/>
    <w:rsid w:val="00F3158E"/>
    <w:rsid w:val="00F317BC"/>
    <w:rsid w:val="00F31D83"/>
    <w:rsid w:val="00F31F8A"/>
    <w:rsid w:val="00F31FBF"/>
    <w:rsid w:val="00F32051"/>
    <w:rsid w:val="00F327A5"/>
    <w:rsid w:val="00F32EFA"/>
    <w:rsid w:val="00F33126"/>
    <w:rsid w:val="00F346BE"/>
    <w:rsid w:val="00F346E5"/>
    <w:rsid w:val="00F3499B"/>
    <w:rsid w:val="00F35486"/>
    <w:rsid w:val="00F35642"/>
    <w:rsid w:val="00F3574E"/>
    <w:rsid w:val="00F359FD"/>
    <w:rsid w:val="00F35BFF"/>
    <w:rsid w:val="00F36946"/>
    <w:rsid w:val="00F36FB8"/>
    <w:rsid w:val="00F36FDE"/>
    <w:rsid w:val="00F37156"/>
    <w:rsid w:val="00F37E89"/>
    <w:rsid w:val="00F40366"/>
    <w:rsid w:val="00F40687"/>
    <w:rsid w:val="00F40799"/>
    <w:rsid w:val="00F40AAE"/>
    <w:rsid w:val="00F40CC5"/>
    <w:rsid w:val="00F411AC"/>
    <w:rsid w:val="00F41270"/>
    <w:rsid w:val="00F412F5"/>
    <w:rsid w:val="00F41598"/>
    <w:rsid w:val="00F41B4A"/>
    <w:rsid w:val="00F42DAB"/>
    <w:rsid w:val="00F4310B"/>
    <w:rsid w:val="00F43C6F"/>
    <w:rsid w:val="00F45370"/>
    <w:rsid w:val="00F4560F"/>
    <w:rsid w:val="00F45688"/>
    <w:rsid w:val="00F457F9"/>
    <w:rsid w:val="00F459EB"/>
    <w:rsid w:val="00F45DC7"/>
    <w:rsid w:val="00F45F23"/>
    <w:rsid w:val="00F46399"/>
    <w:rsid w:val="00F469D7"/>
    <w:rsid w:val="00F472C5"/>
    <w:rsid w:val="00F4730A"/>
    <w:rsid w:val="00F5040D"/>
    <w:rsid w:val="00F507B8"/>
    <w:rsid w:val="00F50851"/>
    <w:rsid w:val="00F50B2B"/>
    <w:rsid w:val="00F50D87"/>
    <w:rsid w:val="00F50F9E"/>
    <w:rsid w:val="00F51EEF"/>
    <w:rsid w:val="00F51F7A"/>
    <w:rsid w:val="00F52F2E"/>
    <w:rsid w:val="00F53FDF"/>
    <w:rsid w:val="00F543F9"/>
    <w:rsid w:val="00F546BD"/>
    <w:rsid w:val="00F54901"/>
    <w:rsid w:val="00F54BB0"/>
    <w:rsid w:val="00F54E9B"/>
    <w:rsid w:val="00F55105"/>
    <w:rsid w:val="00F5538A"/>
    <w:rsid w:val="00F5566E"/>
    <w:rsid w:val="00F55877"/>
    <w:rsid w:val="00F55C50"/>
    <w:rsid w:val="00F55CB5"/>
    <w:rsid w:val="00F55D56"/>
    <w:rsid w:val="00F55D6F"/>
    <w:rsid w:val="00F56536"/>
    <w:rsid w:val="00F5665C"/>
    <w:rsid w:val="00F56674"/>
    <w:rsid w:val="00F57348"/>
    <w:rsid w:val="00F57358"/>
    <w:rsid w:val="00F57BCD"/>
    <w:rsid w:val="00F57C08"/>
    <w:rsid w:val="00F6005B"/>
    <w:rsid w:val="00F60587"/>
    <w:rsid w:val="00F60D61"/>
    <w:rsid w:val="00F60F2E"/>
    <w:rsid w:val="00F612FA"/>
    <w:rsid w:val="00F61414"/>
    <w:rsid w:val="00F614BE"/>
    <w:rsid w:val="00F614DC"/>
    <w:rsid w:val="00F61878"/>
    <w:rsid w:val="00F6199E"/>
    <w:rsid w:val="00F61D2A"/>
    <w:rsid w:val="00F61F6E"/>
    <w:rsid w:val="00F62066"/>
    <w:rsid w:val="00F62877"/>
    <w:rsid w:val="00F6299F"/>
    <w:rsid w:val="00F62B92"/>
    <w:rsid w:val="00F62C87"/>
    <w:rsid w:val="00F63336"/>
    <w:rsid w:val="00F633F1"/>
    <w:rsid w:val="00F63567"/>
    <w:rsid w:val="00F63817"/>
    <w:rsid w:val="00F63D0A"/>
    <w:rsid w:val="00F642E9"/>
    <w:rsid w:val="00F64B4A"/>
    <w:rsid w:val="00F65247"/>
    <w:rsid w:val="00F65263"/>
    <w:rsid w:val="00F659C7"/>
    <w:rsid w:val="00F659CC"/>
    <w:rsid w:val="00F65BE7"/>
    <w:rsid w:val="00F6622B"/>
    <w:rsid w:val="00F662EC"/>
    <w:rsid w:val="00F664C6"/>
    <w:rsid w:val="00F66621"/>
    <w:rsid w:val="00F66AA3"/>
    <w:rsid w:val="00F670DB"/>
    <w:rsid w:val="00F67A55"/>
    <w:rsid w:val="00F70197"/>
    <w:rsid w:val="00F704CE"/>
    <w:rsid w:val="00F70647"/>
    <w:rsid w:val="00F71364"/>
    <w:rsid w:val="00F714CC"/>
    <w:rsid w:val="00F71944"/>
    <w:rsid w:val="00F71EBF"/>
    <w:rsid w:val="00F72150"/>
    <w:rsid w:val="00F7216E"/>
    <w:rsid w:val="00F72943"/>
    <w:rsid w:val="00F72F19"/>
    <w:rsid w:val="00F735D8"/>
    <w:rsid w:val="00F7363C"/>
    <w:rsid w:val="00F73759"/>
    <w:rsid w:val="00F737A6"/>
    <w:rsid w:val="00F74130"/>
    <w:rsid w:val="00F743C5"/>
    <w:rsid w:val="00F74970"/>
    <w:rsid w:val="00F74A87"/>
    <w:rsid w:val="00F74DF0"/>
    <w:rsid w:val="00F7574F"/>
    <w:rsid w:val="00F75797"/>
    <w:rsid w:val="00F75E2F"/>
    <w:rsid w:val="00F763F6"/>
    <w:rsid w:val="00F76C79"/>
    <w:rsid w:val="00F76E0C"/>
    <w:rsid w:val="00F77247"/>
    <w:rsid w:val="00F80A8C"/>
    <w:rsid w:val="00F81003"/>
    <w:rsid w:val="00F81B57"/>
    <w:rsid w:val="00F82088"/>
    <w:rsid w:val="00F836C5"/>
    <w:rsid w:val="00F84020"/>
    <w:rsid w:val="00F842D7"/>
    <w:rsid w:val="00F8467C"/>
    <w:rsid w:val="00F84AB3"/>
    <w:rsid w:val="00F84DE8"/>
    <w:rsid w:val="00F85104"/>
    <w:rsid w:val="00F857B1"/>
    <w:rsid w:val="00F86044"/>
    <w:rsid w:val="00F86745"/>
    <w:rsid w:val="00F86AB8"/>
    <w:rsid w:val="00F86B64"/>
    <w:rsid w:val="00F86D2A"/>
    <w:rsid w:val="00F874A2"/>
    <w:rsid w:val="00F87B19"/>
    <w:rsid w:val="00F87B90"/>
    <w:rsid w:val="00F87B9D"/>
    <w:rsid w:val="00F9070D"/>
    <w:rsid w:val="00F90812"/>
    <w:rsid w:val="00F90E40"/>
    <w:rsid w:val="00F90EC8"/>
    <w:rsid w:val="00F91207"/>
    <w:rsid w:val="00F91813"/>
    <w:rsid w:val="00F91F17"/>
    <w:rsid w:val="00F92323"/>
    <w:rsid w:val="00F9286A"/>
    <w:rsid w:val="00F92C83"/>
    <w:rsid w:val="00F93024"/>
    <w:rsid w:val="00F93139"/>
    <w:rsid w:val="00F9336D"/>
    <w:rsid w:val="00F93A15"/>
    <w:rsid w:val="00F9463C"/>
    <w:rsid w:val="00F94AD3"/>
    <w:rsid w:val="00F95DC3"/>
    <w:rsid w:val="00F9605A"/>
    <w:rsid w:val="00F96856"/>
    <w:rsid w:val="00F969B2"/>
    <w:rsid w:val="00F96AA5"/>
    <w:rsid w:val="00F971EF"/>
    <w:rsid w:val="00F974AE"/>
    <w:rsid w:val="00F978C8"/>
    <w:rsid w:val="00F97DF9"/>
    <w:rsid w:val="00F97F6C"/>
    <w:rsid w:val="00FA060B"/>
    <w:rsid w:val="00FA1664"/>
    <w:rsid w:val="00FA1833"/>
    <w:rsid w:val="00FA250C"/>
    <w:rsid w:val="00FA2875"/>
    <w:rsid w:val="00FA2B37"/>
    <w:rsid w:val="00FA3760"/>
    <w:rsid w:val="00FA3A05"/>
    <w:rsid w:val="00FA3A99"/>
    <w:rsid w:val="00FA3AA0"/>
    <w:rsid w:val="00FA3AF2"/>
    <w:rsid w:val="00FA3B7B"/>
    <w:rsid w:val="00FA4076"/>
    <w:rsid w:val="00FA4204"/>
    <w:rsid w:val="00FA4229"/>
    <w:rsid w:val="00FA47B7"/>
    <w:rsid w:val="00FA48C0"/>
    <w:rsid w:val="00FA493A"/>
    <w:rsid w:val="00FA5702"/>
    <w:rsid w:val="00FA574A"/>
    <w:rsid w:val="00FA5B96"/>
    <w:rsid w:val="00FA5D12"/>
    <w:rsid w:val="00FA5F09"/>
    <w:rsid w:val="00FA61CD"/>
    <w:rsid w:val="00FA6487"/>
    <w:rsid w:val="00FA667C"/>
    <w:rsid w:val="00FA6ED1"/>
    <w:rsid w:val="00FA737D"/>
    <w:rsid w:val="00FA749A"/>
    <w:rsid w:val="00FA78BB"/>
    <w:rsid w:val="00FA7B93"/>
    <w:rsid w:val="00FA7DC3"/>
    <w:rsid w:val="00FA7F65"/>
    <w:rsid w:val="00FB008E"/>
    <w:rsid w:val="00FB0A10"/>
    <w:rsid w:val="00FB13F8"/>
    <w:rsid w:val="00FB1CDD"/>
    <w:rsid w:val="00FB2E4D"/>
    <w:rsid w:val="00FB2E81"/>
    <w:rsid w:val="00FB343B"/>
    <w:rsid w:val="00FB3647"/>
    <w:rsid w:val="00FB3776"/>
    <w:rsid w:val="00FB3959"/>
    <w:rsid w:val="00FB3FB3"/>
    <w:rsid w:val="00FB4194"/>
    <w:rsid w:val="00FB42EA"/>
    <w:rsid w:val="00FB479E"/>
    <w:rsid w:val="00FB4D03"/>
    <w:rsid w:val="00FB562C"/>
    <w:rsid w:val="00FB69AC"/>
    <w:rsid w:val="00FB6F94"/>
    <w:rsid w:val="00FB7468"/>
    <w:rsid w:val="00FC01D5"/>
    <w:rsid w:val="00FC08DA"/>
    <w:rsid w:val="00FC0993"/>
    <w:rsid w:val="00FC0CAA"/>
    <w:rsid w:val="00FC0F6D"/>
    <w:rsid w:val="00FC133E"/>
    <w:rsid w:val="00FC1645"/>
    <w:rsid w:val="00FC16FA"/>
    <w:rsid w:val="00FC188F"/>
    <w:rsid w:val="00FC2187"/>
    <w:rsid w:val="00FC2248"/>
    <w:rsid w:val="00FC2531"/>
    <w:rsid w:val="00FC258C"/>
    <w:rsid w:val="00FC28CC"/>
    <w:rsid w:val="00FC29BC"/>
    <w:rsid w:val="00FC2BB7"/>
    <w:rsid w:val="00FC2C79"/>
    <w:rsid w:val="00FC2D3A"/>
    <w:rsid w:val="00FC2E47"/>
    <w:rsid w:val="00FC30A5"/>
    <w:rsid w:val="00FC371C"/>
    <w:rsid w:val="00FC390C"/>
    <w:rsid w:val="00FC3E29"/>
    <w:rsid w:val="00FC3F23"/>
    <w:rsid w:val="00FC464D"/>
    <w:rsid w:val="00FC4995"/>
    <w:rsid w:val="00FC4FE6"/>
    <w:rsid w:val="00FC53FC"/>
    <w:rsid w:val="00FC5515"/>
    <w:rsid w:val="00FC586E"/>
    <w:rsid w:val="00FC5DDE"/>
    <w:rsid w:val="00FC649C"/>
    <w:rsid w:val="00FC69B9"/>
    <w:rsid w:val="00FC6A17"/>
    <w:rsid w:val="00FC6C73"/>
    <w:rsid w:val="00FD062D"/>
    <w:rsid w:val="00FD0833"/>
    <w:rsid w:val="00FD0A4D"/>
    <w:rsid w:val="00FD12D8"/>
    <w:rsid w:val="00FD1459"/>
    <w:rsid w:val="00FD16E0"/>
    <w:rsid w:val="00FD192E"/>
    <w:rsid w:val="00FD1A59"/>
    <w:rsid w:val="00FD1D26"/>
    <w:rsid w:val="00FD1D59"/>
    <w:rsid w:val="00FD2C03"/>
    <w:rsid w:val="00FD2CC2"/>
    <w:rsid w:val="00FD2E90"/>
    <w:rsid w:val="00FD3F05"/>
    <w:rsid w:val="00FD4A52"/>
    <w:rsid w:val="00FD4E34"/>
    <w:rsid w:val="00FD536D"/>
    <w:rsid w:val="00FD5657"/>
    <w:rsid w:val="00FD57CB"/>
    <w:rsid w:val="00FD637A"/>
    <w:rsid w:val="00FD6476"/>
    <w:rsid w:val="00FD669A"/>
    <w:rsid w:val="00FD7421"/>
    <w:rsid w:val="00FD7463"/>
    <w:rsid w:val="00FD76BD"/>
    <w:rsid w:val="00FE0408"/>
    <w:rsid w:val="00FE0434"/>
    <w:rsid w:val="00FE07B1"/>
    <w:rsid w:val="00FE088E"/>
    <w:rsid w:val="00FE0D02"/>
    <w:rsid w:val="00FE1292"/>
    <w:rsid w:val="00FE1548"/>
    <w:rsid w:val="00FE1B8C"/>
    <w:rsid w:val="00FE1B92"/>
    <w:rsid w:val="00FE2298"/>
    <w:rsid w:val="00FE24F4"/>
    <w:rsid w:val="00FE2DA2"/>
    <w:rsid w:val="00FE39BA"/>
    <w:rsid w:val="00FE3CA6"/>
    <w:rsid w:val="00FE3F06"/>
    <w:rsid w:val="00FE4AA9"/>
    <w:rsid w:val="00FE4AD5"/>
    <w:rsid w:val="00FE4BB2"/>
    <w:rsid w:val="00FE4C6E"/>
    <w:rsid w:val="00FE5538"/>
    <w:rsid w:val="00FE5A1E"/>
    <w:rsid w:val="00FE5CF7"/>
    <w:rsid w:val="00FE5FF4"/>
    <w:rsid w:val="00FE663D"/>
    <w:rsid w:val="00FE693D"/>
    <w:rsid w:val="00FE6985"/>
    <w:rsid w:val="00FE6B76"/>
    <w:rsid w:val="00FE6BDE"/>
    <w:rsid w:val="00FE7365"/>
    <w:rsid w:val="00FE73E7"/>
    <w:rsid w:val="00FE7961"/>
    <w:rsid w:val="00FF01EB"/>
    <w:rsid w:val="00FF0A1A"/>
    <w:rsid w:val="00FF0BF3"/>
    <w:rsid w:val="00FF149E"/>
    <w:rsid w:val="00FF1776"/>
    <w:rsid w:val="00FF1CA2"/>
    <w:rsid w:val="00FF2324"/>
    <w:rsid w:val="00FF25C2"/>
    <w:rsid w:val="00FF296D"/>
    <w:rsid w:val="00FF2E8D"/>
    <w:rsid w:val="00FF2F28"/>
    <w:rsid w:val="00FF3176"/>
    <w:rsid w:val="00FF37A9"/>
    <w:rsid w:val="00FF3B9F"/>
    <w:rsid w:val="00FF482F"/>
    <w:rsid w:val="00FF54DF"/>
    <w:rsid w:val="00FF5512"/>
    <w:rsid w:val="00FF5677"/>
    <w:rsid w:val="00FF5AAD"/>
    <w:rsid w:val="00FF5B11"/>
    <w:rsid w:val="00FF5F90"/>
    <w:rsid w:val="00FF5FDD"/>
    <w:rsid w:val="00FF6F08"/>
    <w:rsid w:val="00FF725A"/>
    <w:rsid w:val="00FF73CE"/>
    <w:rsid w:val="00FF78F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DEFEE"/>
  <w15:docId w15:val="{FD7D5F89-B555-4A9C-A88E-8B19EF5E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qFormat="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B2"/>
    <w:rPr>
      <w:sz w:val="24"/>
      <w:szCs w:val="24"/>
    </w:rPr>
  </w:style>
  <w:style w:type="paragraph" w:styleId="Heading1">
    <w:name w:val="heading 1"/>
    <w:basedOn w:val="Normal"/>
    <w:next w:val="Normal"/>
    <w:link w:val="Heading1Char"/>
    <w:uiPriority w:val="99"/>
    <w:qFormat/>
    <w:rsid w:val="0011450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145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uiPriority w:val="99"/>
    <w:qFormat/>
    <w:rsid w:val="0011450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A5495"/>
    <w:pPr>
      <w:keepNext/>
      <w:spacing w:before="240" w:after="60"/>
      <w:outlineLvl w:val="3"/>
    </w:pPr>
    <w:rPr>
      <w:b/>
      <w:bCs/>
      <w:sz w:val="28"/>
      <w:szCs w:val="28"/>
    </w:rPr>
  </w:style>
  <w:style w:type="paragraph" w:styleId="Heading5">
    <w:name w:val="heading 5"/>
    <w:basedOn w:val="Normal"/>
    <w:next w:val="Normal"/>
    <w:link w:val="Heading5Char"/>
    <w:semiHidden/>
    <w:unhideWhenUsed/>
    <w:qFormat/>
    <w:locked/>
    <w:rsid w:val="0010084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10084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F33126"/>
    <w:pPr>
      <w:spacing w:before="240" w:after="60"/>
      <w:outlineLvl w:val="6"/>
    </w:pPr>
  </w:style>
  <w:style w:type="paragraph" w:styleId="Heading8">
    <w:name w:val="heading 8"/>
    <w:basedOn w:val="Normal"/>
    <w:next w:val="Normal"/>
    <w:link w:val="Heading8Char"/>
    <w:semiHidden/>
    <w:unhideWhenUsed/>
    <w:qFormat/>
    <w:locked/>
    <w:rsid w:val="0010084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10084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037B"/>
    <w:rPr>
      <w:rFonts w:ascii="Arial" w:hAnsi="Arial" w:cs="Arial"/>
      <w:b/>
      <w:bCs/>
      <w:kern w:val="32"/>
      <w:sz w:val="32"/>
      <w:szCs w:val="32"/>
    </w:rPr>
  </w:style>
  <w:style w:type="character" w:customStyle="1" w:styleId="Heading2Char">
    <w:name w:val="Heading 2 Char"/>
    <w:basedOn w:val="DefaultParagraphFont"/>
    <w:link w:val="Heading2"/>
    <w:uiPriority w:val="99"/>
    <w:locked/>
    <w:rsid w:val="008F037B"/>
    <w:rPr>
      <w:rFonts w:ascii="Arial" w:hAnsi="Arial" w:cs="Arial"/>
      <w:b/>
      <w:bCs/>
      <w:i/>
      <w:iCs/>
      <w:sz w:val="28"/>
      <w:szCs w:val="28"/>
    </w:rPr>
  </w:style>
  <w:style w:type="character" w:customStyle="1" w:styleId="Heading3Char">
    <w:name w:val="Heading 3 Char"/>
    <w:basedOn w:val="DefaultParagraphFont"/>
    <w:uiPriority w:val="9"/>
    <w:locked/>
    <w:rsid w:val="006674AF"/>
    <w:rPr>
      <w:rFonts w:ascii="Arial" w:hAnsi="Arial" w:cs="Arial"/>
      <w:b/>
      <w:bCs/>
      <w:sz w:val="26"/>
      <w:szCs w:val="26"/>
      <w:lang w:val="en-AU" w:eastAsia="bg-BG" w:bidi="ar-SA"/>
    </w:rPr>
  </w:style>
  <w:style w:type="character" w:customStyle="1" w:styleId="Heading4Char">
    <w:name w:val="Heading 4 Char"/>
    <w:basedOn w:val="DefaultParagraphFont"/>
    <w:link w:val="Heading4"/>
    <w:uiPriority w:val="99"/>
    <w:locked/>
    <w:rsid w:val="008F037B"/>
    <w:rPr>
      <w:b/>
      <w:bCs/>
      <w:sz w:val="28"/>
      <w:szCs w:val="28"/>
    </w:rPr>
  </w:style>
  <w:style w:type="character" w:customStyle="1" w:styleId="Heading7Char">
    <w:name w:val="Heading 7 Char"/>
    <w:basedOn w:val="DefaultParagraphFont"/>
    <w:link w:val="Heading7"/>
    <w:uiPriority w:val="99"/>
    <w:locked/>
    <w:rsid w:val="008F037B"/>
    <w:rPr>
      <w:sz w:val="24"/>
      <w:szCs w:val="24"/>
    </w:rPr>
  </w:style>
  <w:style w:type="paragraph" w:styleId="BalloonText">
    <w:name w:val="Balloon Text"/>
    <w:basedOn w:val="Normal"/>
    <w:link w:val="BalloonTextChar1"/>
    <w:uiPriority w:val="99"/>
    <w:semiHidden/>
    <w:rsid w:val="00017D60"/>
    <w:rPr>
      <w:rFonts w:ascii="Tahoma" w:hAnsi="Tahoma" w:cs="Tahoma"/>
      <w:sz w:val="16"/>
      <w:szCs w:val="16"/>
    </w:rPr>
  </w:style>
  <w:style w:type="character" w:customStyle="1" w:styleId="BalloonTextChar">
    <w:name w:val="Balloon Text Char"/>
    <w:basedOn w:val="DefaultParagraphFont"/>
    <w:uiPriority w:val="99"/>
    <w:semiHidden/>
    <w:locked/>
    <w:rsid w:val="008F037B"/>
    <w:rPr>
      <w:rFonts w:cs="Times New Roman"/>
      <w:sz w:val="2"/>
    </w:rPr>
  </w:style>
  <w:style w:type="paragraph" w:styleId="NormalWeb">
    <w:name w:val="Normal (Web)"/>
    <w:basedOn w:val="Normal"/>
    <w:uiPriority w:val="99"/>
    <w:rsid w:val="0073614E"/>
    <w:pPr>
      <w:spacing w:before="100" w:beforeAutospacing="1" w:after="100" w:afterAutospacing="1"/>
    </w:pPr>
  </w:style>
  <w:style w:type="paragraph" w:customStyle="1" w:styleId="Char">
    <w:name w:val="Char"/>
    <w:basedOn w:val="Normal"/>
    <w:uiPriority w:val="99"/>
    <w:semiHidden/>
    <w:rsid w:val="007D7DA8"/>
    <w:pPr>
      <w:tabs>
        <w:tab w:val="left" w:pos="709"/>
      </w:tabs>
    </w:pPr>
    <w:rPr>
      <w:rFonts w:ascii="Futura Bk" w:hAnsi="Futura Bk"/>
      <w:lang w:val="pl-PL" w:eastAsia="pl-PL"/>
    </w:rPr>
  </w:style>
  <w:style w:type="paragraph" w:styleId="FootnoteText">
    <w:name w:val="footnote text"/>
    <w:aliases w:val="Fußnotentext arial,Footnote1,Footnote2,Footnote3,stile 1,Footnote4,Footnote5,Footnote6,Footnote7,Footnote8,Footnote9,Footnote10,Footnote11,Footnote21,Footnote31,Footnote41,Footnote51,Footnote61,Footnote71,Footnote81,Footnote91,single space"/>
    <w:basedOn w:val="Normal"/>
    <w:link w:val="FootnoteTextChar"/>
    <w:uiPriority w:val="99"/>
    <w:qFormat/>
    <w:rsid w:val="006E12BC"/>
    <w:rPr>
      <w:sz w:val="20"/>
      <w:szCs w:val="20"/>
    </w:rPr>
  </w:style>
  <w:style w:type="character" w:customStyle="1" w:styleId="FootnoteTextChar">
    <w:name w:val="Footnote Text Char"/>
    <w:aliases w:val="Fußnotentext arial Char,Footnote1 Char,Footnote2 Char,Footnote3 Char,stile 1 Char,Footnote4 Char,Footnote5 Char,Footnote6 Char,Footnote7 Char,Footnote8 Char,Footnote9 Char,Footnote10 Char,Footnote11 Char,Footnote21 Char"/>
    <w:basedOn w:val="DefaultParagraphFont"/>
    <w:link w:val="FootnoteText"/>
    <w:uiPriority w:val="99"/>
    <w:locked/>
    <w:rsid w:val="008F037B"/>
    <w:rPr>
      <w:rFonts w:cs="Times New Roman"/>
      <w:sz w:val="20"/>
      <w:szCs w:val="20"/>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basedOn w:val="DefaultParagraphFont"/>
    <w:uiPriority w:val="99"/>
    <w:qFormat/>
    <w:rsid w:val="006E12BC"/>
    <w:rPr>
      <w:rFonts w:cs="Times New Roman"/>
      <w:vertAlign w:val="superscript"/>
    </w:rPr>
  </w:style>
  <w:style w:type="paragraph" w:customStyle="1" w:styleId="Char1">
    <w:name w:val="Char1"/>
    <w:basedOn w:val="Normal"/>
    <w:uiPriority w:val="99"/>
    <w:rsid w:val="006E12BC"/>
    <w:pPr>
      <w:tabs>
        <w:tab w:val="left" w:pos="709"/>
      </w:tabs>
    </w:pPr>
    <w:rPr>
      <w:rFonts w:ascii="Tahoma" w:hAnsi="Tahoma"/>
      <w:lang w:val="pl-PL" w:eastAsia="pl-PL"/>
    </w:rPr>
  </w:style>
  <w:style w:type="paragraph" w:styleId="TOC1">
    <w:name w:val="toc 1"/>
    <w:basedOn w:val="Normal"/>
    <w:next w:val="Normal"/>
    <w:autoRedefine/>
    <w:uiPriority w:val="39"/>
    <w:rsid w:val="00DF4CDE"/>
    <w:pPr>
      <w:tabs>
        <w:tab w:val="right" w:leader="dot" w:pos="9356"/>
      </w:tabs>
      <w:ind w:left="-426"/>
      <w:jc w:val="both"/>
    </w:pPr>
    <w:rPr>
      <w:noProof/>
      <w:lang w:val="en-US"/>
    </w:rPr>
  </w:style>
  <w:style w:type="paragraph" w:styleId="TOC2">
    <w:name w:val="toc 2"/>
    <w:basedOn w:val="Normal"/>
    <w:next w:val="Normal"/>
    <w:autoRedefine/>
    <w:uiPriority w:val="39"/>
    <w:rsid w:val="000C3509"/>
    <w:pPr>
      <w:tabs>
        <w:tab w:val="left" w:pos="426"/>
        <w:tab w:val="right" w:leader="dot" w:pos="9356"/>
      </w:tabs>
      <w:ind w:left="240" w:hanging="240"/>
      <w:jc w:val="both"/>
    </w:pPr>
    <w:rPr>
      <w:bCs/>
      <w:noProof/>
    </w:rPr>
  </w:style>
  <w:style w:type="character" w:styleId="Hyperlink">
    <w:name w:val="Hyperlink"/>
    <w:basedOn w:val="DefaultParagraphFont"/>
    <w:uiPriority w:val="99"/>
    <w:rsid w:val="00114503"/>
    <w:rPr>
      <w:rFonts w:cs="Times New Roman"/>
      <w:color w:val="0000FF"/>
      <w:u w:val="single"/>
    </w:rPr>
  </w:style>
  <w:style w:type="paragraph" w:styleId="Footer">
    <w:name w:val="footer"/>
    <w:basedOn w:val="Normal"/>
    <w:link w:val="FooterChar"/>
    <w:uiPriority w:val="99"/>
    <w:rsid w:val="00114503"/>
    <w:pPr>
      <w:tabs>
        <w:tab w:val="center" w:pos="4536"/>
        <w:tab w:val="right" w:pos="9072"/>
      </w:tabs>
    </w:pPr>
  </w:style>
  <w:style w:type="character" w:customStyle="1" w:styleId="FooterChar">
    <w:name w:val="Footer Char"/>
    <w:basedOn w:val="DefaultParagraphFont"/>
    <w:link w:val="Footer"/>
    <w:uiPriority w:val="99"/>
    <w:semiHidden/>
    <w:locked/>
    <w:rsid w:val="008F037B"/>
    <w:rPr>
      <w:rFonts w:cs="Times New Roman"/>
      <w:sz w:val="24"/>
      <w:szCs w:val="24"/>
    </w:rPr>
  </w:style>
  <w:style w:type="character" w:styleId="PageNumber">
    <w:name w:val="page number"/>
    <w:basedOn w:val="DefaultParagraphFont"/>
    <w:uiPriority w:val="99"/>
    <w:rsid w:val="00114503"/>
    <w:rPr>
      <w:rFonts w:cs="Times New Roman"/>
    </w:rPr>
  </w:style>
  <w:style w:type="paragraph" w:styleId="TOC3">
    <w:name w:val="toc 3"/>
    <w:basedOn w:val="Normal"/>
    <w:next w:val="Normal"/>
    <w:autoRedefine/>
    <w:uiPriority w:val="39"/>
    <w:rsid w:val="00ED7F3A"/>
    <w:pPr>
      <w:tabs>
        <w:tab w:val="left" w:pos="1100"/>
        <w:tab w:val="right" w:leader="dot" w:pos="9629"/>
      </w:tabs>
      <w:ind w:left="480"/>
      <w:jc w:val="both"/>
    </w:pPr>
  </w:style>
  <w:style w:type="paragraph" w:styleId="Header">
    <w:name w:val="header"/>
    <w:aliases w:val="Header Char,Header Char1 Char,Header Char Char Char,Header Char3 Char Char Char,Header Char1 Char Char Char Char1 Char,Header Char Char Char Char Char Char1 Char,Header Char2 Char1 Char Char Char,Header Char1 Char1,Header Char Char Char1"/>
    <w:basedOn w:val="Normal"/>
    <w:link w:val="HeaderChar2"/>
    <w:uiPriority w:val="99"/>
    <w:rsid w:val="006D31F7"/>
    <w:pPr>
      <w:tabs>
        <w:tab w:val="center" w:pos="4536"/>
        <w:tab w:val="right" w:pos="9072"/>
      </w:tabs>
    </w:p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basedOn w:val="DefaultParagraphFont"/>
    <w:uiPriority w:val="99"/>
    <w:locked/>
    <w:rsid w:val="008F037B"/>
    <w:rPr>
      <w:rFonts w:cs="Times New Roman"/>
      <w:sz w:val="24"/>
      <w:szCs w:val="24"/>
    </w:rPr>
  </w:style>
  <w:style w:type="paragraph" w:customStyle="1" w:styleId="Char1CharCharChar">
    <w:name w:val="Char1 Char Char Char"/>
    <w:basedOn w:val="Normal"/>
    <w:uiPriority w:val="99"/>
    <w:semiHidden/>
    <w:rsid w:val="001A5495"/>
    <w:pPr>
      <w:tabs>
        <w:tab w:val="left" w:pos="709"/>
      </w:tabs>
    </w:pPr>
    <w:rPr>
      <w:rFonts w:ascii="Futura Bk" w:hAnsi="Futura Bk"/>
      <w:lang w:val="pl-PL" w:eastAsia="pl-PL"/>
    </w:rPr>
  </w:style>
  <w:style w:type="character" w:customStyle="1" w:styleId="Heading3Char1">
    <w:name w:val="Heading 3 Char1"/>
    <w:basedOn w:val="DefaultParagraphFont"/>
    <w:link w:val="Heading3"/>
    <w:uiPriority w:val="99"/>
    <w:locked/>
    <w:rsid w:val="001A5495"/>
    <w:rPr>
      <w:rFonts w:ascii="Arial" w:hAnsi="Arial" w:cs="Arial"/>
      <w:b/>
      <w:bCs/>
      <w:sz w:val="26"/>
      <w:szCs w:val="26"/>
    </w:rPr>
  </w:style>
  <w:style w:type="paragraph" w:styleId="BodyTextIndent">
    <w:name w:val="Body Text Indent"/>
    <w:basedOn w:val="Normal"/>
    <w:link w:val="BodyTextIndentChar"/>
    <w:uiPriority w:val="99"/>
    <w:rsid w:val="004840B0"/>
    <w:pPr>
      <w:spacing w:after="120"/>
      <w:ind w:left="283"/>
    </w:pPr>
    <w:rPr>
      <w:lang w:val="en-GB" w:eastAsia="en-US"/>
    </w:rPr>
  </w:style>
  <w:style w:type="character" w:customStyle="1" w:styleId="BodyTextIndentChar">
    <w:name w:val="Body Text Indent Char"/>
    <w:basedOn w:val="DefaultParagraphFont"/>
    <w:link w:val="BodyTextIndent"/>
    <w:uiPriority w:val="99"/>
    <w:locked/>
    <w:rsid w:val="008F037B"/>
    <w:rPr>
      <w:rFonts w:cs="Times New Roman"/>
      <w:sz w:val="24"/>
      <w:szCs w:val="24"/>
    </w:rPr>
  </w:style>
  <w:style w:type="paragraph" w:styleId="BodyText2">
    <w:name w:val="Body Text 2"/>
    <w:basedOn w:val="Normal"/>
    <w:link w:val="BodyText2Char1"/>
    <w:uiPriority w:val="99"/>
    <w:rsid w:val="004840B0"/>
    <w:pPr>
      <w:spacing w:after="120" w:line="480" w:lineRule="auto"/>
    </w:pPr>
    <w:rPr>
      <w:szCs w:val="20"/>
      <w:lang w:val="en-GB" w:eastAsia="en-US"/>
    </w:rPr>
  </w:style>
  <w:style w:type="character" w:customStyle="1" w:styleId="BodyText2Char">
    <w:name w:val="Body Text 2 Char"/>
    <w:basedOn w:val="DefaultParagraphFont"/>
    <w:uiPriority w:val="99"/>
    <w:semiHidden/>
    <w:locked/>
    <w:rsid w:val="008F037B"/>
    <w:rPr>
      <w:rFonts w:cs="Times New Roman"/>
      <w:sz w:val="24"/>
      <w:szCs w:val="24"/>
    </w:rPr>
  </w:style>
  <w:style w:type="paragraph" w:styleId="BodyText">
    <w:name w:val="Body Text"/>
    <w:basedOn w:val="Normal"/>
    <w:link w:val="BodyTextChar"/>
    <w:uiPriority w:val="99"/>
    <w:rsid w:val="002F0186"/>
    <w:pPr>
      <w:spacing w:after="120"/>
    </w:pPr>
  </w:style>
  <w:style w:type="character" w:customStyle="1" w:styleId="BodyTextChar">
    <w:name w:val="Body Text Char"/>
    <w:basedOn w:val="DefaultParagraphFont"/>
    <w:link w:val="BodyText"/>
    <w:uiPriority w:val="99"/>
    <w:locked/>
    <w:rsid w:val="008F037B"/>
    <w:rPr>
      <w:rFonts w:cs="Times New Roman"/>
      <w:sz w:val="24"/>
      <w:szCs w:val="24"/>
    </w:rPr>
  </w:style>
  <w:style w:type="character" w:customStyle="1" w:styleId="HeaderChar2">
    <w:name w:val="Header Char2"/>
    <w:aliases w:val="Header Char Char1,Header Char1 Char Char1,Header Char Char Char Char1,Header Char3 Char Char Char Char1,Header Char1 Char Char Char Char1 Char Char1,Header Char Char Char Char Char Char1 Char Char1,Header Char2 Char1 Char Char Char Char1"/>
    <w:basedOn w:val="DefaultParagraphFont"/>
    <w:link w:val="Header"/>
    <w:uiPriority w:val="99"/>
    <w:locked/>
    <w:rsid w:val="00A81777"/>
    <w:rPr>
      <w:rFonts w:cs="Times New Roman"/>
      <w:sz w:val="24"/>
      <w:szCs w:val="24"/>
      <w:lang w:val="bg-BG" w:eastAsia="bg-BG" w:bidi="ar-SA"/>
    </w:rPr>
  </w:style>
  <w:style w:type="paragraph" w:styleId="BlockText">
    <w:name w:val="Block Text"/>
    <w:basedOn w:val="Normal"/>
    <w:uiPriority w:val="99"/>
    <w:rsid w:val="00B34CCE"/>
    <w:pPr>
      <w:ind w:left="-851" w:right="-99"/>
    </w:pPr>
    <w:rPr>
      <w:rFonts w:ascii="Arial" w:hAnsi="Arial"/>
      <w:szCs w:val="20"/>
      <w:lang w:eastAsia="en-US"/>
    </w:rPr>
  </w:style>
  <w:style w:type="paragraph" w:customStyle="1" w:styleId="NormalFirstline">
    <w:name w:val="Normal + First line"/>
    <w:aliases w:val="1.25 cm,After 6 pt"/>
    <w:basedOn w:val="Normal"/>
    <w:uiPriority w:val="99"/>
    <w:rsid w:val="006674AF"/>
    <w:rPr>
      <w:sz w:val="20"/>
      <w:szCs w:val="20"/>
      <w:lang w:eastAsia="en-US"/>
    </w:rPr>
  </w:style>
  <w:style w:type="paragraph" w:styleId="BodyTextIndent2">
    <w:name w:val="Body Text Indent 2"/>
    <w:basedOn w:val="Normal"/>
    <w:link w:val="BodyTextIndent2Char"/>
    <w:uiPriority w:val="99"/>
    <w:rsid w:val="006674A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F037B"/>
    <w:rPr>
      <w:rFonts w:cs="Times New Roman"/>
      <w:sz w:val="24"/>
      <w:szCs w:val="24"/>
    </w:rPr>
  </w:style>
  <w:style w:type="paragraph" w:styleId="Title">
    <w:name w:val="Title"/>
    <w:basedOn w:val="Normal"/>
    <w:link w:val="TitleChar"/>
    <w:qFormat/>
    <w:rsid w:val="00D91FD1"/>
    <w:pPr>
      <w:jc w:val="center"/>
    </w:pPr>
    <w:rPr>
      <w:b/>
      <w:bCs/>
      <w:lang w:eastAsia="en-US"/>
    </w:rPr>
  </w:style>
  <w:style w:type="character" w:customStyle="1" w:styleId="TitleChar">
    <w:name w:val="Title Char"/>
    <w:basedOn w:val="DefaultParagraphFont"/>
    <w:link w:val="Title"/>
    <w:locked/>
    <w:rsid w:val="008F037B"/>
    <w:rPr>
      <w:rFonts w:ascii="Cambria" w:hAnsi="Cambria" w:cs="Times New Roman"/>
      <w:b/>
      <w:bCs/>
      <w:kern w:val="28"/>
      <w:sz w:val="32"/>
      <w:szCs w:val="32"/>
    </w:rPr>
  </w:style>
  <w:style w:type="paragraph" w:styleId="BodyText3">
    <w:name w:val="Body Text 3"/>
    <w:basedOn w:val="Normal"/>
    <w:link w:val="BodyText3Char"/>
    <w:uiPriority w:val="99"/>
    <w:rsid w:val="00F33126"/>
    <w:pPr>
      <w:spacing w:after="120"/>
    </w:pPr>
    <w:rPr>
      <w:sz w:val="16"/>
      <w:szCs w:val="16"/>
    </w:rPr>
  </w:style>
  <w:style w:type="character" w:customStyle="1" w:styleId="BodyText3Char">
    <w:name w:val="Body Text 3 Char"/>
    <w:basedOn w:val="DefaultParagraphFont"/>
    <w:link w:val="BodyText3"/>
    <w:uiPriority w:val="99"/>
    <w:semiHidden/>
    <w:locked/>
    <w:rsid w:val="008F037B"/>
    <w:rPr>
      <w:rFonts w:cs="Times New Roman"/>
      <w:sz w:val="16"/>
      <w:szCs w:val="16"/>
    </w:rPr>
  </w:style>
  <w:style w:type="paragraph" w:customStyle="1" w:styleId="CharCharCharCharCharChar">
    <w:name w:val="Char Char Char Char Знак Char Char Знак"/>
    <w:basedOn w:val="Normal"/>
    <w:uiPriority w:val="99"/>
    <w:rsid w:val="00F13C89"/>
    <w:pPr>
      <w:tabs>
        <w:tab w:val="left" w:pos="709"/>
      </w:tabs>
    </w:pPr>
    <w:rPr>
      <w:rFonts w:ascii="Tahoma" w:hAnsi="Tahoma"/>
      <w:lang w:val="pl-PL" w:eastAsia="pl-PL"/>
    </w:rPr>
  </w:style>
  <w:style w:type="paragraph" w:styleId="PlainText">
    <w:name w:val="Plain Text"/>
    <w:basedOn w:val="Normal"/>
    <w:link w:val="PlainTextChar"/>
    <w:uiPriority w:val="99"/>
    <w:rsid w:val="004F3FDC"/>
    <w:pPr>
      <w:spacing w:before="100" w:beforeAutospacing="1" w:after="100" w:afterAutospacing="1"/>
    </w:pPr>
  </w:style>
  <w:style w:type="character" w:customStyle="1" w:styleId="PlainTextChar">
    <w:name w:val="Plain Text Char"/>
    <w:basedOn w:val="DefaultParagraphFont"/>
    <w:link w:val="PlainText"/>
    <w:uiPriority w:val="99"/>
    <w:locked/>
    <w:rsid w:val="008F037B"/>
    <w:rPr>
      <w:rFonts w:ascii="Courier New" w:hAnsi="Courier New" w:cs="Courier New"/>
      <w:sz w:val="20"/>
      <w:szCs w:val="20"/>
    </w:rPr>
  </w:style>
  <w:style w:type="paragraph" w:customStyle="1" w:styleId="CharCharCharCharCharCharCharCharCharCharCharChar1CharCharCharChar">
    <w:name w:val="Char Знак Char Char Знак Char Знак Char Char Char Char Знак Char Знак Char Знак Char Char1 Знак Char Знак Char Char Знак Знак Char"/>
    <w:basedOn w:val="Normal"/>
    <w:uiPriority w:val="99"/>
    <w:rsid w:val="00585E27"/>
    <w:pPr>
      <w:tabs>
        <w:tab w:val="left" w:pos="709"/>
      </w:tabs>
    </w:pPr>
    <w:rPr>
      <w:rFonts w:ascii="Tahoma" w:hAnsi="Tahoma"/>
      <w:lang w:val="pl-PL" w:eastAsia="pl-PL"/>
    </w:rPr>
  </w:style>
  <w:style w:type="paragraph" w:styleId="EndnoteText">
    <w:name w:val="endnote text"/>
    <w:basedOn w:val="Normal"/>
    <w:link w:val="EndnoteTextChar"/>
    <w:uiPriority w:val="99"/>
    <w:semiHidden/>
    <w:rsid w:val="00EA7ABE"/>
    <w:rPr>
      <w:sz w:val="20"/>
      <w:szCs w:val="20"/>
    </w:rPr>
  </w:style>
  <w:style w:type="character" w:customStyle="1" w:styleId="EndnoteTextChar">
    <w:name w:val="Endnote Text Char"/>
    <w:basedOn w:val="DefaultParagraphFont"/>
    <w:link w:val="EndnoteText"/>
    <w:uiPriority w:val="99"/>
    <w:semiHidden/>
    <w:locked/>
    <w:rsid w:val="008F037B"/>
    <w:rPr>
      <w:rFonts w:cs="Times New Roman"/>
      <w:sz w:val="20"/>
      <w:szCs w:val="20"/>
    </w:rPr>
  </w:style>
  <w:style w:type="character" w:styleId="EndnoteReference">
    <w:name w:val="endnote reference"/>
    <w:basedOn w:val="DefaultParagraphFont"/>
    <w:uiPriority w:val="99"/>
    <w:semiHidden/>
    <w:rsid w:val="00EA7ABE"/>
    <w:rPr>
      <w:rFonts w:cs="Times New Roman"/>
      <w:vertAlign w:val="superscript"/>
    </w:rPr>
  </w:style>
  <w:style w:type="character" w:customStyle="1" w:styleId="innerpagetitle1">
    <w:name w:val="innerpagetitle1"/>
    <w:basedOn w:val="DefaultParagraphFont"/>
    <w:uiPriority w:val="99"/>
    <w:rsid w:val="00834013"/>
    <w:rPr>
      <w:rFonts w:cs="Times New Roman"/>
    </w:rPr>
  </w:style>
  <w:style w:type="character" w:styleId="Strong">
    <w:name w:val="Strong"/>
    <w:basedOn w:val="DefaultParagraphFont"/>
    <w:uiPriority w:val="22"/>
    <w:qFormat/>
    <w:rsid w:val="003512F6"/>
    <w:rPr>
      <w:rFonts w:cs="Times New Roman"/>
      <w:b/>
      <w:bCs/>
    </w:rPr>
  </w:style>
  <w:style w:type="character" w:customStyle="1" w:styleId="BalloonTextChar1">
    <w:name w:val="Balloon Text Char1"/>
    <w:basedOn w:val="DefaultParagraphFont"/>
    <w:link w:val="BalloonText"/>
    <w:uiPriority w:val="99"/>
    <w:semiHidden/>
    <w:locked/>
    <w:rsid w:val="001C5AF8"/>
    <w:rPr>
      <w:rFonts w:ascii="Tahoma" w:hAnsi="Tahoma" w:cs="Tahoma"/>
      <w:sz w:val="16"/>
      <w:szCs w:val="16"/>
      <w:lang w:val="bg-BG" w:eastAsia="bg-BG" w:bidi="ar-SA"/>
    </w:rPr>
  </w:style>
  <w:style w:type="character" w:styleId="CommentReference">
    <w:name w:val="annotation reference"/>
    <w:basedOn w:val="DefaultParagraphFont"/>
    <w:uiPriority w:val="99"/>
    <w:semiHidden/>
    <w:rsid w:val="00271358"/>
    <w:rPr>
      <w:rFonts w:cs="Times New Roman"/>
      <w:sz w:val="16"/>
      <w:szCs w:val="16"/>
    </w:rPr>
  </w:style>
  <w:style w:type="paragraph" w:styleId="CommentText">
    <w:name w:val="annotation text"/>
    <w:basedOn w:val="Normal"/>
    <w:link w:val="CommentTextChar"/>
    <w:uiPriority w:val="99"/>
    <w:semiHidden/>
    <w:rsid w:val="00271358"/>
    <w:rPr>
      <w:sz w:val="20"/>
      <w:szCs w:val="20"/>
    </w:rPr>
  </w:style>
  <w:style w:type="character" w:customStyle="1" w:styleId="CommentTextChar">
    <w:name w:val="Comment Text Char"/>
    <w:basedOn w:val="DefaultParagraphFont"/>
    <w:link w:val="CommentText"/>
    <w:uiPriority w:val="99"/>
    <w:semiHidden/>
    <w:locked/>
    <w:rsid w:val="008F037B"/>
    <w:rPr>
      <w:rFonts w:cs="Times New Roman"/>
      <w:sz w:val="20"/>
      <w:szCs w:val="20"/>
    </w:rPr>
  </w:style>
  <w:style w:type="paragraph" w:styleId="CommentSubject">
    <w:name w:val="annotation subject"/>
    <w:basedOn w:val="CommentText"/>
    <w:next w:val="CommentText"/>
    <w:link w:val="CommentSubjectChar"/>
    <w:uiPriority w:val="99"/>
    <w:semiHidden/>
    <w:rsid w:val="00271358"/>
    <w:rPr>
      <w:b/>
      <w:bCs/>
    </w:rPr>
  </w:style>
  <w:style w:type="character" w:customStyle="1" w:styleId="CommentSubjectChar">
    <w:name w:val="Comment Subject Char"/>
    <w:basedOn w:val="CommentTextChar"/>
    <w:link w:val="CommentSubject"/>
    <w:uiPriority w:val="99"/>
    <w:semiHidden/>
    <w:locked/>
    <w:rsid w:val="008F037B"/>
    <w:rPr>
      <w:rFonts w:cs="Times New Roman"/>
      <w:b/>
      <w:bCs/>
      <w:sz w:val="20"/>
      <w:szCs w:val="20"/>
    </w:rPr>
  </w:style>
  <w:style w:type="paragraph" w:customStyle="1" w:styleId="Default">
    <w:name w:val="Default"/>
    <w:rsid w:val="00340552"/>
    <w:pPr>
      <w:autoSpaceDE w:val="0"/>
      <w:autoSpaceDN w:val="0"/>
      <w:adjustRightInd w:val="0"/>
    </w:pPr>
    <w:rPr>
      <w:color w:val="000000"/>
      <w:sz w:val="24"/>
      <w:szCs w:val="24"/>
    </w:rPr>
  </w:style>
  <w:style w:type="character" w:customStyle="1" w:styleId="BodyText2Char1">
    <w:name w:val="Body Text 2 Char1"/>
    <w:link w:val="BodyText2"/>
    <w:uiPriority w:val="99"/>
    <w:semiHidden/>
    <w:locked/>
    <w:rsid w:val="0050333B"/>
    <w:rPr>
      <w:sz w:val="24"/>
      <w:lang w:val="en-GB" w:eastAsia="en-US"/>
    </w:rPr>
  </w:style>
  <w:style w:type="paragraph" w:customStyle="1" w:styleId="CharChar1CharCharCharCharCharChar">
    <w:name w:val="Char Char1 Char Char Char Char Char Char"/>
    <w:basedOn w:val="Normal"/>
    <w:uiPriority w:val="99"/>
    <w:semiHidden/>
    <w:rsid w:val="00F23E9E"/>
    <w:pPr>
      <w:tabs>
        <w:tab w:val="left" w:pos="709"/>
      </w:tabs>
    </w:pPr>
    <w:rPr>
      <w:rFonts w:ascii="Futura Bk" w:hAnsi="Futura Bk"/>
      <w:lang w:val="pl-PL" w:eastAsia="pl-PL"/>
    </w:rPr>
  </w:style>
  <w:style w:type="paragraph" w:customStyle="1" w:styleId="Char2">
    <w:name w:val="Char2"/>
    <w:basedOn w:val="Normal"/>
    <w:uiPriority w:val="99"/>
    <w:semiHidden/>
    <w:rsid w:val="004D7F71"/>
    <w:pPr>
      <w:tabs>
        <w:tab w:val="left" w:pos="709"/>
      </w:tabs>
    </w:pPr>
    <w:rPr>
      <w:rFonts w:ascii="Futura Bk" w:hAnsi="Futura Bk"/>
      <w:lang w:val="pl-PL" w:eastAsia="pl-PL"/>
    </w:rPr>
  </w:style>
  <w:style w:type="character" w:customStyle="1" w:styleId="A11">
    <w:name w:val="A11"/>
    <w:uiPriority w:val="99"/>
    <w:rsid w:val="004D7F71"/>
    <w:rPr>
      <w:b/>
      <w:color w:val="000000"/>
      <w:sz w:val="19"/>
    </w:rPr>
  </w:style>
  <w:style w:type="paragraph" w:styleId="ListParagraph">
    <w:name w:val="List Paragraph"/>
    <w:aliases w:val="List1,References,列出段,Bullets,Recommendatio,Párrafo de lista,Recommendation,OBC Bullet,Dot pt,F5 List Paragraph,No Spacing1,List Paragraph Char Char Char,Indicator Text,Numbered Para 1,Bullet 1,Bullet Points,List Paragraph2,L,3"/>
    <w:basedOn w:val="Normal"/>
    <w:link w:val="ListParagraphChar"/>
    <w:uiPriority w:val="34"/>
    <w:qFormat/>
    <w:rsid w:val="004D7F71"/>
    <w:pPr>
      <w:ind w:left="720"/>
      <w:contextualSpacing/>
    </w:pPr>
    <w:rPr>
      <w:rFonts w:ascii="Calibri" w:hAnsi="Calibri" w:cs="Calibri"/>
      <w:sz w:val="22"/>
      <w:szCs w:val="22"/>
      <w:lang w:eastAsia="en-US"/>
    </w:rPr>
  </w:style>
  <w:style w:type="paragraph" w:customStyle="1" w:styleId="Char3">
    <w:name w:val="Char3"/>
    <w:basedOn w:val="Normal"/>
    <w:uiPriority w:val="99"/>
    <w:semiHidden/>
    <w:rsid w:val="0028373A"/>
    <w:pPr>
      <w:tabs>
        <w:tab w:val="left" w:pos="709"/>
      </w:tabs>
    </w:pPr>
    <w:rPr>
      <w:rFonts w:ascii="Futura Bk" w:hAnsi="Futura Bk"/>
      <w:lang w:val="pl-PL" w:eastAsia="pl-PL"/>
    </w:rPr>
  </w:style>
  <w:style w:type="character" w:customStyle="1" w:styleId="CharChar">
    <w:name w:val="Char Char"/>
    <w:basedOn w:val="DefaultParagraphFont"/>
    <w:uiPriority w:val="99"/>
    <w:rsid w:val="0028373A"/>
    <w:rPr>
      <w:rFonts w:ascii="Arial" w:hAnsi="Arial" w:cs="Arial"/>
      <w:b/>
      <w:bCs/>
      <w:sz w:val="26"/>
      <w:szCs w:val="26"/>
      <w:lang w:val="bg-BG" w:eastAsia="bg-BG" w:bidi="ar-SA"/>
    </w:rPr>
  </w:style>
  <w:style w:type="character" w:customStyle="1" w:styleId="CharChar1">
    <w:name w:val="Char Char1"/>
    <w:uiPriority w:val="99"/>
    <w:rsid w:val="007C030B"/>
    <w:rPr>
      <w:lang w:val="bg-BG" w:eastAsia="bg-BG"/>
    </w:rPr>
  </w:style>
  <w:style w:type="character" w:customStyle="1" w:styleId="singleitem2">
    <w:name w:val="single_item2"/>
    <w:basedOn w:val="DefaultParagraphFont"/>
    <w:uiPriority w:val="99"/>
    <w:rsid w:val="004F1C2A"/>
    <w:rPr>
      <w:rFonts w:cs="Times New Roman"/>
    </w:rPr>
  </w:style>
  <w:style w:type="paragraph" w:customStyle="1" w:styleId="Char4">
    <w:name w:val="Char4"/>
    <w:basedOn w:val="Normal"/>
    <w:uiPriority w:val="99"/>
    <w:semiHidden/>
    <w:rsid w:val="00EF556D"/>
    <w:pPr>
      <w:tabs>
        <w:tab w:val="left" w:pos="709"/>
      </w:tabs>
    </w:pPr>
    <w:rPr>
      <w:rFonts w:ascii="Futura Bk" w:hAnsi="Futura Bk"/>
      <w:lang w:val="pl-PL" w:eastAsia="pl-PL"/>
    </w:rPr>
  </w:style>
  <w:style w:type="character" w:styleId="Emphasis">
    <w:name w:val="Emphasis"/>
    <w:basedOn w:val="DefaultParagraphFont"/>
    <w:uiPriority w:val="99"/>
    <w:qFormat/>
    <w:locked/>
    <w:rsid w:val="00AE5B9E"/>
    <w:rPr>
      <w:rFonts w:cs="Times New Roman"/>
      <w:i/>
    </w:rPr>
  </w:style>
  <w:style w:type="paragraph" w:customStyle="1" w:styleId="CharChar1CharChar">
    <w:name w:val="Char Char1 Char Char"/>
    <w:basedOn w:val="Normal"/>
    <w:uiPriority w:val="99"/>
    <w:semiHidden/>
    <w:rsid w:val="005F41ED"/>
    <w:pPr>
      <w:tabs>
        <w:tab w:val="left" w:pos="709"/>
      </w:tabs>
    </w:pPr>
    <w:rPr>
      <w:rFonts w:ascii="Futura Bk" w:hAnsi="Futura Bk"/>
      <w:lang w:val="pl-PL" w:eastAsia="pl-PL"/>
    </w:rPr>
  </w:style>
  <w:style w:type="paragraph" w:customStyle="1" w:styleId="CharCharCharChar1">
    <w:name w:val="Char Char Char Char1"/>
    <w:basedOn w:val="Normal"/>
    <w:semiHidden/>
    <w:rsid w:val="0062313B"/>
    <w:pPr>
      <w:tabs>
        <w:tab w:val="left" w:pos="709"/>
      </w:tabs>
    </w:pPr>
    <w:rPr>
      <w:rFonts w:ascii="Futura Bk" w:hAnsi="Futura Bk"/>
      <w:lang w:val="pl-PL" w:eastAsia="pl-PL"/>
    </w:rPr>
  </w:style>
  <w:style w:type="character" w:customStyle="1" w:styleId="Heading5Char">
    <w:name w:val="Heading 5 Char"/>
    <w:basedOn w:val="DefaultParagraphFont"/>
    <w:link w:val="Heading5"/>
    <w:semiHidden/>
    <w:rsid w:val="0010084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100844"/>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1008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00844"/>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aliases w:val="List1 Char,References Char,列出段 Char,Bullets Char,Recommendatio Char,Párrafo de lista Char,Recommendation Char,OBC Bullet Char,Dot pt Char,F5 List Paragraph Char,No Spacing1 Char,List Paragraph Char Char Char Char,Indicator Text Char"/>
    <w:link w:val="ListParagraph"/>
    <w:uiPriority w:val="34"/>
    <w:qFormat/>
    <w:locked/>
    <w:rsid w:val="008B0C6E"/>
    <w:rPr>
      <w:rFonts w:ascii="Calibri" w:hAnsi="Calibri" w:cs="Calibri"/>
      <w:lang w:eastAsia="en-US"/>
    </w:rPr>
  </w:style>
  <w:style w:type="character" w:customStyle="1" w:styleId="HeaderChar2Char">
    <w:name w:val="Header Char2 Char"/>
    <w:aliases w:val="Header Char1 Char1 Char,Header Char Char Char1 Char,Header Char1 Char Char Char Char,Header Char Char Char Char Char Char,Header Char Char1 Char,Header Char1 Char Char1 Char,Header Char Char Char Char1 Char"/>
    <w:basedOn w:val="DefaultParagraphFont"/>
    <w:rsid w:val="00D054F6"/>
    <w:rPr>
      <w:rFonts w:ascii="Arial" w:hAnsi="Arial"/>
      <w:sz w:val="24"/>
      <w:lang w:val="en-AU" w:eastAsia="en-US"/>
    </w:rPr>
  </w:style>
  <w:style w:type="paragraph" w:styleId="Revision">
    <w:name w:val="Revision"/>
    <w:hidden/>
    <w:uiPriority w:val="99"/>
    <w:semiHidden/>
    <w:rsid w:val="004B0421"/>
    <w:rPr>
      <w:sz w:val="24"/>
      <w:szCs w:val="24"/>
    </w:rPr>
  </w:style>
  <w:style w:type="paragraph" w:customStyle="1" w:styleId="CharCharCharChar">
    <w:name w:val="Char Char Char Char"/>
    <w:basedOn w:val="Normal"/>
    <w:rsid w:val="00BB061E"/>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613">
      <w:bodyDiv w:val="1"/>
      <w:marLeft w:val="0"/>
      <w:marRight w:val="0"/>
      <w:marTop w:val="0"/>
      <w:marBottom w:val="0"/>
      <w:divBdr>
        <w:top w:val="none" w:sz="0" w:space="0" w:color="auto"/>
        <w:left w:val="none" w:sz="0" w:space="0" w:color="auto"/>
        <w:bottom w:val="none" w:sz="0" w:space="0" w:color="auto"/>
        <w:right w:val="none" w:sz="0" w:space="0" w:color="auto"/>
      </w:divBdr>
    </w:div>
    <w:div w:id="20520185">
      <w:bodyDiv w:val="1"/>
      <w:marLeft w:val="0"/>
      <w:marRight w:val="0"/>
      <w:marTop w:val="0"/>
      <w:marBottom w:val="0"/>
      <w:divBdr>
        <w:top w:val="none" w:sz="0" w:space="0" w:color="auto"/>
        <w:left w:val="none" w:sz="0" w:space="0" w:color="auto"/>
        <w:bottom w:val="none" w:sz="0" w:space="0" w:color="auto"/>
        <w:right w:val="none" w:sz="0" w:space="0" w:color="auto"/>
      </w:divBdr>
    </w:div>
    <w:div w:id="177231971">
      <w:bodyDiv w:val="1"/>
      <w:marLeft w:val="0"/>
      <w:marRight w:val="0"/>
      <w:marTop w:val="0"/>
      <w:marBottom w:val="0"/>
      <w:divBdr>
        <w:top w:val="none" w:sz="0" w:space="0" w:color="auto"/>
        <w:left w:val="none" w:sz="0" w:space="0" w:color="auto"/>
        <w:bottom w:val="none" w:sz="0" w:space="0" w:color="auto"/>
        <w:right w:val="none" w:sz="0" w:space="0" w:color="auto"/>
      </w:divBdr>
    </w:div>
    <w:div w:id="182475147">
      <w:bodyDiv w:val="1"/>
      <w:marLeft w:val="0"/>
      <w:marRight w:val="0"/>
      <w:marTop w:val="0"/>
      <w:marBottom w:val="0"/>
      <w:divBdr>
        <w:top w:val="none" w:sz="0" w:space="0" w:color="auto"/>
        <w:left w:val="none" w:sz="0" w:space="0" w:color="auto"/>
        <w:bottom w:val="none" w:sz="0" w:space="0" w:color="auto"/>
        <w:right w:val="none" w:sz="0" w:space="0" w:color="auto"/>
      </w:divBdr>
    </w:div>
    <w:div w:id="211381051">
      <w:bodyDiv w:val="1"/>
      <w:marLeft w:val="0"/>
      <w:marRight w:val="0"/>
      <w:marTop w:val="0"/>
      <w:marBottom w:val="0"/>
      <w:divBdr>
        <w:top w:val="none" w:sz="0" w:space="0" w:color="auto"/>
        <w:left w:val="none" w:sz="0" w:space="0" w:color="auto"/>
        <w:bottom w:val="none" w:sz="0" w:space="0" w:color="auto"/>
        <w:right w:val="none" w:sz="0" w:space="0" w:color="auto"/>
      </w:divBdr>
    </w:div>
    <w:div w:id="215051228">
      <w:bodyDiv w:val="1"/>
      <w:marLeft w:val="0"/>
      <w:marRight w:val="0"/>
      <w:marTop w:val="0"/>
      <w:marBottom w:val="0"/>
      <w:divBdr>
        <w:top w:val="none" w:sz="0" w:space="0" w:color="auto"/>
        <w:left w:val="none" w:sz="0" w:space="0" w:color="auto"/>
        <w:bottom w:val="none" w:sz="0" w:space="0" w:color="auto"/>
        <w:right w:val="none" w:sz="0" w:space="0" w:color="auto"/>
      </w:divBdr>
    </w:div>
    <w:div w:id="305207252">
      <w:bodyDiv w:val="1"/>
      <w:marLeft w:val="0"/>
      <w:marRight w:val="0"/>
      <w:marTop w:val="0"/>
      <w:marBottom w:val="0"/>
      <w:divBdr>
        <w:top w:val="none" w:sz="0" w:space="0" w:color="auto"/>
        <w:left w:val="none" w:sz="0" w:space="0" w:color="auto"/>
        <w:bottom w:val="none" w:sz="0" w:space="0" w:color="auto"/>
        <w:right w:val="none" w:sz="0" w:space="0" w:color="auto"/>
      </w:divBdr>
    </w:div>
    <w:div w:id="464470990">
      <w:bodyDiv w:val="1"/>
      <w:marLeft w:val="0"/>
      <w:marRight w:val="0"/>
      <w:marTop w:val="0"/>
      <w:marBottom w:val="0"/>
      <w:divBdr>
        <w:top w:val="none" w:sz="0" w:space="0" w:color="auto"/>
        <w:left w:val="none" w:sz="0" w:space="0" w:color="auto"/>
        <w:bottom w:val="none" w:sz="0" w:space="0" w:color="auto"/>
        <w:right w:val="none" w:sz="0" w:space="0" w:color="auto"/>
      </w:divBdr>
    </w:div>
    <w:div w:id="485173226">
      <w:bodyDiv w:val="1"/>
      <w:marLeft w:val="0"/>
      <w:marRight w:val="0"/>
      <w:marTop w:val="0"/>
      <w:marBottom w:val="0"/>
      <w:divBdr>
        <w:top w:val="none" w:sz="0" w:space="0" w:color="auto"/>
        <w:left w:val="none" w:sz="0" w:space="0" w:color="auto"/>
        <w:bottom w:val="none" w:sz="0" w:space="0" w:color="auto"/>
        <w:right w:val="none" w:sz="0" w:space="0" w:color="auto"/>
      </w:divBdr>
    </w:div>
    <w:div w:id="506798057">
      <w:bodyDiv w:val="1"/>
      <w:marLeft w:val="0"/>
      <w:marRight w:val="0"/>
      <w:marTop w:val="0"/>
      <w:marBottom w:val="0"/>
      <w:divBdr>
        <w:top w:val="none" w:sz="0" w:space="0" w:color="auto"/>
        <w:left w:val="none" w:sz="0" w:space="0" w:color="auto"/>
        <w:bottom w:val="none" w:sz="0" w:space="0" w:color="auto"/>
        <w:right w:val="none" w:sz="0" w:space="0" w:color="auto"/>
      </w:divBdr>
    </w:div>
    <w:div w:id="511602273">
      <w:bodyDiv w:val="1"/>
      <w:marLeft w:val="0"/>
      <w:marRight w:val="0"/>
      <w:marTop w:val="0"/>
      <w:marBottom w:val="0"/>
      <w:divBdr>
        <w:top w:val="none" w:sz="0" w:space="0" w:color="auto"/>
        <w:left w:val="none" w:sz="0" w:space="0" w:color="auto"/>
        <w:bottom w:val="none" w:sz="0" w:space="0" w:color="auto"/>
        <w:right w:val="none" w:sz="0" w:space="0" w:color="auto"/>
      </w:divBdr>
    </w:div>
    <w:div w:id="693730623">
      <w:marLeft w:val="0"/>
      <w:marRight w:val="0"/>
      <w:marTop w:val="0"/>
      <w:marBottom w:val="0"/>
      <w:divBdr>
        <w:top w:val="none" w:sz="0" w:space="0" w:color="auto"/>
        <w:left w:val="none" w:sz="0" w:space="0" w:color="auto"/>
        <w:bottom w:val="none" w:sz="0" w:space="0" w:color="auto"/>
        <w:right w:val="none" w:sz="0" w:space="0" w:color="auto"/>
      </w:divBdr>
    </w:div>
    <w:div w:id="693730624">
      <w:marLeft w:val="0"/>
      <w:marRight w:val="0"/>
      <w:marTop w:val="0"/>
      <w:marBottom w:val="0"/>
      <w:divBdr>
        <w:top w:val="none" w:sz="0" w:space="0" w:color="auto"/>
        <w:left w:val="none" w:sz="0" w:space="0" w:color="auto"/>
        <w:bottom w:val="none" w:sz="0" w:space="0" w:color="auto"/>
        <w:right w:val="none" w:sz="0" w:space="0" w:color="auto"/>
      </w:divBdr>
    </w:div>
    <w:div w:id="693730625">
      <w:marLeft w:val="0"/>
      <w:marRight w:val="0"/>
      <w:marTop w:val="0"/>
      <w:marBottom w:val="0"/>
      <w:divBdr>
        <w:top w:val="none" w:sz="0" w:space="0" w:color="auto"/>
        <w:left w:val="none" w:sz="0" w:space="0" w:color="auto"/>
        <w:bottom w:val="none" w:sz="0" w:space="0" w:color="auto"/>
        <w:right w:val="none" w:sz="0" w:space="0" w:color="auto"/>
      </w:divBdr>
    </w:div>
    <w:div w:id="693730626">
      <w:marLeft w:val="0"/>
      <w:marRight w:val="0"/>
      <w:marTop w:val="0"/>
      <w:marBottom w:val="0"/>
      <w:divBdr>
        <w:top w:val="none" w:sz="0" w:space="0" w:color="auto"/>
        <w:left w:val="none" w:sz="0" w:space="0" w:color="auto"/>
        <w:bottom w:val="none" w:sz="0" w:space="0" w:color="auto"/>
        <w:right w:val="none" w:sz="0" w:space="0" w:color="auto"/>
      </w:divBdr>
    </w:div>
    <w:div w:id="693730627">
      <w:marLeft w:val="0"/>
      <w:marRight w:val="0"/>
      <w:marTop w:val="0"/>
      <w:marBottom w:val="0"/>
      <w:divBdr>
        <w:top w:val="none" w:sz="0" w:space="0" w:color="auto"/>
        <w:left w:val="none" w:sz="0" w:space="0" w:color="auto"/>
        <w:bottom w:val="none" w:sz="0" w:space="0" w:color="auto"/>
        <w:right w:val="none" w:sz="0" w:space="0" w:color="auto"/>
      </w:divBdr>
    </w:div>
    <w:div w:id="693730628">
      <w:marLeft w:val="0"/>
      <w:marRight w:val="0"/>
      <w:marTop w:val="0"/>
      <w:marBottom w:val="0"/>
      <w:divBdr>
        <w:top w:val="none" w:sz="0" w:space="0" w:color="auto"/>
        <w:left w:val="none" w:sz="0" w:space="0" w:color="auto"/>
        <w:bottom w:val="none" w:sz="0" w:space="0" w:color="auto"/>
        <w:right w:val="none" w:sz="0" w:space="0" w:color="auto"/>
      </w:divBdr>
    </w:div>
    <w:div w:id="693730629">
      <w:marLeft w:val="0"/>
      <w:marRight w:val="0"/>
      <w:marTop w:val="0"/>
      <w:marBottom w:val="0"/>
      <w:divBdr>
        <w:top w:val="none" w:sz="0" w:space="0" w:color="auto"/>
        <w:left w:val="none" w:sz="0" w:space="0" w:color="auto"/>
        <w:bottom w:val="none" w:sz="0" w:space="0" w:color="auto"/>
        <w:right w:val="none" w:sz="0" w:space="0" w:color="auto"/>
      </w:divBdr>
    </w:div>
    <w:div w:id="693730630">
      <w:marLeft w:val="0"/>
      <w:marRight w:val="0"/>
      <w:marTop w:val="0"/>
      <w:marBottom w:val="0"/>
      <w:divBdr>
        <w:top w:val="none" w:sz="0" w:space="0" w:color="auto"/>
        <w:left w:val="none" w:sz="0" w:space="0" w:color="auto"/>
        <w:bottom w:val="none" w:sz="0" w:space="0" w:color="auto"/>
        <w:right w:val="none" w:sz="0" w:space="0" w:color="auto"/>
      </w:divBdr>
    </w:div>
    <w:div w:id="693730631">
      <w:marLeft w:val="0"/>
      <w:marRight w:val="0"/>
      <w:marTop w:val="0"/>
      <w:marBottom w:val="0"/>
      <w:divBdr>
        <w:top w:val="none" w:sz="0" w:space="0" w:color="auto"/>
        <w:left w:val="none" w:sz="0" w:space="0" w:color="auto"/>
        <w:bottom w:val="none" w:sz="0" w:space="0" w:color="auto"/>
        <w:right w:val="none" w:sz="0" w:space="0" w:color="auto"/>
      </w:divBdr>
    </w:div>
    <w:div w:id="693730632">
      <w:marLeft w:val="0"/>
      <w:marRight w:val="0"/>
      <w:marTop w:val="0"/>
      <w:marBottom w:val="0"/>
      <w:divBdr>
        <w:top w:val="none" w:sz="0" w:space="0" w:color="auto"/>
        <w:left w:val="none" w:sz="0" w:space="0" w:color="auto"/>
        <w:bottom w:val="none" w:sz="0" w:space="0" w:color="auto"/>
        <w:right w:val="none" w:sz="0" w:space="0" w:color="auto"/>
      </w:divBdr>
    </w:div>
    <w:div w:id="693730633">
      <w:marLeft w:val="0"/>
      <w:marRight w:val="0"/>
      <w:marTop w:val="0"/>
      <w:marBottom w:val="0"/>
      <w:divBdr>
        <w:top w:val="none" w:sz="0" w:space="0" w:color="auto"/>
        <w:left w:val="none" w:sz="0" w:space="0" w:color="auto"/>
        <w:bottom w:val="none" w:sz="0" w:space="0" w:color="auto"/>
        <w:right w:val="none" w:sz="0" w:space="0" w:color="auto"/>
      </w:divBdr>
    </w:div>
    <w:div w:id="693730634">
      <w:marLeft w:val="0"/>
      <w:marRight w:val="0"/>
      <w:marTop w:val="0"/>
      <w:marBottom w:val="0"/>
      <w:divBdr>
        <w:top w:val="none" w:sz="0" w:space="0" w:color="auto"/>
        <w:left w:val="none" w:sz="0" w:space="0" w:color="auto"/>
        <w:bottom w:val="none" w:sz="0" w:space="0" w:color="auto"/>
        <w:right w:val="none" w:sz="0" w:space="0" w:color="auto"/>
      </w:divBdr>
    </w:div>
    <w:div w:id="693730635">
      <w:marLeft w:val="0"/>
      <w:marRight w:val="0"/>
      <w:marTop w:val="0"/>
      <w:marBottom w:val="0"/>
      <w:divBdr>
        <w:top w:val="none" w:sz="0" w:space="0" w:color="auto"/>
        <w:left w:val="none" w:sz="0" w:space="0" w:color="auto"/>
        <w:bottom w:val="none" w:sz="0" w:space="0" w:color="auto"/>
        <w:right w:val="none" w:sz="0" w:space="0" w:color="auto"/>
      </w:divBdr>
    </w:div>
    <w:div w:id="693730636">
      <w:marLeft w:val="0"/>
      <w:marRight w:val="0"/>
      <w:marTop w:val="0"/>
      <w:marBottom w:val="0"/>
      <w:divBdr>
        <w:top w:val="none" w:sz="0" w:space="0" w:color="auto"/>
        <w:left w:val="none" w:sz="0" w:space="0" w:color="auto"/>
        <w:bottom w:val="none" w:sz="0" w:space="0" w:color="auto"/>
        <w:right w:val="none" w:sz="0" w:space="0" w:color="auto"/>
      </w:divBdr>
    </w:div>
    <w:div w:id="693730637">
      <w:marLeft w:val="0"/>
      <w:marRight w:val="0"/>
      <w:marTop w:val="0"/>
      <w:marBottom w:val="0"/>
      <w:divBdr>
        <w:top w:val="none" w:sz="0" w:space="0" w:color="auto"/>
        <w:left w:val="none" w:sz="0" w:space="0" w:color="auto"/>
        <w:bottom w:val="none" w:sz="0" w:space="0" w:color="auto"/>
        <w:right w:val="none" w:sz="0" w:space="0" w:color="auto"/>
      </w:divBdr>
    </w:div>
    <w:div w:id="693730638">
      <w:marLeft w:val="0"/>
      <w:marRight w:val="0"/>
      <w:marTop w:val="0"/>
      <w:marBottom w:val="0"/>
      <w:divBdr>
        <w:top w:val="none" w:sz="0" w:space="0" w:color="auto"/>
        <w:left w:val="none" w:sz="0" w:space="0" w:color="auto"/>
        <w:bottom w:val="none" w:sz="0" w:space="0" w:color="auto"/>
        <w:right w:val="none" w:sz="0" w:space="0" w:color="auto"/>
      </w:divBdr>
    </w:div>
    <w:div w:id="693730640">
      <w:marLeft w:val="0"/>
      <w:marRight w:val="0"/>
      <w:marTop w:val="0"/>
      <w:marBottom w:val="0"/>
      <w:divBdr>
        <w:top w:val="none" w:sz="0" w:space="0" w:color="auto"/>
        <w:left w:val="none" w:sz="0" w:space="0" w:color="auto"/>
        <w:bottom w:val="none" w:sz="0" w:space="0" w:color="auto"/>
        <w:right w:val="none" w:sz="0" w:space="0" w:color="auto"/>
      </w:divBdr>
      <w:divsChild>
        <w:div w:id="693730639">
          <w:marLeft w:val="0"/>
          <w:marRight w:val="0"/>
          <w:marTop w:val="0"/>
          <w:marBottom w:val="0"/>
          <w:divBdr>
            <w:top w:val="none" w:sz="0" w:space="0" w:color="auto"/>
            <w:left w:val="none" w:sz="0" w:space="0" w:color="auto"/>
            <w:bottom w:val="none" w:sz="0" w:space="0" w:color="auto"/>
            <w:right w:val="none" w:sz="0" w:space="0" w:color="auto"/>
          </w:divBdr>
        </w:div>
      </w:divsChild>
    </w:div>
    <w:div w:id="693730641">
      <w:marLeft w:val="0"/>
      <w:marRight w:val="0"/>
      <w:marTop w:val="0"/>
      <w:marBottom w:val="0"/>
      <w:divBdr>
        <w:top w:val="none" w:sz="0" w:space="0" w:color="auto"/>
        <w:left w:val="none" w:sz="0" w:space="0" w:color="auto"/>
        <w:bottom w:val="none" w:sz="0" w:space="0" w:color="auto"/>
        <w:right w:val="none" w:sz="0" w:space="0" w:color="auto"/>
      </w:divBdr>
    </w:div>
    <w:div w:id="693730642">
      <w:marLeft w:val="0"/>
      <w:marRight w:val="0"/>
      <w:marTop w:val="0"/>
      <w:marBottom w:val="0"/>
      <w:divBdr>
        <w:top w:val="none" w:sz="0" w:space="0" w:color="auto"/>
        <w:left w:val="none" w:sz="0" w:space="0" w:color="auto"/>
        <w:bottom w:val="none" w:sz="0" w:space="0" w:color="auto"/>
        <w:right w:val="none" w:sz="0" w:space="0" w:color="auto"/>
      </w:divBdr>
    </w:div>
    <w:div w:id="693730643">
      <w:marLeft w:val="0"/>
      <w:marRight w:val="0"/>
      <w:marTop w:val="0"/>
      <w:marBottom w:val="0"/>
      <w:divBdr>
        <w:top w:val="none" w:sz="0" w:space="0" w:color="auto"/>
        <w:left w:val="none" w:sz="0" w:space="0" w:color="auto"/>
        <w:bottom w:val="none" w:sz="0" w:space="0" w:color="auto"/>
        <w:right w:val="none" w:sz="0" w:space="0" w:color="auto"/>
      </w:divBdr>
    </w:div>
    <w:div w:id="693730644">
      <w:marLeft w:val="0"/>
      <w:marRight w:val="0"/>
      <w:marTop w:val="0"/>
      <w:marBottom w:val="0"/>
      <w:divBdr>
        <w:top w:val="none" w:sz="0" w:space="0" w:color="auto"/>
        <w:left w:val="none" w:sz="0" w:space="0" w:color="auto"/>
        <w:bottom w:val="none" w:sz="0" w:space="0" w:color="auto"/>
        <w:right w:val="none" w:sz="0" w:space="0" w:color="auto"/>
      </w:divBdr>
    </w:div>
    <w:div w:id="693730645">
      <w:marLeft w:val="0"/>
      <w:marRight w:val="0"/>
      <w:marTop w:val="0"/>
      <w:marBottom w:val="0"/>
      <w:divBdr>
        <w:top w:val="none" w:sz="0" w:space="0" w:color="auto"/>
        <w:left w:val="none" w:sz="0" w:space="0" w:color="auto"/>
        <w:bottom w:val="none" w:sz="0" w:space="0" w:color="auto"/>
        <w:right w:val="none" w:sz="0" w:space="0" w:color="auto"/>
      </w:divBdr>
    </w:div>
    <w:div w:id="693730646">
      <w:marLeft w:val="0"/>
      <w:marRight w:val="0"/>
      <w:marTop w:val="0"/>
      <w:marBottom w:val="0"/>
      <w:divBdr>
        <w:top w:val="none" w:sz="0" w:space="0" w:color="auto"/>
        <w:left w:val="none" w:sz="0" w:space="0" w:color="auto"/>
        <w:bottom w:val="none" w:sz="0" w:space="0" w:color="auto"/>
        <w:right w:val="none" w:sz="0" w:space="0" w:color="auto"/>
      </w:divBdr>
    </w:div>
    <w:div w:id="693730647">
      <w:marLeft w:val="0"/>
      <w:marRight w:val="0"/>
      <w:marTop w:val="0"/>
      <w:marBottom w:val="0"/>
      <w:divBdr>
        <w:top w:val="none" w:sz="0" w:space="0" w:color="auto"/>
        <w:left w:val="none" w:sz="0" w:space="0" w:color="auto"/>
        <w:bottom w:val="none" w:sz="0" w:space="0" w:color="auto"/>
        <w:right w:val="none" w:sz="0" w:space="0" w:color="auto"/>
      </w:divBdr>
    </w:div>
    <w:div w:id="693730648">
      <w:marLeft w:val="0"/>
      <w:marRight w:val="0"/>
      <w:marTop w:val="0"/>
      <w:marBottom w:val="0"/>
      <w:divBdr>
        <w:top w:val="none" w:sz="0" w:space="0" w:color="auto"/>
        <w:left w:val="none" w:sz="0" w:space="0" w:color="auto"/>
        <w:bottom w:val="none" w:sz="0" w:space="0" w:color="auto"/>
        <w:right w:val="none" w:sz="0" w:space="0" w:color="auto"/>
      </w:divBdr>
    </w:div>
    <w:div w:id="693730649">
      <w:marLeft w:val="0"/>
      <w:marRight w:val="0"/>
      <w:marTop w:val="0"/>
      <w:marBottom w:val="0"/>
      <w:divBdr>
        <w:top w:val="none" w:sz="0" w:space="0" w:color="auto"/>
        <w:left w:val="none" w:sz="0" w:space="0" w:color="auto"/>
        <w:bottom w:val="none" w:sz="0" w:space="0" w:color="auto"/>
        <w:right w:val="none" w:sz="0" w:space="0" w:color="auto"/>
      </w:divBdr>
    </w:div>
    <w:div w:id="822237730">
      <w:bodyDiv w:val="1"/>
      <w:marLeft w:val="0"/>
      <w:marRight w:val="0"/>
      <w:marTop w:val="0"/>
      <w:marBottom w:val="0"/>
      <w:divBdr>
        <w:top w:val="none" w:sz="0" w:space="0" w:color="auto"/>
        <w:left w:val="none" w:sz="0" w:space="0" w:color="auto"/>
        <w:bottom w:val="none" w:sz="0" w:space="0" w:color="auto"/>
        <w:right w:val="none" w:sz="0" w:space="0" w:color="auto"/>
      </w:divBdr>
    </w:div>
    <w:div w:id="917208034">
      <w:bodyDiv w:val="1"/>
      <w:marLeft w:val="0"/>
      <w:marRight w:val="0"/>
      <w:marTop w:val="0"/>
      <w:marBottom w:val="0"/>
      <w:divBdr>
        <w:top w:val="none" w:sz="0" w:space="0" w:color="auto"/>
        <w:left w:val="none" w:sz="0" w:space="0" w:color="auto"/>
        <w:bottom w:val="none" w:sz="0" w:space="0" w:color="auto"/>
        <w:right w:val="none" w:sz="0" w:space="0" w:color="auto"/>
      </w:divBdr>
    </w:div>
    <w:div w:id="929504104">
      <w:bodyDiv w:val="1"/>
      <w:marLeft w:val="0"/>
      <w:marRight w:val="0"/>
      <w:marTop w:val="0"/>
      <w:marBottom w:val="0"/>
      <w:divBdr>
        <w:top w:val="none" w:sz="0" w:space="0" w:color="auto"/>
        <w:left w:val="none" w:sz="0" w:space="0" w:color="auto"/>
        <w:bottom w:val="none" w:sz="0" w:space="0" w:color="auto"/>
        <w:right w:val="none" w:sz="0" w:space="0" w:color="auto"/>
      </w:divBdr>
    </w:div>
    <w:div w:id="951932825">
      <w:bodyDiv w:val="1"/>
      <w:marLeft w:val="0"/>
      <w:marRight w:val="0"/>
      <w:marTop w:val="0"/>
      <w:marBottom w:val="0"/>
      <w:divBdr>
        <w:top w:val="none" w:sz="0" w:space="0" w:color="auto"/>
        <w:left w:val="none" w:sz="0" w:space="0" w:color="auto"/>
        <w:bottom w:val="none" w:sz="0" w:space="0" w:color="auto"/>
        <w:right w:val="none" w:sz="0" w:space="0" w:color="auto"/>
      </w:divBdr>
    </w:div>
    <w:div w:id="985863609">
      <w:bodyDiv w:val="1"/>
      <w:marLeft w:val="0"/>
      <w:marRight w:val="0"/>
      <w:marTop w:val="0"/>
      <w:marBottom w:val="0"/>
      <w:divBdr>
        <w:top w:val="none" w:sz="0" w:space="0" w:color="auto"/>
        <w:left w:val="none" w:sz="0" w:space="0" w:color="auto"/>
        <w:bottom w:val="none" w:sz="0" w:space="0" w:color="auto"/>
        <w:right w:val="none" w:sz="0" w:space="0" w:color="auto"/>
      </w:divBdr>
    </w:div>
    <w:div w:id="998732825">
      <w:bodyDiv w:val="1"/>
      <w:marLeft w:val="0"/>
      <w:marRight w:val="0"/>
      <w:marTop w:val="0"/>
      <w:marBottom w:val="0"/>
      <w:divBdr>
        <w:top w:val="none" w:sz="0" w:space="0" w:color="auto"/>
        <w:left w:val="none" w:sz="0" w:space="0" w:color="auto"/>
        <w:bottom w:val="none" w:sz="0" w:space="0" w:color="auto"/>
        <w:right w:val="none" w:sz="0" w:space="0" w:color="auto"/>
      </w:divBdr>
    </w:div>
    <w:div w:id="1041202335">
      <w:bodyDiv w:val="1"/>
      <w:marLeft w:val="0"/>
      <w:marRight w:val="0"/>
      <w:marTop w:val="0"/>
      <w:marBottom w:val="0"/>
      <w:divBdr>
        <w:top w:val="none" w:sz="0" w:space="0" w:color="auto"/>
        <w:left w:val="none" w:sz="0" w:space="0" w:color="auto"/>
        <w:bottom w:val="none" w:sz="0" w:space="0" w:color="auto"/>
        <w:right w:val="none" w:sz="0" w:space="0" w:color="auto"/>
      </w:divBdr>
    </w:div>
    <w:div w:id="1092354184">
      <w:bodyDiv w:val="1"/>
      <w:marLeft w:val="0"/>
      <w:marRight w:val="0"/>
      <w:marTop w:val="0"/>
      <w:marBottom w:val="0"/>
      <w:divBdr>
        <w:top w:val="none" w:sz="0" w:space="0" w:color="auto"/>
        <w:left w:val="none" w:sz="0" w:space="0" w:color="auto"/>
        <w:bottom w:val="none" w:sz="0" w:space="0" w:color="auto"/>
        <w:right w:val="none" w:sz="0" w:space="0" w:color="auto"/>
      </w:divBdr>
    </w:div>
    <w:div w:id="1105464724">
      <w:bodyDiv w:val="1"/>
      <w:marLeft w:val="0"/>
      <w:marRight w:val="0"/>
      <w:marTop w:val="0"/>
      <w:marBottom w:val="0"/>
      <w:divBdr>
        <w:top w:val="none" w:sz="0" w:space="0" w:color="auto"/>
        <w:left w:val="none" w:sz="0" w:space="0" w:color="auto"/>
        <w:bottom w:val="none" w:sz="0" w:space="0" w:color="auto"/>
        <w:right w:val="none" w:sz="0" w:space="0" w:color="auto"/>
      </w:divBdr>
    </w:div>
    <w:div w:id="1223639941">
      <w:bodyDiv w:val="1"/>
      <w:marLeft w:val="0"/>
      <w:marRight w:val="0"/>
      <w:marTop w:val="0"/>
      <w:marBottom w:val="0"/>
      <w:divBdr>
        <w:top w:val="none" w:sz="0" w:space="0" w:color="auto"/>
        <w:left w:val="none" w:sz="0" w:space="0" w:color="auto"/>
        <w:bottom w:val="none" w:sz="0" w:space="0" w:color="auto"/>
        <w:right w:val="none" w:sz="0" w:space="0" w:color="auto"/>
      </w:divBdr>
    </w:div>
    <w:div w:id="1277060816">
      <w:bodyDiv w:val="1"/>
      <w:marLeft w:val="0"/>
      <w:marRight w:val="0"/>
      <w:marTop w:val="0"/>
      <w:marBottom w:val="0"/>
      <w:divBdr>
        <w:top w:val="none" w:sz="0" w:space="0" w:color="auto"/>
        <w:left w:val="none" w:sz="0" w:space="0" w:color="auto"/>
        <w:bottom w:val="none" w:sz="0" w:space="0" w:color="auto"/>
        <w:right w:val="none" w:sz="0" w:space="0" w:color="auto"/>
      </w:divBdr>
    </w:div>
    <w:div w:id="1321302232">
      <w:bodyDiv w:val="1"/>
      <w:marLeft w:val="0"/>
      <w:marRight w:val="0"/>
      <w:marTop w:val="0"/>
      <w:marBottom w:val="0"/>
      <w:divBdr>
        <w:top w:val="none" w:sz="0" w:space="0" w:color="auto"/>
        <w:left w:val="none" w:sz="0" w:space="0" w:color="auto"/>
        <w:bottom w:val="none" w:sz="0" w:space="0" w:color="auto"/>
        <w:right w:val="none" w:sz="0" w:space="0" w:color="auto"/>
      </w:divBdr>
    </w:div>
    <w:div w:id="1327443487">
      <w:bodyDiv w:val="1"/>
      <w:marLeft w:val="0"/>
      <w:marRight w:val="0"/>
      <w:marTop w:val="0"/>
      <w:marBottom w:val="0"/>
      <w:divBdr>
        <w:top w:val="none" w:sz="0" w:space="0" w:color="auto"/>
        <w:left w:val="none" w:sz="0" w:space="0" w:color="auto"/>
        <w:bottom w:val="none" w:sz="0" w:space="0" w:color="auto"/>
        <w:right w:val="none" w:sz="0" w:space="0" w:color="auto"/>
      </w:divBdr>
    </w:div>
    <w:div w:id="1328945421">
      <w:bodyDiv w:val="1"/>
      <w:marLeft w:val="0"/>
      <w:marRight w:val="0"/>
      <w:marTop w:val="0"/>
      <w:marBottom w:val="0"/>
      <w:divBdr>
        <w:top w:val="none" w:sz="0" w:space="0" w:color="auto"/>
        <w:left w:val="none" w:sz="0" w:space="0" w:color="auto"/>
        <w:bottom w:val="none" w:sz="0" w:space="0" w:color="auto"/>
        <w:right w:val="none" w:sz="0" w:space="0" w:color="auto"/>
      </w:divBdr>
    </w:div>
    <w:div w:id="1354460838">
      <w:bodyDiv w:val="1"/>
      <w:marLeft w:val="0"/>
      <w:marRight w:val="0"/>
      <w:marTop w:val="0"/>
      <w:marBottom w:val="0"/>
      <w:divBdr>
        <w:top w:val="none" w:sz="0" w:space="0" w:color="auto"/>
        <w:left w:val="none" w:sz="0" w:space="0" w:color="auto"/>
        <w:bottom w:val="none" w:sz="0" w:space="0" w:color="auto"/>
        <w:right w:val="none" w:sz="0" w:space="0" w:color="auto"/>
      </w:divBdr>
    </w:div>
    <w:div w:id="1453942664">
      <w:bodyDiv w:val="1"/>
      <w:marLeft w:val="0"/>
      <w:marRight w:val="0"/>
      <w:marTop w:val="0"/>
      <w:marBottom w:val="0"/>
      <w:divBdr>
        <w:top w:val="none" w:sz="0" w:space="0" w:color="auto"/>
        <w:left w:val="none" w:sz="0" w:space="0" w:color="auto"/>
        <w:bottom w:val="none" w:sz="0" w:space="0" w:color="auto"/>
        <w:right w:val="none" w:sz="0" w:space="0" w:color="auto"/>
      </w:divBdr>
    </w:div>
    <w:div w:id="1461066994">
      <w:bodyDiv w:val="1"/>
      <w:marLeft w:val="0"/>
      <w:marRight w:val="0"/>
      <w:marTop w:val="0"/>
      <w:marBottom w:val="0"/>
      <w:divBdr>
        <w:top w:val="none" w:sz="0" w:space="0" w:color="auto"/>
        <w:left w:val="none" w:sz="0" w:space="0" w:color="auto"/>
        <w:bottom w:val="none" w:sz="0" w:space="0" w:color="auto"/>
        <w:right w:val="none" w:sz="0" w:space="0" w:color="auto"/>
      </w:divBdr>
    </w:div>
    <w:div w:id="1493520725">
      <w:bodyDiv w:val="1"/>
      <w:marLeft w:val="0"/>
      <w:marRight w:val="0"/>
      <w:marTop w:val="0"/>
      <w:marBottom w:val="0"/>
      <w:divBdr>
        <w:top w:val="none" w:sz="0" w:space="0" w:color="auto"/>
        <w:left w:val="none" w:sz="0" w:space="0" w:color="auto"/>
        <w:bottom w:val="none" w:sz="0" w:space="0" w:color="auto"/>
        <w:right w:val="none" w:sz="0" w:space="0" w:color="auto"/>
      </w:divBdr>
    </w:div>
    <w:div w:id="1517649737">
      <w:bodyDiv w:val="1"/>
      <w:marLeft w:val="0"/>
      <w:marRight w:val="0"/>
      <w:marTop w:val="0"/>
      <w:marBottom w:val="0"/>
      <w:divBdr>
        <w:top w:val="none" w:sz="0" w:space="0" w:color="auto"/>
        <w:left w:val="none" w:sz="0" w:space="0" w:color="auto"/>
        <w:bottom w:val="none" w:sz="0" w:space="0" w:color="auto"/>
        <w:right w:val="none" w:sz="0" w:space="0" w:color="auto"/>
      </w:divBdr>
    </w:div>
    <w:div w:id="1701005913">
      <w:bodyDiv w:val="1"/>
      <w:marLeft w:val="0"/>
      <w:marRight w:val="0"/>
      <w:marTop w:val="0"/>
      <w:marBottom w:val="0"/>
      <w:divBdr>
        <w:top w:val="none" w:sz="0" w:space="0" w:color="auto"/>
        <w:left w:val="none" w:sz="0" w:space="0" w:color="auto"/>
        <w:bottom w:val="none" w:sz="0" w:space="0" w:color="auto"/>
        <w:right w:val="none" w:sz="0" w:space="0" w:color="auto"/>
      </w:divBdr>
    </w:div>
    <w:div w:id="1896425567">
      <w:bodyDiv w:val="1"/>
      <w:marLeft w:val="0"/>
      <w:marRight w:val="0"/>
      <w:marTop w:val="0"/>
      <w:marBottom w:val="0"/>
      <w:divBdr>
        <w:top w:val="none" w:sz="0" w:space="0" w:color="auto"/>
        <w:left w:val="none" w:sz="0" w:space="0" w:color="auto"/>
        <w:bottom w:val="none" w:sz="0" w:space="0" w:color="auto"/>
        <w:right w:val="none" w:sz="0" w:space="0" w:color="auto"/>
      </w:divBdr>
    </w:div>
    <w:div w:id="1941335412">
      <w:bodyDiv w:val="1"/>
      <w:marLeft w:val="0"/>
      <w:marRight w:val="0"/>
      <w:marTop w:val="0"/>
      <w:marBottom w:val="0"/>
      <w:divBdr>
        <w:top w:val="none" w:sz="0" w:space="0" w:color="auto"/>
        <w:left w:val="none" w:sz="0" w:space="0" w:color="auto"/>
        <w:bottom w:val="none" w:sz="0" w:space="0" w:color="auto"/>
        <w:right w:val="none" w:sz="0" w:space="0" w:color="auto"/>
      </w:divBdr>
    </w:div>
    <w:div w:id="2025552948">
      <w:bodyDiv w:val="1"/>
      <w:marLeft w:val="0"/>
      <w:marRight w:val="0"/>
      <w:marTop w:val="0"/>
      <w:marBottom w:val="0"/>
      <w:divBdr>
        <w:top w:val="none" w:sz="0" w:space="0" w:color="auto"/>
        <w:left w:val="none" w:sz="0" w:space="0" w:color="auto"/>
        <w:bottom w:val="none" w:sz="0" w:space="0" w:color="auto"/>
        <w:right w:val="none" w:sz="0" w:space="0" w:color="auto"/>
      </w:divBdr>
    </w:div>
    <w:div w:id="2051763759">
      <w:bodyDiv w:val="1"/>
      <w:marLeft w:val="0"/>
      <w:marRight w:val="0"/>
      <w:marTop w:val="0"/>
      <w:marBottom w:val="0"/>
      <w:divBdr>
        <w:top w:val="none" w:sz="0" w:space="0" w:color="auto"/>
        <w:left w:val="none" w:sz="0" w:space="0" w:color="auto"/>
        <w:bottom w:val="none" w:sz="0" w:space="0" w:color="auto"/>
        <w:right w:val="none" w:sz="0" w:space="0" w:color="auto"/>
      </w:divBdr>
    </w:div>
    <w:div w:id="20975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diagramQuickStyle" Target="diagrams/quickStyle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BAD478-3756-462D-90DA-26FD95503A80}" type="doc">
      <dgm:prSet loTypeId="urn:microsoft.com/office/officeart/2005/8/layout/default" loCatId="list" qsTypeId="urn:microsoft.com/office/officeart/2005/8/quickstyle/simple3" qsCatId="simple" csTypeId="urn:microsoft.com/office/officeart/2005/8/colors/accent2_2" csCatId="accent2" phldr="1"/>
      <dgm:spPr/>
      <dgm:t>
        <a:bodyPr/>
        <a:lstStyle/>
        <a:p>
          <a:endParaRPr lang="en-US"/>
        </a:p>
      </dgm:t>
    </dgm:pt>
    <dgm:pt modelId="{A5E561B8-C522-475D-B598-4066E350D1B2}">
      <dgm:prSet phldrT="[Text]" custT="1"/>
      <dgm:spPr/>
      <dgm:t>
        <a:bodyPr/>
        <a:lstStyle/>
        <a:p>
          <a:pPr algn="ctr"/>
          <a:r>
            <a:rPr lang="bg-BG" sz="2200" b="1">
              <a:latin typeface="Times New Roman" panose="02020603050405020304" pitchFamily="18" charset="0"/>
              <a:cs typeface="Times New Roman" panose="02020603050405020304" pitchFamily="18" charset="0"/>
            </a:rPr>
            <a:t>ДОКЛАД</a:t>
          </a:r>
        </a:p>
        <a:p>
          <a:pPr algn="ctr"/>
          <a:endParaRPr lang="bg-BG" sz="1900" b="1">
            <a:latin typeface="Times New Roman" panose="02020603050405020304" pitchFamily="18" charset="0"/>
            <a:cs typeface="Times New Roman" panose="02020603050405020304" pitchFamily="18" charset="0"/>
          </a:endParaRPr>
        </a:p>
        <a:p>
          <a:pPr algn="ctr"/>
          <a:r>
            <a:rPr lang="bg-BG" sz="1900" b="1">
              <a:latin typeface="Times New Roman" panose="02020603050405020304" pitchFamily="18" charset="0"/>
              <a:cs typeface="Times New Roman" panose="02020603050405020304" pitchFamily="18" charset="0"/>
            </a:rPr>
            <a:t>ЗА КАСОВОТО ИЗПЪЛНЕНИЕ НА</a:t>
          </a:r>
        </a:p>
        <a:p>
          <a:pPr algn="ctr"/>
          <a:r>
            <a:rPr lang="bg-BG" sz="1900" b="1">
              <a:latin typeface="Times New Roman" panose="02020603050405020304" pitchFamily="18" charset="0"/>
              <a:cs typeface="Times New Roman" panose="02020603050405020304" pitchFamily="18" charset="0"/>
            </a:rPr>
            <a:t>КОНСОЛИДИРАНАТА ФИСКАЛНА</a:t>
          </a:r>
        </a:p>
        <a:p>
          <a:pPr algn="ctr"/>
          <a:r>
            <a:rPr lang="bg-BG" sz="1900" b="1">
              <a:latin typeface="Times New Roman" panose="02020603050405020304" pitchFamily="18" charset="0"/>
              <a:cs typeface="Times New Roman" panose="02020603050405020304" pitchFamily="18" charset="0"/>
            </a:rPr>
            <a:t>ПРОГРАМА ЗА ПЪРВОТО ПОЛУГОДИЕ</a:t>
          </a:r>
        </a:p>
        <a:p>
          <a:pPr algn="ctr"/>
          <a:r>
            <a:rPr lang="bg-BG" sz="1900" b="1">
              <a:latin typeface="Times New Roman" panose="02020603050405020304" pitchFamily="18" charset="0"/>
              <a:cs typeface="Times New Roman" panose="02020603050405020304" pitchFamily="18" charset="0"/>
            </a:rPr>
            <a:t>НА </a:t>
          </a:r>
          <a:r>
            <a:rPr lang="ru-RU" sz="1900" b="1">
              <a:latin typeface="Times New Roman" panose="02020603050405020304" pitchFamily="18" charset="0"/>
              <a:cs typeface="Times New Roman" panose="02020603050405020304" pitchFamily="18" charset="0"/>
            </a:rPr>
            <a:t>2024</a:t>
          </a:r>
          <a:r>
            <a:rPr lang="bg-BG" sz="1900" b="1">
              <a:latin typeface="Times New Roman" panose="02020603050405020304" pitchFamily="18" charset="0"/>
              <a:cs typeface="Times New Roman" panose="02020603050405020304" pitchFamily="18" charset="0"/>
            </a:rPr>
            <a:t> ГОДИНА</a:t>
          </a:r>
        </a:p>
        <a:p>
          <a:pPr algn="ctr"/>
          <a:endParaRPr lang="en-US" sz="2200"/>
        </a:p>
      </dgm:t>
    </dgm:pt>
    <dgm:pt modelId="{7BFD6E72-2305-4F6C-A40B-38A48327E753}" type="parTrans" cxnId="{C823D5A4-859D-49B8-92E6-4FE14EAEF0FC}">
      <dgm:prSet/>
      <dgm:spPr/>
      <dgm:t>
        <a:bodyPr/>
        <a:lstStyle/>
        <a:p>
          <a:pPr algn="ctr"/>
          <a:endParaRPr lang="en-US"/>
        </a:p>
      </dgm:t>
    </dgm:pt>
    <dgm:pt modelId="{F58BC1B8-D2B4-4FC0-9CAD-788EDEAA7196}" type="sibTrans" cxnId="{C823D5A4-859D-49B8-92E6-4FE14EAEF0FC}">
      <dgm:prSet/>
      <dgm:spPr/>
      <dgm:t>
        <a:bodyPr/>
        <a:lstStyle/>
        <a:p>
          <a:pPr algn="ctr"/>
          <a:endParaRPr lang="en-US"/>
        </a:p>
      </dgm:t>
    </dgm:pt>
    <dgm:pt modelId="{D989F56E-FEDF-49C3-818E-45D13B3E25FC}" type="pres">
      <dgm:prSet presAssocID="{29BAD478-3756-462D-90DA-26FD95503A80}" presName="diagram" presStyleCnt="0">
        <dgm:presLayoutVars>
          <dgm:dir/>
          <dgm:resizeHandles val="exact"/>
        </dgm:presLayoutVars>
      </dgm:prSet>
      <dgm:spPr/>
      <dgm:t>
        <a:bodyPr/>
        <a:lstStyle/>
        <a:p>
          <a:endParaRPr lang="bg-BG"/>
        </a:p>
      </dgm:t>
    </dgm:pt>
    <dgm:pt modelId="{8D3396CF-CCB2-4843-9872-E6D7D4975676}" type="pres">
      <dgm:prSet presAssocID="{A5E561B8-C522-475D-B598-4066E350D1B2}" presName="node" presStyleLbl="node1" presStyleIdx="0" presStyleCnt="1" custScaleX="133109" custScaleY="108097" custLinFactNeighborX="-834" custLinFactNeighborY="-1434">
        <dgm:presLayoutVars>
          <dgm:bulletEnabled val="1"/>
        </dgm:presLayoutVars>
      </dgm:prSet>
      <dgm:spPr/>
      <dgm:t>
        <a:bodyPr/>
        <a:lstStyle/>
        <a:p>
          <a:endParaRPr lang="en-US"/>
        </a:p>
      </dgm:t>
    </dgm:pt>
  </dgm:ptLst>
  <dgm:cxnLst>
    <dgm:cxn modelId="{C823D5A4-859D-49B8-92E6-4FE14EAEF0FC}" srcId="{29BAD478-3756-462D-90DA-26FD95503A80}" destId="{A5E561B8-C522-475D-B598-4066E350D1B2}" srcOrd="0" destOrd="0" parTransId="{7BFD6E72-2305-4F6C-A40B-38A48327E753}" sibTransId="{F58BC1B8-D2B4-4FC0-9CAD-788EDEAA7196}"/>
    <dgm:cxn modelId="{790C68C9-A62B-4A11-9B29-3EAD62E796E9}" type="presOf" srcId="{29BAD478-3756-462D-90DA-26FD95503A80}" destId="{D989F56E-FEDF-49C3-818E-45D13B3E25FC}" srcOrd="0" destOrd="0" presId="urn:microsoft.com/office/officeart/2005/8/layout/default"/>
    <dgm:cxn modelId="{7C633AE5-DC4F-446B-8228-15C020FEE4F2}" type="presOf" srcId="{A5E561B8-C522-475D-B598-4066E350D1B2}" destId="{8D3396CF-CCB2-4843-9872-E6D7D4975676}" srcOrd="0" destOrd="0" presId="urn:microsoft.com/office/officeart/2005/8/layout/default"/>
    <dgm:cxn modelId="{014164B6-A23F-46A6-9A51-6F96CC8BAED2}" type="presParOf" srcId="{D989F56E-FEDF-49C3-818E-45D13B3E25FC}" destId="{8D3396CF-CCB2-4843-9872-E6D7D4975676}" srcOrd="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3396CF-CCB2-4843-9872-E6D7D4975676}">
      <dsp:nvSpPr>
        <dsp:cNvPr id="0" name=""/>
        <dsp:cNvSpPr/>
      </dsp:nvSpPr>
      <dsp:spPr>
        <a:xfrm>
          <a:off x="187933" y="0"/>
          <a:ext cx="6071936" cy="2958589"/>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bg-BG" sz="2200" b="1" kern="1200">
              <a:latin typeface="Times New Roman" panose="02020603050405020304" pitchFamily="18" charset="0"/>
              <a:cs typeface="Times New Roman" panose="02020603050405020304" pitchFamily="18" charset="0"/>
            </a:rPr>
            <a:t>ДОКЛАД</a:t>
          </a:r>
        </a:p>
        <a:p>
          <a:pPr lvl="0" algn="ctr" defTabSz="977900">
            <a:lnSpc>
              <a:spcPct val="90000"/>
            </a:lnSpc>
            <a:spcBef>
              <a:spcPct val="0"/>
            </a:spcBef>
            <a:spcAft>
              <a:spcPct val="35000"/>
            </a:spcAft>
          </a:pPr>
          <a:endParaRPr lang="bg-BG" sz="1900" b="1" kern="1200">
            <a:latin typeface="Times New Roman" panose="02020603050405020304" pitchFamily="18" charset="0"/>
            <a:cs typeface="Times New Roman" panose="02020603050405020304" pitchFamily="18" charset="0"/>
          </a:endParaRPr>
        </a:p>
        <a:p>
          <a:pPr lvl="0" algn="ctr" defTabSz="977900">
            <a:lnSpc>
              <a:spcPct val="90000"/>
            </a:lnSpc>
            <a:spcBef>
              <a:spcPct val="0"/>
            </a:spcBef>
            <a:spcAft>
              <a:spcPct val="35000"/>
            </a:spcAft>
          </a:pPr>
          <a:r>
            <a:rPr lang="bg-BG" sz="1900" b="1" kern="1200">
              <a:latin typeface="Times New Roman" panose="02020603050405020304" pitchFamily="18" charset="0"/>
              <a:cs typeface="Times New Roman" panose="02020603050405020304" pitchFamily="18" charset="0"/>
            </a:rPr>
            <a:t>ЗА КАСОВОТО ИЗПЪЛНЕНИЕ НА</a:t>
          </a:r>
        </a:p>
        <a:p>
          <a:pPr lvl="0" algn="ctr" defTabSz="977900">
            <a:lnSpc>
              <a:spcPct val="90000"/>
            </a:lnSpc>
            <a:spcBef>
              <a:spcPct val="0"/>
            </a:spcBef>
            <a:spcAft>
              <a:spcPct val="35000"/>
            </a:spcAft>
          </a:pPr>
          <a:r>
            <a:rPr lang="bg-BG" sz="1900" b="1" kern="1200">
              <a:latin typeface="Times New Roman" panose="02020603050405020304" pitchFamily="18" charset="0"/>
              <a:cs typeface="Times New Roman" panose="02020603050405020304" pitchFamily="18" charset="0"/>
            </a:rPr>
            <a:t>КОНСОЛИДИРАНАТА ФИСКАЛНА</a:t>
          </a:r>
        </a:p>
        <a:p>
          <a:pPr lvl="0" algn="ctr" defTabSz="977900">
            <a:lnSpc>
              <a:spcPct val="90000"/>
            </a:lnSpc>
            <a:spcBef>
              <a:spcPct val="0"/>
            </a:spcBef>
            <a:spcAft>
              <a:spcPct val="35000"/>
            </a:spcAft>
          </a:pPr>
          <a:r>
            <a:rPr lang="bg-BG" sz="1900" b="1" kern="1200">
              <a:latin typeface="Times New Roman" panose="02020603050405020304" pitchFamily="18" charset="0"/>
              <a:cs typeface="Times New Roman" panose="02020603050405020304" pitchFamily="18" charset="0"/>
            </a:rPr>
            <a:t>ПРОГРАМА ЗА ПЪРВОТО ПОЛУГОДИЕ</a:t>
          </a:r>
        </a:p>
        <a:p>
          <a:pPr lvl="0" algn="ctr" defTabSz="977900">
            <a:lnSpc>
              <a:spcPct val="90000"/>
            </a:lnSpc>
            <a:spcBef>
              <a:spcPct val="0"/>
            </a:spcBef>
            <a:spcAft>
              <a:spcPct val="35000"/>
            </a:spcAft>
          </a:pPr>
          <a:r>
            <a:rPr lang="bg-BG" sz="1900" b="1" kern="1200">
              <a:latin typeface="Times New Roman" panose="02020603050405020304" pitchFamily="18" charset="0"/>
              <a:cs typeface="Times New Roman" panose="02020603050405020304" pitchFamily="18" charset="0"/>
            </a:rPr>
            <a:t>НА </a:t>
          </a:r>
          <a:r>
            <a:rPr lang="ru-RU" sz="1900" b="1" kern="1200">
              <a:latin typeface="Times New Roman" panose="02020603050405020304" pitchFamily="18" charset="0"/>
              <a:cs typeface="Times New Roman" panose="02020603050405020304" pitchFamily="18" charset="0"/>
            </a:rPr>
            <a:t>2024</a:t>
          </a:r>
          <a:r>
            <a:rPr lang="bg-BG" sz="1900" b="1" kern="1200">
              <a:latin typeface="Times New Roman" panose="02020603050405020304" pitchFamily="18" charset="0"/>
              <a:cs typeface="Times New Roman" panose="02020603050405020304" pitchFamily="18" charset="0"/>
            </a:rPr>
            <a:t> ГОДИНА</a:t>
          </a:r>
        </a:p>
        <a:p>
          <a:pPr lvl="0" algn="ctr" defTabSz="977900">
            <a:lnSpc>
              <a:spcPct val="90000"/>
            </a:lnSpc>
            <a:spcBef>
              <a:spcPct val="0"/>
            </a:spcBef>
            <a:spcAft>
              <a:spcPct val="35000"/>
            </a:spcAft>
          </a:pPr>
          <a:endParaRPr lang="en-US" sz="2200" kern="1200"/>
        </a:p>
      </dsp:txBody>
      <dsp:txXfrm>
        <a:off x="187933" y="0"/>
        <a:ext cx="6071936" cy="295858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E04AC-390E-4706-84ED-11084ED1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63</Pages>
  <Words>32454</Words>
  <Characters>177979</Characters>
  <Application>Microsoft Office Word</Application>
  <DocSecurity>0</DocSecurity>
  <Lines>1483</Lines>
  <Paragraphs>420</Paragraphs>
  <ScaleCrop>false</ScaleCrop>
  <HeadingPairs>
    <vt:vector size="2" baseType="variant">
      <vt:variant>
        <vt:lpstr>Title</vt:lpstr>
      </vt:variant>
      <vt:variant>
        <vt:i4>1</vt:i4>
      </vt:variant>
    </vt:vector>
  </HeadingPairs>
  <TitlesOfParts>
    <vt:vector size="1" baseType="lpstr">
      <vt:lpstr>Българската икономика продължава да се развива с добри темпове след присъединяването на страната към Европейския съюз</vt:lpstr>
    </vt:vector>
  </TitlesOfParts>
  <Company>MoF</Company>
  <LinksUpToDate>false</LinksUpToDate>
  <CharactersWithSpaces>210013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Българската икономика продължава да се развива с добри темпове след присъединяването на страната към Европейския съюз</dc:title>
  <dc:subject/>
  <dc:creator>lmalchev</dc:creator>
  <cp:keywords/>
  <dc:description/>
  <cp:lastModifiedBy>КБПА ВД</cp:lastModifiedBy>
  <cp:revision>615</cp:revision>
  <cp:lastPrinted>2024-09-04T13:15:00Z</cp:lastPrinted>
  <dcterms:created xsi:type="dcterms:W3CDTF">2022-08-24T14:24:00Z</dcterms:created>
  <dcterms:modified xsi:type="dcterms:W3CDTF">2024-09-04T13:28:00Z</dcterms:modified>
</cp:coreProperties>
</file>